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3D4AA0CC" w:rsidR="002B7EF3" w:rsidRPr="00CA059E" w:rsidRDefault="00B634BA" w:rsidP="00B54039">
      <w:pPr>
        <w:pStyle w:val="Nadpis2"/>
        <w:rPr>
          <w:rFonts w:cstheme="minorHAnsi"/>
        </w:rPr>
      </w:pPr>
      <w:r>
        <w:rPr>
          <w:rFonts w:cstheme="minorHAnsi"/>
          <w:b/>
          <w:bCs/>
        </w:rPr>
        <w:t xml:space="preserve">Název organizace: </w:t>
      </w:r>
      <w:r w:rsidR="001E6A67">
        <w:rPr>
          <w:rFonts w:cstheme="minorHAnsi"/>
          <w:b/>
          <w:bCs/>
        </w:rPr>
        <w:t>Obec Soběšovice</w:t>
      </w:r>
    </w:p>
    <w:p w14:paraId="7C894503" w14:textId="4E855DAE"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1E6A67">
        <w:rPr>
          <w:rFonts w:cstheme="minorHAnsi"/>
        </w:rPr>
        <w:t>Soběšovice čp</w:t>
      </w:r>
      <w:r w:rsidR="00CD6D2D">
        <w:rPr>
          <w:rFonts w:cstheme="minorHAnsi"/>
        </w:rPr>
        <w:t>. 10, 739 22 Soběšovice</w:t>
      </w:r>
    </w:p>
    <w:p w14:paraId="74AAA884" w14:textId="61358022"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CD6D2D">
        <w:rPr>
          <w:rFonts w:cstheme="minorHAnsi"/>
        </w:rPr>
        <w:t>Voznica Petr, starosta</w:t>
      </w:r>
    </w:p>
    <w:p w14:paraId="520FD254" w14:textId="0F76B1CD"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AD7258">
        <w:rPr>
          <w:rFonts w:cstheme="minorHAnsi"/>
        </w:rPr>
        <w:t>00576981</w:t>
      </w:r>
    </w:p>
    <w:p w14:paraId="4404BC74" w14:textId="4C5503A1"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r w:rsidR="00AD7258">
        <w:rPr>
          <w:rFonts w:cstheme="minorHAnsi"/>
        </w:rPr>
        <w:t>CZ00576981</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375E130A"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34B4E">
        <w:rPr>
          <w:rFonts w:cstheme="minorHAnsi"/>
        </w:rPr>
        <w:t> Soběšovicích,</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7B8E0370"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D44389">
        <w:rPr>
          <w:rFonts w:cstheme="minorHAnsi"/>
        </w:rPr>
        <w:t>P</w:t>
      </w:r>
      <w:r w:rsidR="00F34B4E">
        <w:rPr>
          <w:rFonts w:cstheme="minorHAnsi"/>
        </w:rPr>
        <w:t>etr Voznica</w:t>
      </w:r>
    </w:p>
    <w:p w14:paraId="203F7752" w14:textId="40AC488A"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D44389">
        <w:rPr>
          <w:rFonts w:cstheme="minorHAnsi"/>
        </w:rPr>
        <w:t>staros</w:t>
      </w:r>
      <w:r w:rsidR="00F34B4E">
        <w:rPr>
          <w:rFonts w:cstheme="minorHAnsi"/>
        </w:rPr>
        <w:t>ta obce</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961D4" w14:textId="77777777" w:rsidR="00D0681D" w:rsidRDefault="00D0681D" w:rsidP="00BA6CA9">
      <w:pPr>
        <w:spacing w:after="0" w:line="240" w:lineRule="auto"/>
      </w:pPr>
      <w:r>
        <w:separator/>
      </w:r>
    </w:p>
  </w:endnote>
  <w:endnote w:type="continuationSeparator" w:id="0">
    <w:p w14:paraId="6264E13F" w14:textId="77777777" w:rsidR="00D0681D" w:rsidRDefault="00D0681D" w:rsidP="00BA6CA9">
      <w:pPr>
        <w:spacing w:after="0" w:line="240" w:lineRule="auto"/>
      </w:pPr>
      <w:r>
        <w:continuationSeparator/>
      </w:r>
    </w:p>
  </w:endnote>
  <w:endnote w:type="continuationNotice" w:id="1">
    <w:p w14:paraId="5F2432FC" w14:textId="77777777" w:rsidR="00D0681D" w:rsidRDefault="00D06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D81A" w14:textId="77777777" w:rsidR="00D0681D" w:rsidRDefault="00D0681D" w:rsidP="00BA6CA9">
      <w:pPr>
        <w:spacing w:after="0" w:line="240" w:lineRule="auto"/>
      </w:pPr>
      <w:r>
        <w:separator/>
      </w:r>
    </w:p>
  </w:footnote>
  <w:footnote w:type="continuationSeparator" w:id="0">
    <w:p w14:paraId="173157C4" w14:textId="77777777" w:rsidR="00D0681D" w:rsidRDefault="00D0681D" w:rsidP="00BA6CA9">
      <w:pPr>
        <w:spacing w:after="0" w:line="240" w:lineRule="auto"/>
      </w:pPr>
      <w:r>
        <w:continuationSeparator/>
      </w:r>
    </w:p>
  </w:footnote>
  <w:footnote w:type="continuationNotice" w:id="1">
    <w:p w14:paraId="442D9CB8" w14:textId="77777777" w:rsidR="00D0681D" w:rsidRDefault="00D068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3B40"/>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E6A67"/>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63C60"/>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8183C"/>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314F"/>
    <w:rsid w:val="005F604D"/>
    <w:rsid w:val="006012E5"/>
    <w:rsid w:val="00601C12"/>
    <w:rsid w:val="006041E0"/>
    <w:rsid w:val="0061538D"/>
    <w:rsid w:val="006274EC"/>
    <w:rsid w:val="0064150E"/>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56A2A"/>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97CE7"/>
    <w:rsid w:val="00AA3E00"/>
    <w:rsid w:val="00AC05F0"/>
    <w:rsid w:val="00AD10C9"/>
    <w:rsid w:val="00AD5125"/>
    <w:rsid w:val="00AD7258"/>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90E51"/>
    <w:rsid w:val="00CA059E"/>
    <w:rsid w:val="00CC36C0"/>
    <w:rsid w:val="00CD6D2D"/>
    <w:rsid w:val="00CE1987"/>
    <w:rsid w:val="00CE3A02"/>
    <w:rsid w:val="00D0681D"/>
    <w:rsid w:val="00D1099E"/>
    <w:rsid w:val="00D225A0"/>
    <w:rsid w:val="00D43480"/>
    <w:rsid w:val="00D44389"/>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0783A"/>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4B4E"/>
    <w:rsid w:val="00F37BD8"/>
    <w:rsid w:val="00F51E53"/>
    <w:rsid w:val="00F61BB3"/>
    <w:rsid w:val="00FB121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3485</Words>
  <Characters>20566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6</cp:revision>
  <cp:lastPrinted>2023-09-11T21:24:00Z</cp:lastPrinted>
  <dcterms:created xsi:type="dcterms:W3CDTF">2024-08-28T09:00:00Z</dcterms:created>
  <dcterms:modified xsi:type="dcterms:W3CDTF">2024-08-28T09:12:00Z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