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2C" w:rsidRPr="00FE762C" w:rsidRDefault="000C6B2C">
      <w:pPr>
        <w:pStyle w:val="Nadpis7"/>
        <w:jc w:val="center"/>
        <w:rPr>
          <w:b/>
          <w:sz w:val="36"/>
        </w:rPr>
      </w:pPr>
      <w:r w:rsidRPr="00FE762C">
        <w:rPr>
          <w:b/>
          <w:sz w:val="36"/>
        </w:rPr>
        <w:t>SMLOUVA O DÍLO</w:t>
      </w:r>
    </w:p>
    <w:p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rsidR="000C6B2C" w:rsidRPr="00FE762C" w:rsidRDefault="000C6B2C">
      <w:pPr>
        <w:jc w:val="center"/>
        <w:rPr>
          <w:rFonts w:ascii="Bookman Old Style" w:hAnsi="Bookman Old Style"/>
          <w:sz w:val="20"/>
        </w:rPr>
      </w:pPr>
    </w:p>
    <w:p w:rsidR="000C6B2C" w:rsidRPr="00FE762C" w:rsidRDefault="000C6B2C">
      <w:pPr>
        <w:rPr>
          <w:b/>
        </w:rPr>
      </w:pPr>
    </w:p>
    <w:p w:rsidR="000C6B2C" w:rsidRPr="00FE762C" w:rsidRDefault="000C6B2C">
      <w:pPr>
        <w:rPr>
          <w:b/>
          <w:i/>
          <w:sz w:val="20"/>
        </w:rPr>
      </w:pPr>
      <w:r w:rsidRPr="00FE762C">
        <w:rPr>
          <w:i/>
          <w:sz w:val="20"/>
        </w:rPr>
        <w:t xml:space="preserve">Číslo smlouvy objednatele: </w:t>
      </w:r>
      <w:r w:rsidR="00D222A8" w:rsidRPr="00FE762C">
        <w:rPr>
          <w:i/>
          <w:sz w:val="20"/>
        </w:rPr>
        <w:t xml:space="preserve">       </w:t>
      </w:r>
      <w:r w:rsidR="00D713E1" w:rsidRPr="00D713E1">
        <w:rPr>
          <w:b/>
          <w:i/>
        </w:rPr>
        <w:t>22</w:t>
      </w:r>
      <w:r w:rsidR="00303A2D">
        <w:rPr>
          <w:b/>
          <w:i/>
        </w:rPr>
        <w:t>7</w:t>
      </w:r>
      <w:r w:rsidR="00D222A8" w:rsidRPr="00FE762C">
        <w:rPr>
          <w:b/>
          <w:i/>
          <w:sz w:val="20"/>
        </w:rPr>
        <w:t xml:space="preserve"> </w:t>
      </w:r>
      <w:r w:rsidR="005F3D9F" w:rsidRPr="00FE762C">
        <w:rPr>
          <w:b/>
          <w:i/>
        </w:rPr>
        <w:t>/ODO/20</w:t>
      </w:r>
      <w:r w:rsidR="00585337" w:rsidRPr="00FE762C">
        <w:rPr>
          <w:b/>
          <w:i/>
        </w:rPr>
        <w:t>1</w:t>
      </w:r>
      <w:r w:rsidR="00D713E1">
        <w:rPr>
          <w:b/>
          <w:i/>
        </w:rPr>
        <w:t>7</w:t>
      </w:r>
    </w:p>
    <w:p w:rsidR="000C6B2C" w:rsidRPr="00FE762C" w:rsidRDefault="000C6B2C">
      <w:pPr>
        <w:rPr>
          <w:i/>
          <w:sz w:val="20"/>
        </w:rPr>
      </w:pPr>
      <w:r w:rsidRPr="00FE762C">
        <w:rPr>
          <w:i/>
          <w:sz w:val="20"/>
        </w:rPr>
        <w:t>Číslo smlouvy zhotovitele:</w:t>
      </w:r>
      <w:r w:rsidR="004F0873">
        <w:rPr>
          <w:i/>
          <w:sz w:val="20"/>
        </w:rPr>
        <w:t xml:space="preserve">        </w:t>
      </w:r>
      <w:r w:rsidRPr="00FE762C">
        <w:rPr>
          <w:i/>
          <w:sz w:val="20"/>
        </w:rPr>
        <w:t xml:space="preserve">  </w:t>
      </w:r>
      <w:r w:rsidR="004F0873" w:rsidRPr="004F0873">
        <w:rPr>
          <w:b/>
          <w:i/>
        </w:rPr>
        <w:t>1/17/073</w:t>
      </w:r>
    </w:p>
    <w:p w:rsidR="000C6B2C" w:rsidRPr="00FE762C" w:rsidRDefault="000C6B2C" w:rsidP="00133193">
      <w:pPr>
        <w:rPr>
          <w:b/>
          <w:i/>
        </w:rPr>
      </w:pPr>
      <w:r w:rsidRPr="00FE762C">
        <w:rPr>
          <w:i/>
          <w:sz w:val="20"/>
        </w:rPr>
        <w:t xml:space="preserve">Tato smlouva o dílo byla uzavřena na základě </w:t>
      </w:r>
      <w:r w:rsidR="00E22040">
        <w:rPr>
          <w:i/>
          <w:sz w:val="20"/>
        </w:rPr>
        <w:t>zadávacího řízení evidenční číslo</w:t>
      </w:r>
      <w:r w:rsidR="00CE2483" w:rsidRPr="00FE762C">
        <w:rPr>
          <w:i/>
          <w:sz w:val="20"/>
        </w:rPr>
        <w:t xml:space="preserve"> </w:t>
      </w:r>
      <w:r w:rsidR="00F76D09">
        <w:rPr>
          <w:i/>
          <w:sz w:val="20"/>
        </w:rPr>
        <w:t>83/MR/SÚ/2017</w:t>
      </w:r>
      <w:r w:rsidR="00D222A8" w:rsidRPr="00FE762C">
        <w:rPr>
          <w:i/>
          <w:sz w:val="20"/>
        </w:rPr>
        <w:t>.</w:t>
      </w:r>
    </w:p>
    <w:p w:rsidR="000C6B2C" w:rsidRPr="00FE762C" w:rsidRDefault="000C6B2C">
      <w:pPr>
        <w:pStyle w:val="Zkladntext"/>
        <w:jc w:val="both"/>
        <w:rPr>
          <w:sz w:val="24"/>
        </w:rPr>
      </w:pPr>
    </w:p>
    <w:p w:rsidR="000C6B2C" w:rsidRPr="00FE762C" w:rsidRDefault="000C6B2C">
      <w:pPr>
        <w:jc w:val="both"/>
        <w:rPr>
          <w:b/>
          <w:i/>
        </w:rPr>
      </w:pPr>
    </w:p>
    <w:p w:rsidR="000C6B2C" w:rsidRPr="00FE762C" w:rsidRDefault="000C6B2C">
      <w:pPr>
        <w:jc w:val="both"/>
      </w:pPr>
    </w:p>
    <w:p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rsidR="000C6B2C" w:rsidRPr="00FE762C" w:rsidRDefault="000C6B2C">
      <w:pPr>
        <w:widowControl w:val="0"/>
        <w:autoSpaceDE w:val="0"/>
        <w:autoSpaceDN w:val="0"/>
        <w:adjustRightInd w:val="0"/>
        <w:ind w:left="708"/>
        <w:rPr>
          <w:b/>
        </w:rPr>
      </w:pPr>
      <w:r w:rsidRPr="00FE762C">
        <w:rPr>
          <w:b/>
        </w:rPr>
        <w:t>příspěvková organizace</w:t>
      </w:r>
    </w:p>
    <w:p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E22040">
        <w:t>1</w:t>
      </w:r>
      <w:r w:rsidRPr="00FE762C">
        <w:t xml:space="preserve">  </w:t>
      </w:r>
    </w:p>
    <w:p w:rsidR="000C6B2C" w:rsidRPr="00FE762C" w:rsidRDefault="000C6B2C">
      <w:pPr>
        <w:widowControl w:val="0"/>
        <w:autoSpaceDE w:val="0"/>
        <w:autoSpaceDN w:val="0"/>
        <w:adjustRightInd w:val="0"/>
        <w:ind w:left="1068" w:hanging="360"/>
      </w:pPr>
      <w:r w:rsidRPr="00FE762C">
        <w:t xml:space="preserve">zastoupená ředitelem organizace </w:t>
      </w:r>
      <w:r w:rsidR="00AB5144" w:rsidRPr="00FE762C">
        <w:t xml:space="preserve">ing. </w:t>
      </w:r>
      <w:r w:rsidR="004F0873">
        <w:t xml:space="preserve">Jan </w:t>
      </w:r>
      <w:proofErr w:type="spellStart"/>
      <w:r w:rsidR="004F0873">
        <w:t>Lichtneger</w:t>
      </w:r>
      <w:proofErr w:type="spellEnd"/>
    </w:p>
    <w:p w:rsidR="000C6B2C" w:rsidRPr="00FE762C" w:rsidRDefault="000C6B2C">
      <w:pPr>
        <w:widowControl w:val="0"/>
        <w:autoSpaceDE w:val="0"/>
        <w:autoSpaceDN w:val="0"/>
        <w:adjustRightInd w:val="0"/>
        <w:ind w:left="1068" w:hanging="360"/>
      </w:pPr>
      <w:r w:rsidRPr="00FE762C">
        <w:t>IČ: 70947023</w:t>
      </w:r>
    </w:p>
    <w:p w:rsidR="000C6B2C" w:rsidRPr="00FE762C" w:rsidRDefault="000C6B2C">
      <w:pPr>
        <w:widowControl w:val="0"/>
        <w:autoSpaceDE w:val="0"/>
        <w:autoSpaceDN w:val="0"/>
        <w:adjustRightInd w:val="0"/>
        <w:ind w:left="1068" w:hanging="360"/>
        <w:rPr>
          <w:i/>
        </w:rPr>
      </w:pPr>
      <w:r w:rsidRPr="00FE762C">
        <w:t>DIČ: CZ70947023</w:t>
      </w:r>
    </w:p>
    <w:p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rsidR="000C6B2C" w:rsidRPr="00FE762C" w:rsidRDefault="000C6B2C">
      <w:pPr>
        <w:ind w:left="1068" w:hanging="360"/>
      </w:pPr>
      <w:r w:rsidRPr="00FE762C">
        <w:t xml:space="preserve">                                                                        </w:t>
      </w:r>
    </w:p>
    <w:p w:rsidR="000C6B2C" w:rsidRPr="00FE762C" w:rsidRDefault="000C6B2C">
      <w:pPr>
        <w:ind w:firstLine="360"/>
        <w:jc w:val="both"/>
        <w:rPr>
          <w:i/>
        </w:rPr>
      </w:pPr>
      <w:r w:rsidRPr="00FE762C">
        <w:rPr>
          <w:i/>
        </w:rPr>
        <w:t xml:space="preserve">     na straně jedné jako objednatel /dále jen objednatel/</w:t>
      </w:r>
    </w:p>
    <w:p w:rsidR="000C6B2C" w:rsidRPr="00FE762C" w:rsidRDefault="000C6B2C">
      <w:pPr>
        <w:jc w:val="both"/>
        <w:rPr>
          <w:sz w:val="26"/>
        </w:rPr>
      </w:pPr>
    </w:p>
    <w:p w:rsidR="000C6B2C" w:rsidRPr="00FE762C" w:rsidRDefault="000C6B2C">
      <w:pPr>
        <w:jc w:val="center"/>
        <w:rPr>
          <w:rFonts w:ascii="Bookman Old Style" w:hAnsi="Bookman Old Style"/>
          <w:sz w:val="26"/>
        </w:rPr>
      </w:pPr>
      <w:r w:rsidRPr="00FE762C">
        <w:rPr>
          <w:rFonts w:ascii="Bookman Old Style" w:hAnsi="Bookman Old Style"/>
          <w:sz w:val="26"/>
        </w:rPr>
        <w:t>a</w:t>
      </w:r>
    </w:p>
    <w:p w:rsidR="000C6B2C" w:rsidRPr="00FE762C" w:rsidRDefault="000C6B2C">
      <w:r w:rsidRPr="00FE762C">
        <w:t xml:space="preserve"> </w:t>
      </w:r>
    </w:p>
    <w:p w:rsidR="00901E1E" w:rsidRPr="004F0873" w:rsidRDefault="005F3D9F" w:rsidP="00901E1E">
      <w:pPr>
        <w:rPr>
          <w:b/>
        </w:rPr>
      </w:pPr>
      <w:r w:rsidRPr="00FE762C">
        <w:rPr>
          <w:b/>
        </w:rPr>
        <w:t xml:space="preserve">2.     </w:t>
      </w:r>
      <w:r w:rsidR="009E5E97" w:rsidRPr="00FE762C">
        <w:rPr>
          <w:b/>
        </w:rPr>
        <w:t xml:space="preserve">   </w:t>
      </w:r>
      <w:r w:rsidRPr="00FE762C">
        <w:rPr>
          <w:b/>
        </w:rPr>
        <w:t xml:space="preserve"> </w:t>
      </w:r>
      <w:r w:rsidR="004F0873">
        <w:rPr>
          <w:b/>
        </w:rPr>
        <w:t>Froněk, spol. s r.o.</w:t>
      </w:r>
    </w:p>
    <w:p w:rsidR="00542E12" w:rsidRPr="00FE762C" w:rsidRDefault="00542E12" w:rsidP="00BD170B">
      <w:pPr>
        <w:ind w:firstLine="708"/>
      </w:pPr>
      <w:r w:rsidRPr="00FE762C">
        <w:t>se sídlem</w:t>
      </w:r>
      <w:r w:rsidR="00BD170B" w:rsidRPr="00FE762C">
        <w:t xml:space="preserve"> </w:t>
      </w:r>
      <w:r w:rsidR="00D713E1">
        <w:t>:</w:t>
      </w:r>
      <w:r w:rsidR="004F0873">
        <w:t xml:space="preserve"> Rakovník, </w:t>
      </w:r>
      <w:proofErr w:type="spellStart"/>
      <w:r w:rsidR="004F0873">
        <w:t>Zátí</w:t>
      </w:r>
      <w:proofErr w:type="spellEnd"/>
      <w:r w:rsidR="004F0873">
        <w:t xml:space="preserve"> 2488, PSČ 269 01</w:t>
      </w:r>
    </w:p>
    <w:p w:rsidR="00901E1E" w:rsidRPr="00FE762C" w:rsidRDefault="00BD170B" w:rsidP="00BD170B">
      <w:pPr>
        <w:ind w:firstLine="708"/>
      </w:pPr>
      <w:r w:rsidRPr="00FE762C">
        <w:t xml:space="preserve">zastoupená </w:t>
      </w:r>
      <w:r w:rsidR="00D713E1">
        <w:t>:</w:t>
      </w:r>
      <w:r w:rsidR="004F0873">
        <w:t xml:space="preserve"> Ing. Kamilem </w:t>
      </w:r>
      <w:proofErr w:type="spellStart"/>
      <w:r w:rsidR="004F0873">
        <w:t>Hrbekem</w:t>
      </w:r>
      <w:proofErr w:type="spellEnd"/>
      <w:r w:rsidR="004F0873">
        <w:t>, prokuristou společnosti</w:t>
      </w:r>
    </w:p>
    <w:p w:rsidR="00901E1E" w:rsidRPr="00FE762C" w:rsidRDefault="00901E1E" w:rsidP="00BD170B">
      <w:pPr>
        <w:ind w:firstLine="708"/>
      </w:pPr>
      <w:r w:rsidRPr="00FE762C">
        <w:t>Výpis z</w:t>
      </w:r>
      <w:r w:rsidR="00D713E1">
        <w:t> </w:t>
      </w:r>
      <w:r w:rsidRPr="00FE762C">
        <w:t>OR</w:t>
      </w:r>
      <w:r w:rsidR="00D713E1">
        <w:t>:</w:t>
      </w:r>
      <w:r w:rsidR="004F0873">
        <w:t xml:space="preserve"> zapsaná </w:t>
      </w:r>
      <w:proofErr w:type="spellStart"/>
      <w:r w:rsidR="004F0873">
        <w:t>Obchodmím</w:t>
      </w:r>
      <w:proofErr w:type="spellEnd"/>
      <w:r w:rsidR="004F0873">
        <w:t xml:space="preserve"> soudem v Praze, oddíl C, vložka 15879</w:t>
      </w:r>
    </w:p>
    <w:p w:rsidR="00901E1E" w:rsidRPr="00FE762C" w:rsidRDefault="00901E1E" w:rsidP="00901E1E">
      <w:pPr>
        <w:ind w:firstLine="708"/>
      </w:pPr>
      <w:r w:rsidRPr="00FE762C">
        <w:t xml:space="preserve">IČ: </w:t>
      </w:r>
      <w:r w:rsidR="004F0873">
        <w:t>47534630</w:t>
      </w:r>
    </w:p>
    <w:p w:rsidR="00901E1E" w:rsidRPr="00FE762C" w:rsidRDefault="00901E1E" w:rsidP="00901E1E">
      <w:pPr>
        <w:ind w:firstLine="708"/>
      </w:pPr>
      <w:r w:rsidRPr="00FE762C">
        <w:t>DIČ: CZ</w:t>
      </w:r>
      <w:r w:rsidR="004F0873">
        <w:t>47534630</w:t>
      </w:r>
    </w:p>
    <w:p w:rsidR="00BD170B" w:rsidRPr="00FE762C" w:rsidRDefault="00901E1E" w:rsidP="00BD170B">
      <w:pPr>
        <w:ind w:firstLine="708"/>
      </w:pPr>
      <w:r w:rsidRPr="00FE762C">
        <w:rPr>
          <w:iCs/>
        </w:rPr>
        <w:t xml:space="preserve">Živnostenský list právnické osoby, </w:t>
      </w:r>
      <w:proofErr w:type="spellStart"/>
      <w:r w:rsidRPr="00FE762C">
        <w:rPr>
          <w:iCs/>
        </w:rPr>
        <w:t>ev</w:t>
      </w:r>
      <w:r w:rsidRPr="004F0873">
        <w:rPr>
          <w:iCs/>
        </w:rPr>
        <w:t>.č</w:t>
      </w:r>
      <w:proofErr w:type="spellEnd"/>
      <w:r w:rsidRPr="004F0873">
        <w:rPr>
          <w:iCs/>
        </w:rPr>
        <w:t>.</w:t>
      </w:r>
      <w:r w:rsidR="00BD170B" w:rsidRPr="004F0873">
        <w:rPr>
          <w:iCs/>
        </w:rPr>
        <w:t xml:space="preserve"> </w:t>
      </w:r>
      <w:r w:rsidR="004F0873" w:rsidRPr="004F0873">
        <w:rPr>
          <w:iCs/>
        </w:rPr>
        <w:t>321209</w:t>
      </w:r>
      <w:r w:rsidR="004F0873">
        <w:rPr>
          <w:iCs/>
        </w:rPr>
        <w:t>-6331</w:t>
      </w:r>
    </w:p>
    <w:p w:rsidR="000C6B2C" w:rsidRPr="00FE762C" w:rsidRDefault="00884E64" w:rsidP="00884E64">
      <w:r w:rsidRPr="00FE762C">
        <w:t xml:space="preserve">                                                        </w:t>
      </w:r>
    </w:p>
    <w:p w:rsidR="000C6B2C" w:rsidRPr="00FE762C" w:rsidRDefault="000C6B2C">
      <w:pPr>
        <w:ind w:firstLine="708"/>
        <w:jc w:val="both"/>
        <w:rPr>
          <w:i/>
        </w:rPr>
      </w:pPr>
      <w:r w:rsidRPr="00FE762C">
        <w:rPr>
          <w:i/>
        </w:rPr>
        <w:t>na straně druhé jako zhotovitel (dále jen „zhotovitel“)</w:t>
      </w:r>
    </w:p>
    <w:p w:rsidR="00133193" w:rsidRPr="00FE762C" w:rsidRDefault="00133193">
      <w:pPr>
        <w:ind w:firstLine="708"/>
        <w:jc w:val="both"/>
        <w:rPr>
          <w:i/>
        </w:rPr>
      </w:pPr>
    </w:p>
    <w:p w:rsidR="00BD170B" w:rsidRPr="00FE762C" w:rsidRDefault="00BD170B">
      <w:pPr>
        <w:ind w:firstLine="708"/>
        <w:jc w:val="both"/>
        <w:rPr>
          <w:i/>
        </w:rPr>
      </w:pPr>
    </w:p>
    <w:p w:rsidR="00D713E1" w:rsidRDefault="00DF6323" w:rsidP="00D713E1">
      <w:pPr>
        <w:ind w:firstLine="708"/>
        <w:jc w:val="both"/>
        <w:rPr>
          <w:b/>
          <w:u w:val="single"/>
        </w:rPr>
      </w:pPr>
      <w:r w:rsidRPr="00FE762C">
        <w:rPr>
          <w:b/>
        </w:rPr>
        <w:t>Název akce</w:t>
      </w:r>
      <w:r w:rsidRPr="00303A2D">
        <w:rPr>
          <w:b/>
          <w:u w:val="single"/>
        </w:rPr>
        <w:t xml:space="preserve">: </w:t>
      </w:r>
      <w:r w:rsidR="00303A2D" w:rsidRPr="00303A2D">
        <w:rPr>
          <w:b/>
          <w:u w:val="single"/>
        </w:rPr>
        <w:t xml:space="preserve"> „Rozšíření komunikace III/1947 Čichalov“</w:t>
      </w:r>
      <w:r w:rsidR="00303A2D">
        <w:rPr>
          <w:b/>
        </w:rPr>
        <w:t xml:space="preserve"> </w:t>
      </w:r>
      <w:r w:rsidR="00D713E1">
        <w:rPr>
          <w:b/>
          <w:u w:val="single"/>
        </w:rPr>
        <w:t xml:space="preserve">  </w:t>
      </w:r>
    </w:p>
    <w:p w:rsidR="007D4D2C" w:rsidRPr="00FE762C" w:rsidRDefault="007D4D2C" w:rsidP="00D713E1">
      <w:pPr>
        <w:ind w:firstLine="708"/>
        <w:jc w:val="both"/>
        <w:rPr>
          <w:rFonts w:ascii="Bookman Old Style" w:hAnsi="Bookman Old Style"/>
          <w:b/>
          <w:sz w:val="26"/>
          <w:szCs w:val="20"/>
        </w:rPr>
      </w:pPr>
    </w:p>
    <w:p w:rsidR="007D4D2C" w:rsidRPr="00FE762C" w:rsidRDefault="007D4D2C" w:rsidP="00DF6323">
      <w:pPr>
        <w:spacing w:line="240" w:lineRule="atLeast"/>
        <w:jc w:val="center"/>
        <w:rPr>
          <w:rFonts w:ascii="Bookman Old Style" w:hAnsi="Bookman Old Style"/>
          <w:b/>
          <w:sz w:val="26"/>
          <w:szCs w:val="20"/>
        </w:rPr>
      </w:pPr>
    </w:p>
    <w:p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rsidR="00DF6323" w:rsidRPr="00FE762C" w:rsidRDefault="00DF6323" w:rsidP="00DF6323">
      <w:pPr>
        <w:jc w:val="both"/>
        <w:rPr>
          <w:szCs w:val="20"/>
        </w:rPr>
      </w:pPr>
    </w:p>
    <w:p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rsidR="00DF6323"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rsidR="00B27FD4" w:rsidRDefault="00B27FD4" w:rsidP="00DF6323">
      <w:pPr>
        <w:ind w:left="720" w:hanging="720"/>
        <w:jc w:val="both"/>
        <w:rPr>
          <w:sz w:val="22"/>
          <w:szCs w:val="20"/>
        </w:rPr>
      </w:pPr>
    </w:p>
    <w:p w:rsidR="00B27FD4" w:rsidRDefault="00B27FD4" w:rsidP="00DF6323">
      <w:pPr>
        <w:ind w:left="720" w:hanging="720"/>
        <w:jc w:val="both"/>
        <w:rPr>
          <w:sz w:val="22"/>
          <w:szCs w:val="20"/>
        </w:rPr>
      </w:pPr>
    </w:p>
    <w:p w:rsidR="00B27FD4" w:rsidRDefault="00B27FD4" w:rsidP="00DF6323">
      <w:pPr>
        <w:ind w:left="720" w:hanging="720"/>
        <w:jc w:val="both"/>
        <w:rPr>
          <w:sz w:val="22"/>
          <w:szCs w:val="20"/>
        </w:rPr>
      </w:pPr>
    </w:p>
    <w:p w:rsidR="00B27FD4" w:rsidRPr="00FE762C" w:rsidRDefault="00B27FD4" w:rsidP="00DF6323">
      <w:pPr>
        <w:ind w:left="720" w:hanging="720"/>
        <w:jc w:val="both"/>
        <w:rPr>
          <w:sz w:val="22"/>
          <w:szCs w:val="20"/>
        </w:rPr>
      </w:pPr>
    </w:p>
    <w:p w:rsidR="00DF6323" w:rsidRPr="00FE762C" w:rsidRDefault="00DF6323" w:rsidP="00DF6323">
      <w:pPr>
        <w:ind w:left="540"/>
        <w:jc w:val="center"/>
        <w:rPr>
          <w:rFonts w:ascii="Bookman Old Style" w:hAnsi="Bookman Old Style"/>
          <w:b/>
          <w:sz w:val="26"/>
          <w:szCs w:val="20"/>
        </w:rPr>
      </w:pPr>
    </w:p>
    <w:p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rsidR="00DF6323" w:rsidRPr="00FE762C" w:rsidRDefault="00DF6323" w:rsidP="00DF6323">
      <w:pPr>
        <w:jc w:val="both"/>
        <w:rPr>
          <w:sz w:val="26"/>
        </w:rPr>
      </w:pPr>
    </w:p>
    <w:p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rsidR="00835011" w:rsidRPr="00FE762C" w:rsidRDefault="00835011" w:rsidP="00DF6323">
      <w:pPr>
        <w:ind w:left="720" w:hanging="720"/>
        <w:jc w:val="both"/>
        <w:rPr>
          <w:sz w:val="22"/>
        </w:rPr>
      </w:pPr>
    </w:p>
    <w:p w:rsidR="00650F97" w:rsidRDefault="00DF6323" w:rsidP="00650F97">
      <w:pPr>
        <w:pStyle w:val="Zhlav"/>
        <w:tabs>
          <w:tab w:val="left" w:pos="708"/>
        </w:tabs>
        <w:rPr>
          <w:bCs/>
          <w:sz w:val="22"/>
          <w:szCs w:val="22"/>
        </w:rPr>
      </w:pPr>
      <w:r w:rsidRPr="00FE762C">
        <w:rPr>
          <w:sz w:val="22"/>
        </w:rPr>
        <w:t xml:space="preserve">2.2.   </w:t>
      </w:r>
      <w:r w:rsidR="00835011" w:rsidRPr="00FE762C">
        <w:rPr>
          <w:sz w:val="22"/>
        </w:rPr>
        <w:t xml:space="preserve">    </w:t>
      </w:r>
      <w:r w:rsidR="00650F97">
        <w:rPr>
          <w:bCs/>
          <w:sz w:val="22"/>
          <w:szCs w:val="22"/>
        </w:rPr>
        <w:tab/>
      </w:r>
      <w:r w:rsidR="00650F97" w:rsidRPr="00466591">
        <w:rPr>
          <w:bCs/>
          <w:sz w:val="22"/>
          <w:szCs w:val="22"/>
        </w:rPr>
        <w:t xml:space="preserve">Předmětem plnění veřejné zakázky je </w:t>
      </w:r>
      <w:r w:rsidR="00650F97" w:rsidRPr="00466591">
        <w:rPr>
          <w:sz w:val="22"/>
          <w:szCs w:val="22"/>
        </w:rPr>
        <w:t>provedení a obstarání veškerých prací a zhotovení děl nutných na</w:t>
      </w:r>
      <w:r w:rsidR="00650F97" w:rsidRPr="00466591">
        <w:rPr>
          <w:bCs/>
          <w:sz w:val="22"/>
          <w:szCs w:val="22"/>
        </w:rPr>
        <w:t xml:space="preserve"> realizaci stavební akce</w:t>
      </w:r>
      <w:r w:rsidR="00650F97">
        <w:rPr>
          <w:bCs/>
          <w:sz w:val="22"/>
          <w:szCs w:val="22"/>
        </w:rPr>
        <w:t xml:space="preserve"> rozšíření komunikace III/1947 včetně  odvodnění  dle PD. Záměr  řeší rozšíření silnice , která v těchto místech nesplňuje svým šířkovým uspořádáním parametry silnice v kategorii S 6,5/60. Ve směrovém oblouku je navrženo rozšíření na šířku 7,4 m. Napojení na stávající stav bude plynulé. Stávající příkop bude posunut a zachován pro odvodnění silnice. Součástí akce bude zřízení krajnic v šířce 0,5 m.</w:t>
      </w:r>
    </w:p>
    <w:p w:rsidR="00650F97" w:rsidRDefault="00650F97" w:rsidP="00650F97">
      <w:pPr>
        <w:pStyle w:val="Zhlav"/>
        <w:tabs>
          <w:tab w:val="left" w:pos="708"/>
        </w:tabs>
        <w:rPr>
          <w:bCs/>
          <w:sz w:val="22"/>
          <w:szCs w:val="22"/>
        </w:rPr>
      </w:pPr>
      <w:r>
        <w:rPr>
          <w:bCs/>
          <w:sz w:val="22"/>
          <w:szCs w:val="22"/>
        </w:rPr>
        <w:tab/>
        <w:t xml:space="preserve">Veškeré práce budou provedeny  v souladu s předloženou projektovou dokumentací stavby Ing. Martin </w:t>
      </w:r>
      <w:proofErr w:type="spellStart"/>
      <w:r>
        <w:rPr>
          <w:bCs/>
          <w:sz w:val="22"/>
          <w:szCs w:val="22"/>
        </w:rPr>
        <w:t>Hauejsen</w:t>
      </w:r>
      <w:proofErr w:type="spellEnd"/>
      <w:r>
        <w:rPr>
          <w:bCs/>
          <w:sz w:val="22"/>
          <w:szCs w:val="22"/>
        </w:rPr>
        <w:t xml:space="preserve">, Sládkova 159/1, 350 02 Cheb, č. zakázky  2016-07, ČKAIT 0301387. Dodatečně bylo s MÚ Žlutice dohodnuto, že výkopek je možno  uložit s rozhrnutím  na sousední pozemek 2359/2 </w:t>
      </w:r>
      <w:proofErr w:type="spellStart"/>
      <w:r>
        <w:rPr>
          <w:bCs/>
          <w:sz w:val="22"/>
          <w:szCs w:val="22"/>
        </w:rPr>
        <w:t>k.ú.Žlutice</w:t>
      </w:r>
      <w:proofErr w:type="spellEnd"/>
      <w:r>
        <w:rPr>
          <w:bCs/>
          <w:sz w:val="22"/>
          <w:szCs w:val="22"/>
        </w:rPr>
        <w:t xml:space="preserve"> .</w:t>
      </w:r>
    </w:p>
    <w:p w:rsidR="00650F97" w:rsidRDefault="00650F97" w:rsidP="00650F97">
      <w:pPr>
        <w:pStyle w:val="Zhlav"/>
        <w:tabs>
          <w:tab w:val="left" w:pos="708"/>
        </w:tabs>
        <w:rPr>
          <w:bCs/>
          <w:sz w:val="22"/>
          <w:szCs w:val="22"/>
        </w:rPr>
      </w:pPr>
      <w:r>
        <w:rPr>
          <w:bCs/>
          <w:sz w:val="22"/>
          <w:szCs w:val="22"/>
        </w:rPr>
        <w:tab/>
        <w:t>Stavební záměr byl odsouhlasen Magistrátem města Karlovy Vary- stavební úřad ,č.j. 12210/SÚ/16 ze dne 10.10.2016 a Krajským úřadem Karlovarského Kraje – odbor dopravy a silničního hospodářství, č.j. 2379/DS/16 ze dne 19.8.2016</w:t>
      </w:r>
    </w:p>
    <w:p w:rsidR="00650F97" w:rsidRDefault="00650F97" w:rsidP="00650F97">
      <w:pPr>
        <w:pStyle w:val="Zhlav"/>
        <w:tabs>
          <w:tab w:val="left" w:pos="708"/>
        </w:tabs>
        <w:rPr>
          <w:bCs/>
          <w:sz w:val="22"/>
          <w:szCs w:val="22"/>
        </w:rPr>
      </w:pPr>
      <w:r>
        <w:rPr>
          <w:bCs/>
          <w:sz w:val="22"/>
          <w:szCs w:val="22"/>
        </w:rPr>
        <w:t xml:space="preserve"> Součástí akce je vytyčení sítí a zajištění dopravně bezpečnostních opatření .</w:t>
      </w:r>
    </w:p>
    <w:p w:rsidR="00DF6323" w:rsidRPr="00FE762C" w:rsidRDefault="00DF6323" w:rsidP="00303A2D">
      <w:pPr>
        <w:tabs>
          <w:tab w:val="left" w:pos="3420"/>
          <w:tab w:val="left" w:pos="5220"/>
          <w:tab w:val="left" w:pos="6480"/>
          <w:tab w:val="left" w:pos="7560"/>
          <w:tab w:val="left" w:pos="8460"/>
        </w:tabs>
        <w:jc w:val="both"/>
        <w:rPr>
          <w:i/>
        </w:rPr>
      </w:pPr>
    </w:p>
    <w:p w:rsidR="00DF6323" w:rsidRPr="00FE762C" w:rsidRDefault="00DF6323" w:rsidP="00DF6323">
      <w:pPr>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rsidR="00DF6323" w:rsidRPr="00FE762C" w:rsidRDefault="00DF6323" w:rsidP="00DF6323">
      <w:pPr>
        <w:tabs>
          <w:tab w:val="left" w:pos="1080"/>
          <w:tab w:val="right" w:pos="9072"/>
        </w:tabs>
        <w:ind w:left="720"/>
        <w:rPr>
          <w:b/>
          <w:sz w:val="26"/>
        </w:rPr>
      </w:pPr>
    </w:p>
    <w:p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rsidR="00DF6323" w:rsidRPr="00FE762C" w:rsidRDefault="00DF6323" w:rsidP="00DF6323">
      <w:pPr>
        <w:ind w:left="705" w:hanging="705"/>
        <w:jc w:val="both"/>
        <w:rPr>
          <w:sz w:val="22"/>
          <w:szCs w:val="20"/>
        </w:rPr>
      </w:pPr>
      <w:r w:rsidRPr="00FE762C">
        <w:rPr>
          <w:sz w:val="22"/>
          <w:szCs w:val="20"/>
        </w:rPr>
        <w:t xml:space="preserve">            -     Zadávací dokumentace</w:t>
      </w:r>
      <w:r w:rsidR="00F06CEB">
        <w:rPr>
          <w:sz w:val="22"/>
          <w:szCs w:val="20"/>
        </w:rPr>
        <w:t>.</w:t>
      </w:r>
      <w:r w:rsidRPr="00FE762C">
        <w:rPr>
          <w:sz w:val="22"/>
          <w:szCs w:val="20"/>
        </w:rPr>
        <w:t xml:space="preserve">     </w:t>
      </w:r>
    </w:p>
    <w:p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rsidR="00963B92" w:rsidRPr="00FE762C" w:rsidRDefault="00963B92" w:rsidP="00963B92">
      <w:pPr>
        <w:ind w:left="1068"/>
        <w:jc w:val="both"/>
        <w:rPr>
          <w:sz w:val="22"/>
        </w:rPr>
      </w:pPr>
      <w:r w:rsidRPr="00FE762C">
        <w:rPr>
          <w:sz w:val="22"/>
        </w:rPr>
        <w:t>včetně jeho likvidace,</w:t>
      </w:r>
    </w:p>
    <w:p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rsidR="00963B92" w:rsidRPr="00FE762C" w:rsidRDefault="00963B92" w:rsidP="00963B92">
      <w:pPr>
        <w:ind w:left="1068"/>
        <w:jc w:val="both"/>
        <w:rPr>
          <w:sz w:val="22"/>
        </w:rPr>
      </w:pPr>
      <w:r w:rsidRPr="00FE762C">
        <w:rPr>
          <w:sz w:val="22"/>
        </w:rPr>
        <w:t>dopravu.</w:t>
      </w:r>
    </w:p>
    <w:p w:rsidR="00963B92" w:rsidRPr="00FE762C" w:rsidRDefault="00963B92" w:rsidP="00963B92">
      <w:pPr>
        <w:jc w:val="both"/>
        <w:rPr>
          <w:sz w:val="22"/>
        </w:rPr>
      </w:pPr>
      <w:r w:rsidRPr="00FE762C">
        <w:rPr>
          <w:sz w:val="22"/>
        </w:rPr>
        <w:t>3.3.</w:t>
      </w:r>
      <w:r w:rsidRPr="00FE762C">
        <w:rPr>
          <w:sz w:val="22"/>
        </w:rPr>
        <w:tab/>
        <w:t>Před zahájením stavby je nutné:</w:t>
      </w:r>
    </w:p>
    <w:p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rsidR="0036023E" w:rsidRPr="00FE762C" w:rsidRDefault="0036023E" w:rsidP="00835011">
      <w:pPr>
        <w:numPr>
          <w:ilvl w:val="0"/>
          <w:numId w:val="10"/>
        </w:numPr>
        <w:jc w:val="both"/>
        <w:rPr>
          <w:sz w:val="22"/>
        </w:rPr>
      </w:pPr>
      <w:r w:rsidRPr="00FE762C">
        <w:rPr>
          <w:sz w:val="22"/>
        </w:rPr>
        <w:t>předložit k odsouhlasení:</w:t>
      </w:r>
    </w:p>
    <w:p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DF6323" w:rsidRPr="00FE762C" w:rsidRDefault="00DF6323" w:rsidP="00DF6323">
      <w:pPr>
        <w:ind w:left="708"/>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rsidR="00DF6323" w:rsidRPr="00FE762C" w:rsidRDefault="00DF6323" w:rsidP="00DF6323">
      <w:pPr>
        <w:jc w:val="both"/>
        <w:rPr>
          <w:sz w:val="26"/>
        </w:rPr>
      </w:pPr>
    </w:p>
    <w:p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rsidR="00DF6323" w:rsidRPr="00FE762C" w:rsidRDefault="00DF6323" w:rsidP="00DF6323">
      <w:pPr>
        <w:ind w:left="1416" w:hanging="707"/>
        <w:jc w:val="both"/>
        <w:rPr>
          <w:sz w:val="16"/>
        </w:rPr>
      </w:pPr>
    </w:p>
    <w:p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4F0873">
        <w:rPr>
          <w:sz w:val="22"/>
        </w:rPr>
        <w:t>7</w:t>
      </w:r>
      <w:r w:rsidR="00D713E1">
        <w:rPr>
          <w:sz w:val="22"/>
        </w:rPr>
        <w:t>/2017</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rsidR="00DF6323" w:rsidRPr="00FE762C" w:rsidRDefault="00DF6323" w:rsidP="00DF6323">
      <w:pPr>
        <w:ind w:left="1080"/>
        <w:jc w:val="both"/>
        <w:rPr>
          <w:sz w:val="22"/>
          <w:szCs w:val="20"/>
        </w:rPr>
      </w:pPr>
      <w:r w:rsidRPr="00FE762C">
        <w:lastRenderedPageBreak/>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4F0873">
        <w:rPr>
          <w:sz w:val="22"/>
        </w:rPr>
        <w:t>8</w:t>
      </w:r>
      <w:r w:rsidR="00D713E1">
        <w:rPr>
          <w:sz w:val="22"/>
        </w:rPr>
        <w:t>/2017</w:t>
      </w:r>
    </w:p>
    <w:p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DF6323" w:rsidRPr="00FE762C" w:rsidRDefault="00DF6323" w:rsidP="00DF6323">
      <w:pPr>
        <w:ind w:left="709" w:hanging="709"/>
        <w:jc w:val="both"/>
      </w:pPr>
      <w:r w:rsidRPr="00FE762C">
        <w:t xml:space="preserve"> </w:t>
      </w:r>
    </w:p>
    <w:p w:rsidR="00DF6323" w:rsidRPr="00FE762C" w:rsidRDefault="00DF6323" w:rsidP="00DF6323">
      <w:pPr>
        <w:ind w:left="709" w:hanging="709"/>
        <w:jc w:val="both"/>
        <w:rPr>
          <w:rFonts w:ascii="Bookman Old Style" w:hAnsi="Bookman Old Style"/>
          <w:sz w:val="26"/>
        </w:rPr>
      </w:pPr>
    </w:p>
    <w:p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rsidR="00DF6323" w:rsidRPr="00FE762C" w:rsidRDefault="00DF6323" w:rsidP="00DF6323">
      <w:pPr>
        <w:ind w:left="709" w:hanging="147"/>
        <w:jc w:val="both"/>
        <w:rPr>
          <w:sz w:val="26"/>
        </w:rPr>
      </w:pPr>
    </w:p>
    <w:p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4F0873">
        <w:rPr>
          <w:sz w:val="22"/>
          <w:szCs w:val="20"/>
        </w:rPr>
        <w:t xml:space="preserve">632 225,33 </w:t>
      </w:r>
      <w:r w:rsidRPr="00FE762C">
        <w:rPr>
          <w:sz w:val="22"/>
          <w:szCs w:val="20"/>
        </w:rPr>
        <w:t xml:space="preserve">Kč            </w:t>
      </w:r>
    </w:p>
    <w:p w:rsidR="00DF6323" w:rsidRPr="00FE762C" w:rsidRDefault="00DF6323" w:rsidP="00DF6323">
      <w:pPr>
        <w:keepNext/>
        <w:numPr>
          <w:ilvl w:val="12"/>
          <w:numId w:val="0"/>
        </w:numPr>
        <w:ind w:left="900"/>
        <w:jc w:val="both"/>
        <w:outlineLvl w:val="1"/>
        <w:rPr>
          <w:sz w:val="22"/>
        </w:rPr>
      </w:pPr>
      <w:r w:rsidRPr="00FE762C">
        <w:rPr>
          <w:sz w:val="22"/>
        </w:rPr>
        <w:t xml:space="preserve">         (slovy: </w:t>
      </w:r>
      <w:proofErr w:type="spellStart"/>
      <w:r w:rsidR="004F0873">
        <w:rPr>
          <w:sz w:val="22"/>
        </w:rPr>
        <w:t>šestsettřicetdvatisícedvěstědvacetpět</w:t>
      </w:r>
      <w:proofErr w:type="spellEnd"/>
      <w:r w:rsidR="004F0873">
        <w:rPr>
          <w:sz w:val="22"/>
        </w:rPr>
        <w:t>, 33/100 korun českých</w:t>
      </w:r>
      <w:r w:rsidRPr="00FE762C">
        <w:rPr>
          <w:sz w:val="22"/>
        </w:rPr>
        <w:t>)</w:t>
      </w:r>
    </w:p>
    <w:p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4F0873">
        <w:rPr>
          <w:sz w:val="22"/>
        </w:rPr>
        <w:t>132 767,32</w:t>
      </w:r>
      <w:r w:rsidRPr="00FE762C">
        <w:rPr>
          <w:sz w:val="22"/>
        </w:rPr>
        <w:t xml:space="preserve"> Kč     </w:t>
      </w:r>
    </w:p>
    <w:p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r w:rsidR="004F0873">
        <w:rPr>
          <w:sz w:val="22"/>
        </w:rPr>
        <w:t>jednostotřicetdvatisícesedmsetšedesátsedm,32/100 korun českých</w:t>
      </w:r>
      <w:r w:rsidRPr="00FE762C">
        <w:rPr>
          <w:sz w:val="22"/>
        </w:rPr>
        <w:t xml:space="preserve">)  </w:t>
      </w:r>
    </w:p>
    <w:p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4F0873">
        <w:rPr>
          <w:b/>
          <w:sz w:val="22"/>
        </w:rPr>
        <w:t>764 992,65</w:t>
      </w:r>
      <w:r w:rsidRPr="00FE762C">
        <w:rPr>
          <w:b/>
          <w:sz w:val="22"/>
        </w:rPr>
        <w:t xml:space="preserve"> Kč  </w:t>
      </w:r>
      <w:r w:rsidRPr="00FE762C">
        <w:rPr>
          <w:b/>
          <w:sz w:val="22"/>
        </w:rPr>
        <w:tab/>
        <w:t xml:space="preserve">                   </w:t>
      </w:r>
    </w:p>
    <w:p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proofErr w:type="spellStart"/>
      <w:r w:rsidR="004F0873">
        <w:rPr>
          <w:b/>
          <w:sz w:val="22"/>
        </w:rPr>
        <w:t>sedmsetšedesátčtyřitísícedevětsetdevadesátdvě</w:t>
      </w:r>
      <w:proofErr w:type="spellEnd"/>
      <w:r w:rsidR="004F0873">
        <w:rPr>
          <w:b/>
          <w:sz w:val="22"/>
        </w:rPr>
        <w:t>, 65/100 koruny české</w:t>
      </w:r>
      <w:r w:rsidRPr="00FE762C">
        <w:rPr>
          <w:b/>
          <w:sz w:val="22"/>
        </w:rPr>
        <w:t>)</w:t>
      </w:r>
    </w:p>
    <w:p w:rsidR="00DF6323" w:rsidRPr="00FE762C" w:rsidRDefault="00DF6323" w:rsidP="00DF6323">
      <w:pPr>
        <w:ind w:left="720" w:hanging="720"/>
        <w:jc w:val="both"/>
        <w:rPr>
          <w:sz w:val="22"/>
        </w:rPr>
      </w:pPr>
      <w:r w:rsidRPr="00FE762C">
        <w:rPr>
          <w:sz w:val="22"/>
        </w:rPr>
        <w:t xml:space="preserve">                      (dále jen „Cena za provedení díla“).   </w:t>
      </w:r>
    </w:p>
    <w:p w:rsidR="00DF6323" w:rsidRPr="00FE762C" w:rsidRDefault="00DF6323" w:rsidP="00DF6323">
      <w:pPr>
        <w:ind w:left="720" w:hanging="720"/>
        <w:jc w:val="both"/>
        <w:rPr>
          <w:sz w:val="22"/>
        </w:rPr>
      </w:pPr>
      <w:r w:rsidRPr="00FE762C">
        <w:rPr>
          <w:sz w:val="22"/>
        </w:rPr>
        <w:t xml:space="preserve">  </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w:t>
      </w:r>
      <w:r w:rsidRPr="00FE762C">
        <w:rPr>
          <w:sz w:val="22"/>
          <w:szCs w:val="20"/>
        </w:rPr>
        <w:lastRenderedPageBreak/>
        <w:t>insolvenčního návrhu pro nedostatek majetku dlužníka (zhotovitele),  objednatelem uhrazené části ceny za provedení Díla;</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rsidR="00DF6323" w:rsidRPr="00FE762C" w:rsidRDefault="00DF6323" w:rsidP="000B6F4C">
      <w:pPr>
        <w:tabs>
          <w:tab w:val="num" w:pos="720"/>
        </w:tabs>
        <w:snapToGrid w:val="0"/>
        <w:ind w:left="720" w:hanging="720"/>
        <w:jc w:val="both"/>
      </w:pPr>
    </w:p>
    <w:p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rsidR="00DF6323" w:rsidRPr="00FE762C" w:rsidRDefault="00DF6323" w:rsidP="00DF6323">
      <w:pPr>
        <w:jc w:val="both"/>
        <w:rPr>
          <w:sz w:val="26"/>
        </w:rPr>
      </w:pPr>
    </w:p>
    <w:p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DF6323" w:rsidRPr="00FE762C" w:rsidRDefault="00DF6323" w:rsidP="00DF6323">
      <w:pPr>
        <w:rPr>
          <w:sz w:val="22"/>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rsidR="00DF6323" w:rsidRPr="00FE762C" w:rsidRDefault="00DF6323" w:rsidP="00DF6323">
      <w:pPr>
        <w:jc w:val="both"/>
        <w:rPr>
          <w:sz w:val="26"/>
        </w:rPr>
      </w:pPr>
      <w:r w:rsidRPr="00FE762C">
        <w:rPr>
          <w:sz w:val="26"/>
        </w:rPr>
        <w:t xml:space="preserve">    </w:t>
      </w:r>
    </w:p>
    <w:p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rsidR="00DF6323" w:rsidRPr="00FE762C" w:rsidRDefault="00DF6323" w:rsidP="00DF6323">
      <w:pPr>
        <w:ind w:left="720" w:hanging="720"/>
        <w:jc w:val="both"/>
      </w:pPr>
      <w:r w:rsidRPr="00FE762C">
        <w:lastRenderedPageBreak/>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rsidR="00DF6323" w:rsidRPr="00FE762C" w:rsidRDefault="00DF6323" w:rsidP="00DF6323">
      <w:pPr>
        <w:jc w:val="both"/>
        <w:rPr>
          <w:sz w:val="22"/>
        </w:rPr>
      </w:pPr>
    </w:p>
    <w:p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rsidR="00DF6323" w:rsidRPr="00FE762C" w:rsidRDefault="00DF6323" w:rsidP="00DF6323">
      <w:pPr>
        <w:jc w:val="both"/>
        <w:rPr>
          <w:b/>
          <w:sz w:val="26"/>
        </w:rPr>
      </w:pP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lastRenderedPageBreak/>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rsidR="00DF6323" w:rsidRPr="00FE762C" w:rsidRDefault="00DF6323" w:rsidP="00DF6323">
      <w:pPr>
        <w:jc w:val="both"/>
        <w:rPr>
          <w:sz w:val="26"/>
        </w:rPr>
      </w:pPr>
    </w:p>
    <w:p w:rsidR="00DF6323" w:rsidRPr="00FE762C" w:rsidRDefault="00DF6323" w:rsidP="00DF6323">
      <w:pPr>
        <w:keepNext/>
        <w:jc w:val="center"/>
        <w:outlineLvl w:val="5"/>
        <w:rPr>
          <w:rFonts w:ascii="Bookman Old Style" w:hAnsi="Bookman Old Style"/>
          <w:b/>
          <w:sz w:val="26"/>
          <w:szCs w:val="20"/>
        </w:rPr>
      </w:pPr>
    </w:p>
    <w:p w:rsidR="00DF6323" w:rsidRPr="00FE762C" w:rsidRDefault="00DF6323" w:rsidP="00DF6323">
      <w:pPr>
        <w:keepNext/>
        <w:jc w:val="center"/>
        <w:outlineLvl w:val="5"/>
        <w:rPr>
          <w:rFonts w:ascii="Bookman Old Style" w:hAnsi="Bookman Old Style"/>
          <w:b/>
          <w:sz w:val="26"/>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rsidR="00DF6323" w:rsidRPr="00FE762C" w:rsidRDefault="00DF6323" w:rsidP="00DF6323">
      <w:pPr>
        <w:rPr>
          <w:sz w:val="18"/>
        </w:rPr>
      </w:pPr>
    </w:p>
    <w:p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měsíců  ode dne řádného protokolárního převzetí Díla objednatelem od zhotovitele.</w:t>
      </w:r>
      <w:r w:rsidRPr="00FE762C">
        <w:rPr>
          <w:sz w:val="22"/>
          <w:szCs w:val="20"/>
        </w:rPr>
        <w:t xml:space="preserve"> </w:t>
      </w:r>
    </w:p>
    <w:p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rsidR="00DF6323" w:rsidRPr="00FE762C" w:rsidRDefault="00DF6323" w:rsidP="00DF6323">
      <w:pPr>
        <w:ind w:left="567" w:hanging="567"/>
        <w:jc w:val="both"/>
        <w:rPr>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rsidR="00DF6323" w:rsidRPr="00FE762C" w:rsidRDefault="00DF6323" w:rsidP="00DF6323">
      <w:pPr>
        <w:jc w:val="both"/>
        <w:rPr>
          <w:b/>
          <w:sz w:val="26"/>
        </w:rPr>
      </w:pPr>
    </w:p>
    <w:p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rsidR="00DF6323" w:rsidRPr="00FE762C" w:rsidRDefault="00DF6323" w:rsidP="00DF6323">
      <w:pPr>
        <w:numPr>
          <w:ilvl w:val="1"/>
          <w:numId w:val="15"/>
        </w:numPr>
        <w:ind w:left="720" w:hanging="720"/>
        <w:jc w:val="both"/>
        <w:rPr>
          <w:sz w:val="22"/>
        </w:rPr>
      </w:pPr>
      <w:r w:rsidRPr="00FE762C">
        <w:rPr>
          <w:sz w:val="22"/>
        </w:rPr>
        <w:lastRenderedPageBreak/>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rsidR="00DF6323" w:rsidRPr="00FE762C" w:rsidRDefault="00DF6323" w:rsidP="00DF6323">
      <w:pPr>
        <w:ind w:left="705" w:hanging="705"/>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rsidR="00DF6323" w:rsidRPr="00FE762C" w:rsidRDefault="00DF6323" w:rsidP="00DF6323">
      <w:pPr>
        <w:jc w:val="both"/>
        <w:rPr>
          <w:sz w:val="26"/>
        </w:rPr>
      </w:pPr>
    </w:p>
    <w:p w:rsidR="00DF6323" w:rsidRPr="00FE762C" w:rsidRDefault="00DF6323" w:rsidP="00DF6323">
      <w:pPr>
        <w:ind w:left="709" w:hanging="709"/>
        <w:jc w:val="both"/>
        <w:rPr>
          <w:sz w:val="22"/>
          <w:szCs w:val="20"/>
        </w:rPr>
      </w:pPr>
      <w:r w:rsidRPr="00FE762C">
        <w:rPr>
          <w:sz w:val="22"/>
          <w:szCs w:val="20"/>
        </w:rPr>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w:t>
      </w:r>
      <w:r w:rsidR="00C97475">
        <w:rPr>
          <w:sz w:val="22"/>
          <w:szCs w:val="20"/>
        </w:rPr>
        <w:t>6</w:t>
      </w:r>
      <w:r w:rsidRPr="00FE762C">
        <w:rPr>
          <w:sz w:val="22"/>
          <w:szCs w:val="20"/>
        </w:rPr>
        <w:t>. této smlouvy;</w:t>
      </w:r>
    </w:p>
    <w:p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F6323" w:rsidRPr="00FE762C" w:rsidRDefault="00DF6323" w:rsidP="00DF6323"/>
    <w:p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rsidR="00DF6323" w:rsidRPr="00FE762C" w:rsidRDefault="00DF6323" w:rsidP="00DF6323">
      <w:pPr>
        <w:ind w:left="1425"/>
        <w:jc w:val="both"/>
        <w:rPr>
          <w:sz w:val="26"/>
        </w:rPr>
      </w:pPr>
    </w:p>
    <w:p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rsidR="00DF6323" w:rsidRPr="00FE762C" w:rsidRDefault="00DF6323" w:rsidP="00DF6323">
      <w:pPr>
        <w:snapToGrid w:val="0"/>
        <w:ind w:left="705" w:hanging="705"/>
        <w:jc w:val="both"/>
        <w:rPr>
          <w:szCs w:val="20"/>
        </w:rPr>
      </w:pPr>
    </w:p>
    <w:p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rsidR="00DF6323" w:rsidRPr="00FE762C" w:rsidRDefault="00DF6323" w:rsidP="00DF6323">
      <w:pPr>
        <w:jc w:val="both"/>
        <w:rPr>
          <w:b/>
          <w:caps/>
        </w:rPr>
      </w:pPr>
    </w:p>
    <w:p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rsidR="00DF6323" w:rsidRPr="00FE762C" w:rsidRDefault="00DF6323" w:rsidP="00DF6323">
      <w:pPr>
        <w:numPr>
          <w:ilvl w:val="1"/>
          <w:numId w:val="16"/>
        </w:numPr>
        <w:jc w:val="both"/>
      </w:pPr>
      <w:r w:rsidRPr="00FE762C">
        <w:lastRenderedPageBreak/>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rsidR="00DF6323" w:rsidRPr="00FE762C" w:rsidRDefault="00DF6323" w:rsidP="00DF6323">
      <w:pPr>
        <w:keepNext/>
        <w:outlineLvl w:val="0"/>
        <w:rPr>
          <w:b/>
          <w:sz w:val="22"/>
          <w:szCs w:val="20"/>
        </w:rPr>
      </w:pPr>
    </w:p>
    <w:p w:rsidR="00447736" w:rsidRPr="00FE762C" w:rsidRDefault="00447736" w:rsidP="00DF6323">
      <w:pPr>
        <w:keepNext/>
        <w:outlineLvl w:val="0"/>
        <w:rPr>
          <w:b/>
          <w:sz w:val="22"/>
          <w:szCs w:val="20"/>
        </w:rPr>
      </w:pPr>
    </w:p>
    <w:p w:rsidR="00265030" w:rsidRPr="00FE762C" w:rsidRDefault="00265030" w:rsidP="00DF6323">
      <w:pPr>
        <w:keepNext/>
        <w:outlineLvl w:val="0"/>
        <w:rPr>
          <w:b/>
          <w:sz w:val="22"/>
          <w:szCs w:val="20"/>
        </w:rPr>
      </w:pPr>
    </w:p>
    <w:p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rsidR="00DF6323" w:rsidRPr="00FE762C" w:rsidRDefault="00DF6323" w:rsidP="00DF6323">
      <w:pPr>
        <w:ind w:left="709" w:hanging="709"/>
        <w:jc w:val="both"/>
        <w:rPr>
          <w:sz w:val="26"/>
          <w:szCs w:val="20"/>
        </w:rPr>
      </w:pPr>
    </w:p>
    <w:p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F6323" w:rsidRPr="00FE762C" w:rsidRDefault="00DF6323" w:rsidP="00DF6323">
      <w:pPr>
        <w:ind w:left="705" w:hanging="705"/>
        <w:jc w:val="both"/>
        <w:rPr>
          <w:sz w:val="22"/>
        </w:rPr>
      </w:pPr>
    </w:p>
    <w:p w:rsidR="00DF6323" w:rsidRPr="00FE762C" w:rsidRDefault="00DF6323" w:rsidP="00DF6323">
      <w:pPr>
        <w:jc w:val="both"/>
        <w:rPr>
          <w:i/>
          <w:sz w:val="22"/>
        </w:rPr>
      </w:pPr>
      <w:r w:rsidRPr="00FE762C">
        <w:rPr>
          <w:i/>
          <w:sz w:val="22"/>
        </w:rPr>
        <w:t xml:space="preserve">Přílohy: </w:t>
      </w:r>
    </w:p>
    <w:p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rsidR="00C82C8F" w:rsidRPr="00FE762C" w:rsidRDefault="00C82C8F" w:rsidP="00C82C8F">
      <w:pPr>
        <w:jc w:val="both"/>
        <w:rPr>
          <w:i/>
          <w:iCs/>
          <w:sz w:val="22"/>
        </w:rPr>
      </w:pPr>
    </w:p>
    <w:p w:rsidR="00C82C8F" w:rsidRPr="00FE762C" w:rsidRDefault="00C82C8F" w:rsidP="00C82C8F">
      <w:pPr>
        <w:jc w:val="both"/>
        <w:rPr>
          <w:i/>
          <w:iCs/>
          <w:sz w:val="22"/>
        </w:rPr>
      </w:pPr>
    </w:p>
    <w:p w:rsidR="007269E6" w:rsidRPr="00FE762C" w:rsidRDefault="000C6B2C" w:rsidP="007269E6">
      <w:pPr>
        <w:jc w:val="both"/>
        <w:rPr>
          <w:sz w:val="22"/>
        </w:rPr>
      </w:pPr>
      <w:r w:rsidRPr="00FE762C">
        <w:t xml:space="preserve">            </w:t>
      </w:r>
    </w:p>
    <w:p w:rsidR="007269E6" w:rsidRPr="00FE762C" w:rsidRDefault="007269E6" w:rsidP="007269E6">
      <w:pPr>
        <w:ind w:left="720" w:hanging="720"/>
        <w:jc w:val="both"/>
        <w:rPr>
          <w:b/>
          <w:sz w:val="22"/>
        </w:rPr>
      </w:pPr>
      <w:r w:rsidRPr="00FE762C">
        <w:rPr>
          <w:sz w:val="22"/>
        </w:rPr>
        <w:t xml:space="preserve">            Dne : </w:t>
      </w:r>
      <w:r w:rsidR="00B27FD4">
        <w:rPr>
          <w:sz w:val="22"/>
        </w:rPr>
        <w:t>18.07.2017</w:t>
      </w:r>
      <w:r w:rsidRPr="00FE762C">
        <w:rPr>
          <w:sz w:val="22"/>
        </w:rPr>
        <w:t xml:space="preserve">                                                Dne : </w:t>
      </w:r>
      <w:r w:rsidR="00B27FD4">
        <w:rPr>
          <w:sz w:val="22"/>
        </w:rPr>
        <w:t>13.07.2017</w:t>
      </w:r>
      <w:bookmarkStart w:id="0" w:name="_GoBack"/>
      <w:bookmarkEnd w:id="0"/>
    </w:p>
    <w:p w:rsidR="007269E6" w:rsidRPr="00FE762C" w:rsidRDefault="007269E6" w:rsidP="007269E6">
      <w:pPr>
        <w:pStyle w:val="Nadpis1"/>
        <w:jc w:val="both"/>
      </w:pPr>
      <w:r w:rsidRPr="00FE762C">
        <w:t xml:space="preserve">             </w:t>
      </w:r>
    </w:p>
    <w:p w:rsidR="007269E6" w:rsidRPr="00FE762C" w:rsidRDefault="007269E6" w:rsidP="007269E6">
      <w:pPr>
        <w:rPr>
          <w:sz w:val="22"/>
        </w:rPr>
      </w:pPr>
    </w:p>
    <w:p w:rsidR="007269E6" w:rsidRDefault="007269E6" w:rsidP="007269E6">
      <w:pPr>
        <w:rPr>
          <w:sz w:val="22"/>
        </w:rPr>
      </w:pPr>
    </w:p>
    <w:p w:rsidR="004F0873" w:rsidRDefault="004F0873" w:rsidP="007269E6">
      <w:pPr>
        <w:rPr>
          <w:sz w:val="22"/>
        </w:rPr>
      </w:pPr>
    </w:p>
    <w:p w:rsidR="004F0873" w:rsidRDefault="004F0873" w:rsidP="007269E6">
      <w:pPr>
        <w:rPr>
          <w:sz w:val="22"/>
        </w:rPr>
      </w:pPr>
    </w:p>
    <w:p w:rsidR="004F0873" w:rsidRPr="00FE762C" w:rsidRDefault="004F0873" w:rsidP="007269E6">
      <w:pPr>
        <w:rPr>
          <w:sz w:val="22"/>
        </w:rPr>
      </w:pPr>
    </w:p>
    <w:p w:rsidR="007269E6" w:rsidRPr="00FE762C" w:rsidRDefault="007269E6" w:rsidP="007269E6">
      <w:pPr>
        <w:pStyle w:val="Nadpis1"/>
        <w:jc w:val="both"/>
      </w:pPr>
      <w:r w:rsidRPr="00FE762C">
        <w:t xml:space="preserve">       ------------------------------------                                         ------------------------------------</w:t>
      </w:r>
    </w:p>
    <w:p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rsidR="007269E6" w:rsidRPr="00FE762C" w:rsidRDefault="007269E6" w:rsidP="007269E6">
      <w:pPr>
        <w:jc w:val="both"/>
        <w:rPr>
          <w:sz w:val="22"/>
        </w:rPr>
      </w:pPr>
      <w:r w:rsidRPr="00FE762C">
        <w:rPr>
          <w:sz w:val="22"/>
        </w:rPr>
        <w:t xml:space="preserve">      </w:t>
      </w:r>
    </w:p>
    <w:p w:rsidR="007269E6" w:rsidRPr="00FE762C" w:rsidRDefault="007269E6" w:rsidP="007269E6">
      <w:pPr>
        <w:jc w:val="both"/>
        <w:rPr>
          <w:b/>
          <w:sz w:val="22"/>
        </w:rPr>
      </w:pPr>
      <w:r w:rsidRPr="00FE762C">
        <w:rPr>
          <w:b/>
          <w:sz w:val="22"/>
        </w:rPr>
        <w:t xml:space="preserve">              Ing. </w:t>
      </w:r>
      <w:r w:rsidR="004F0873">
        <w:rPr>
          <w:b/>
          <w:sz w:val="22"/>
        </w:rPr>
        <w:t xml:space="preserve">Jan </w:t>
      </w:r>
      <w:proofErr w:type="spellStart"/>
      <w:r w:rsidR="004F0873">
        <w:rPr>
          <w:b/>
          <w:sz w:val="22"/>
        </w:rPr>
        <w:t>Lichtneger</w:t>
      </w:r>
      <w:proofErr w:type="spellEnd"/>
      <w:r w:rsidRPr="00FE762C">
        <w:rPr>
          <w:sz w:val="22"/>
        </w:rPr>
        <w:t xml:space="preserve">   </w:t>
      </w:r>
      <w:r w:rsidRPr="00FE762C">
        <w:rPr>
          <w:b/>
          <w:sz w:val="22"/>
        </w:rPr>
        <w:t xml:space="preserve"> </w:t>
      </w:r>
      <w:r w:rsidR="004F0873">
        <w:rPr>
          <w:b/>
          <w:sz w:val="22"/>
        </w:rPr>
        <w:tab/>
      </w:r>
      <w:r w:rsidR="004F0873">
        <w:rPr>
          <w:b/>
          <w:sz w:val="22"/>
        </w:rPr>
        <w:tab/>
      </w:r>
      <w:r w:rsidR="004F0873">
        <w:rPr>
          <w:b/>
          <w:sz w:val="22"/>
        </w:rPr>
        <w:tab/>
      </w:r>
      <w:r w:rsidR="004F0873">
        <w:rPr>
          <w:b/>
          <w:sz w:val="22"/>
        </w:rPr>
        <w:tab/>
        <w:t xml:space="preserve">  Ing. Kamil Hrbek</w:t>
      </w:r>
    </w:p>
    <w:p w:rsidR="007269E6" w:rsidRPr="00FE762C" w:rsidRDefault="001F3E69" w:rsidP="007269E6">
      <w:pPr>
        <w:jc w:val="both"/>
        <w:rPr>
          <w:sz w:val="22"/>
          <w:szCs w:val="22"/>
        </w:rPr>
      </w:pPr>
      <w:r>
        <w:rPr>
          <w:sz w:val="22"/>
          <w:szCs w:val="22"/>
        </w:rPr>
        <w:t xml:space="preserve">       </w:t>
      </w:r>
      <w:r w:rsidR="007269E6" w:rsidRPr="00FE762C">
        <w:rPr>
          <w:sz w:val="22"/>
          <w:szCs w:val="22"/>
        </w:rPr>
        <w:t>ředitel Krajské správy a údržby silnic</w:t>
      </w:r>
      <w:r w:rsidR="007269E6" w:rsidRPr="00FE762C">
        <w:rPr>
          <w:sz w:val="22"/>
          <w:szCs w:val="22"/>
        </w:rPr>
        <w:tab/>
      </w:r>
      <w:r w:rsidR="007269E6" w:rsidRPr="00FE762C">
        <w:rPr>
          <w:sz w:val="22"/>
          <w:szCs w:val="22"/>
        </w:rPr>
        <w:tab/>
      </w:r>
      <w:r w:rsidR="007269E6" w:rsidRPr="00FE762C">
        <w:rPr>
          <w:sz w:val="22"/>
          <w:szCs w:val="22"/>
        </w:rPr>
        <w:tab/>
      </w:r>
      <w:r w:rsidR="004F0873">
        <w:rPr>
          <w:sz w:val="22"/>
          <w:szCs w:val="22"/>
        </w:rPr>
        <w:t>prokurista společnosti</w:t>
      </w:r>
    </w:p>
    <w:p w:rsidR="000C6B2C" w:rsidRPr="00FE762C" w:rsidRDefault="007269E6">
      <w:pPr>
        <w:jc w:val="both"/>
      </w:pPr>
      <w:r w:rsidRPr="00FE762C">
        <w:rPr>
          <w:sz w:val="22"/>
          <w:szCs w:val="22"/>
        </w:rPr>
        <w:t xml:space="preserve">          </w:t>
      </w:r>
      <w:r w:rsidR="001F3E69">
        <w:rPr>
          <w:sz w:val="22"/>
          <w:szCs w:val="22"/>
        </w:rPr>
        <w:t xml:space="preserve">      </w:t>
      </w:r>
      <w:r w:rsidRPr="00FE762C">
        <w:rPr>
          <w:sz w:val="22"/>
          <w:szCs w:val="22"/>
        </w:rPr>
        <w:t xml:space="preserve">   Karlovarského kraje,                                       </w:t>
      </w:r>
      <w:r w:rsidR="004F0873">
        <w:rPr>
          <w:sz w:val="22"/>
          <w:szCs w:val="22"/>
        </w:rPr>
        <w:t xml:space="preserve">             </w:t>
      </w:r>
      <w:r w:rsidRPr="00FE762C">
        <w:rPr>
          <w:sz w:val="22"/>
          <w:szCs w:val="22"/>
        </w:rPr>
        <w:t xml:space="preserve"> </w:t>
      </w:r>
      <w:r w:rsidR="004F0873">
        <w:rPr>
          <w:sz w:val="22"/>
          <w:szCs w:val="22"/>
        </w:rPr>
        <w:t>Froněk, spol. s r.o.</w:t>
      </w:r>
    </w:p>
    <w:sectPr w:rsidR="000C6B2C" w:rsidRPr="00FE762C" w:rsidSect="00E3549B">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DD" w:rsidRDefault="00D841DD">
      <w:r>
        <w:separator/>
      </w:r>
    </w:p>
  </w:endnote>
  <w:endnote w:type="continuationSeparator" w:id="0">
    <w:p w:rsidR="00D841DD" w:rsidRDefault="00D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pPr>
    <w:r>
      <w:tab/>
      <w:t xml:space="preserve">- </w:t>
    </w:r>
    <w:r w:rsidR="00E3549B">
      <w:fldChar w:fldCharType="begin"/>
    </w:r>
    <w:r>
      <w:instrText xml:space="preserve"> PAGE </w:instrText>
    </w:r>
    <w:r w:rsidR="00E3549B">
      <w:fldChar w:fldCharType="separate"/>
    </w:r>
    <w:r w:rsidR="00B27FD4">
      <w:rPr>
        <w:noProof/>
      </w:rPr>
      <w:t>8</w:t>
    </w:r>
    <w:r w:rsidR="00E3549B">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DD" w:rsidRDefault="00D841DD">
      <w:r>
        <w:separator/>
      </w:r>
    </w:p>
  </w:footnote>
  <w:footnote w:type="continuationSeparator" w:id="0">
    <w:p w:rsidR="00D841DD" w:rsidRDefault="00D84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727BC"/>
    <w:rsid w:val="00076FE9"/>
    <w:rsid w:val="00084434"/>
    <w:rsid w:val="000929BB"/>
    <w:rsid w:val="00095AF4"/>
    <w:rsid w:val="000B6F4C"/>
    <w:rsid w:val="000C6B2C"/>
    <w:rsid w:val="001128DD"/>
    <w:rsid w:val="00132FBE"/>
    <w:rsid w:val="00133193"/>
    <w:rsid w:val="001469CE"/>
    <w:rsid w:val="0017270B"/>
    <w:rsid w:val="00183692"/>
    <w:rsid w:val="001A4079"/>
    <w:rsid w:val="001A698E"/>
    <w:rsid w:val="001E10FF"/>
    <w:rsid w:val="001E2953"/>
    <w:rsid w:val="001F3A82"/>
    <w:rsid w:val="001F3E69"/>
    <w:rsid w:val="0020227B"/>
    <w:rsid w:val="00224231"/>
    <w:rsid w:val="00224E97"/>
    <w:rsid w:val="00232909"/>
    <w:rsid w:val="00250DA2"/>
    <w:rsid w:val="00256CC2"/>
    <w:rsid w:val="00261DEA"/>
    <w:rsid w:val="00265030"/>
    <w:rsid w:val="00274AC3"/>
    <w:rsid w:val="002B394B"/>
    <w:rsid w:val="002B54A2"/>
    <w:rsid w:val="002F02A8"/>
    <w:rsid w:val="00303A2D"/>
    <w:rsid w:val="00304151"/>
    <w:rsid w:val="00330669"/>
    <w:rsid w:val="00355FBD"/>
    <w:rsid w:val="0036023E"/>
    <w:rsid w:val="00362663"/>
    <w:rsid w:val="003651F8"/>
    <w:rsid w:val="003762E6"/>
    <w:rsid w:val="003A4E21"/>
    <w:rsid w:val="003D3B82"/>
    <w:rsid w:val="003E1730"/>
    <w:rsid w:val="0040102F"/>
    <w:rsid w:val="00405C2C"/>
    <w:rsid w:val="00413A48"/>
    <w:rsid w:val="004170E3"/>
    <w:rsid w:val="00435E80"/>
    <w:rsid w:val="00447736"/>
    <w:rsid w:val="004564BD"/>
    <w:rsid w:val="004B1CDC"/>
    <w:rsid w:val="004C24CF"/>
    <w:rsid w:val="004C7C98"/>
    <w:rsid w:val="004F0873"/>
    <w:rsid w:val="004F3C36"/>
    <w:rsid w:val="0051471D"/>
    <w:rsid w:val="00542E12"/>
    <w:rsid w:val="005559CC"/>
    <w:rsid w:val="005567BE"/>
    <w:rsid w:val="00585337"/>
    <w:rsid w:val="005A58D0"/>
    <w:rsid w:val="005B58F6"/>
    <w:rsid w:val="005D2DCB"/>
    <w:rsid w:val="005D45F1"/>
    <w:rsid w:val="005E2B78"/>
    <w:rsid w:val="005F3D9F"/>
    <w:rsid w:val="005F4B02"/>
    <w:rsid w:val="005F7196"/>
    <w:rsid w:val="00607648"/>
    <w:rsid w:val="00612665"/>
    <w:rsid w:val="00627F52"/>
    <w:rsid w:val="006326FF"/>
    <w:rsid w:val="0064052C"/>
    <w:rsid w:val="00650F97"/>
    <w:rsid w:val="006520DA"/>
    <w:rsid w:val="0065464E"/>
    <w:rsid w:val="00670EBB"/>
    <w:rsid w:val="00694010"/>
    <w:rsid w:val="006E26F3"/>
    <w:rsid w:val="006F2B8C"/>
    <w:rsid w:val="00713421"/>
    <w:rsid w:val="007269E6"/>
    <w:rsid w:val="00747749"/>
    <w:rsid w:val="0075205F"/>
    <w:rsid w:val="00754057"/>
    <w:rsid w:val="007568F3"/>
    <w:rsid w:val="00763CCA"/>
    <w:rsid w:val="0076625E"/>
    <w:rsid w:val="00787E6B"/>
    <w:rsid w:val="007A7DD7"/>
    <w:rsid w:val="007B2DDE"/>
    <w:rsid w:val="007D2F25"/>
    <w:rsid w:val="007D43BC"/>
    <w:rsid w:val="007D4D2C"/>
    <w:rsid w:val="00823084"/>
    <w:rsid w:val="00835011"/>
    <w:rsid w:val="00850EFD"/>
    <w:rsid w:val="008767BF"/>
    <w:rsid w:val="00884E64"/>
    <w:rsid w:val="0089285C"/>
    <w:rsid w:val="008A29CE"/>
    <w:rsid w:val="008A2D25"/>
    <w:rsid w:val="008B1633"/>
    <w:rsid w:val="008D1BF7"/>
    <w:rsid w:val="008E34D2"/>
    <w:rsid w:val="008F25AD"/>
    <w:rsid w:val="00901E1E"/>
    <w:rsid w:val="00902651"/>
    <w:rsid w:val="00904204"/>
    <w:rsid w:val="009074A6"/>
    <w:rsid w:val="00913797"/>
    <w:rsid w:val="00913FDC"/>
    <w:rsid w:val="009443AE"/>
    <w:rsid w:val="00944BB2"/>
    <w:rsid w:val="00954609"/>
    <w:rsid w:val="00963B92"/>
    <w:rsid w:val="009878E0"/>
    <w:rsid w:val="009A2A0D"/>
    <w:rsid w:val="009D0A36"/>
    <w:rsid w:val="009E46A6"/>
    <w:rsid w:val="009E5E97"/>
    <w:rsid w:val="00A6635E"/>
    <w:rsid w:val="00A6649E"/>
    <w:rsid w:val="00A72FAE"/>
    <w:rsid w:val="00A9263F"/>
    <w:rsid w:val="00A957B3"/>
    <w:rsid w:val="00AA7465"/>
    <w:rsid w:val="00AA7E2A"/>
    <w:rsid w:val="00AB5144"/>
    <w:rsid w:val="00AE49BD"/>
    <w:rsid w:val="00AF5952"/>
    <w:rsid w:val="00B00CF8"/>
    <w:rsid w:val="00B1370E"/>
    <w:rsid w:val="00B2375A"/>
    <w:rsid w:val="00B27FD4"/>
    <w:rsid w:val="00B9074C"/>
    <w:rsid w:val="00BA67A0"/>
    <w:rsid w:val="00BD170B"/>
    <w:rsid w:val="00BE3B52"/>
    <w:rsid w:val="00BF1783"/>
    <w:rsid w:val="00C12852"/>
    <w:rsid w:val="00C20949"/>
    <w:rsid w:val="00C33C57"/>
    <w:rsid w:val="00C63BFB"/>
    <w:rsid w:val="00C82C8F"/>
    <w:rsid w:val="00C9173A"/>
    <w:rsid w:val="00C97475"/>
    <w:rsid w:val="00CB7651"/>
    <w:rsid w:val="00CC0018"/>
    <w:rsid w:val="00CC512C"/>
    <w:rsid w:val="00CD2476"/>
    <w:rsid w:val="00CD65D1"/>
    <w:rsid w:val="00CE2483"/>
    <w:rsid w:val="00D029C9"/>
    <w:rsid w:val="00D10BC4"/>
    <w:rsid w:val="00D1183A"/>
    <w:rsid w:val="00D21CEF"/>
    <w:rsid w:val="00D222A8"/>
    <w:rsid w:val="00D34EB7"/>
    <w:rsid w:val="00D40750"/>
    <w:rsid w:val="00D713E1"/>
    <w:rsid w:val="00D841DD"/>
    <w:rsid w:val="00DB0EF3"/>
    <w:rsid w:val="00DD7FCE"/>
    <w:rsid w:val="00DE6752"/>
    <w:rsid w:val="00DF6323"/>
    <w:rsid w:val="00E1174B"/>
    <w:rsid w:val="00E22040"/>
    <w:rsid w:val="00E3549B"/>
    <w:rsid w:val="00E5628B"/>
    <w:rsid w:val="00E574B5"/>
    <w:rsid w:val="00E83803"/>
    <w:rsid w:val="00EF291C"/>
    <w:rsid w:val="00F05889"/>
    <w:rsid w:val="00F06CEB"/>
    <w:rsid w:val="00F525C2"/>
    <w:rsid w:val="00F600B6"/>
    <w:rsid w:val="00F76D09"/>
    <w:rsid w:val="00F77E0B"/>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DB7CCA-8DBD-4C9F-983A-FB7C797B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E3549B"/>
    <w:pPr>
      <w:keepNext/>
      <w:outlineLvl w:val="0"/>
    </w:pPr>
    <w:rPr>
      <w:b/>
      <w:sz w:val="22"/>
      <w:szCs w:val="20"/>
    </w:rPr>
  </w:style>
  <w:style w:type="paragraph" w:styleId="Nadpis2">
    <w:name w:val="heading 2"/>
    <w:basedOn w:val="Normln"/>
    <w:next w:val="Normln"/>
    <w:qFormat/>
    <w:rsid w:val="00E3549B"/>
    <w:pPr>
      <w:keepNext/>
      <w:jc w:val="both"/>
      <w:outlineLvl w:val="1"/>
    </w:pPr>
    <w:rPr>
      <w:sz w:val="26"/>
    </w:rPr>
  </w:style>
  <w:style w:type="paragraph" w:styleId="Nadpis6">
    <w:name w:val="heading 6"/>
    <w:basedOn w:val="Normln"/>
    <w:next w:val="Normln"/>
    <w:qFormat/>
    <w:rsid w:val="00E3549B"/>
    <w:pPr>
      <w:keepNext/>
      <w:jc w:val="center"/>
      <w:outlineLvl w:val="5"/>
    </w:pPr>
    <w:rPr>
      <w:b/>
      <w:sz w:val="22"/>
      <w:szCs w:val="20"/>
    </w:rPr>
  </w:style>
  <w:style w:type="paragraph" w:styleId="Nadpis7">
    <w:name w:val="heading 7"/>
    <w:basedOn w:val="Normln"/>
    <w:next w:val="Normln"/>
    <w:qFormat/>
    <w:rsid w:val="00E3549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549B"/>
    <w:pPr>
      <w:jc w:val="center"/>
    </w:pPr>
    <w:rPr>
      <w:sz w:val="22"/>
      <w:szCs w:val="20"/>
    </w:rPr>
  </w:style>
  <w:style w:type="paragraph" w:customStyle="1" w:styleId="BodyText21">
    <w:name w:val="Body Text 21"/>
    <w:basedOn w:val="Normln"/>
    <w:rsid w:val="00E3549B"/>
    <w:pPr>
      <w:widowControl w:val="0"/>
      <w:jc w:val="both"/>
    </w:pPr>
    <w:rPr>
      <w:snapToGrid w:val="0"/>
      <w:sz w:val="22"/>
      <w:szCs w:val="20"/>
    </w:rPr>
  </w:style>
  <w:style w:type="paragraph" w:styleId="Zkladntextodsazen">
    <w:name w:val="Body Text Indent"/>
    <w:basedOn w:val="Normln"/>
    <w:rsid w:val="00E3549B"/>
    <w:pPr>
      <w:ind w:left="709" w:hanging="142"/>
      <w:jc w:val="both"/>
    </w:pPr>
    <w:rPr>
      <w:sz w:val="22"/>
      <w:szCs w:val="20"/>
    </w:rPr>
  </w:style>
  <w:style w:type="paragraph" w:styleId="Zkladntext2">
    <w:name w:val="Body Text 2"/>
    <w:basedOn w:val="Normln"/>
    <w:rsid w:val="00E3549B"/>
    <w:pPr>
      <w:jc w:val="both"/>
    </w:pPr>
    <w:rPr>
      <w:sz w:val="22"/>
      <w:szCs w:val="20"/>
    </w:rPr>
  </w:style>
  <w:style w:type="paragraph" w:styleId="Zkladntextodsazen3">
    <w:name w:val="Body Text Indent 3"/>
    <w:basedOn w:val="Normln"/>
    <w:rsid w:val="00E3549B"/>
    <w:pPr>
      <w:ind w:left="567" w:hanging="567"/>
      <w:jc w:val="both"/>
    </w:pPr>
    <w:rPr>
      <w:sz w:val="22"/>
      <w:szCs w:val="20"/>
    </w:rPr>
  </w:style>
  <w:style w:type="paragraph" w:styleId="Zpat">
    <w:name w:val="footer"/>
    <w:basedOn w:val="Normln"/>
    <w:rsid w:val="00E3549B"/>
    <w:pPr>
      <w:tabs>
        <w:tab w:val="center" w:pos="4536"/>
        <w:tab w:val="right" w:pos="9072"/>
      </w:tabs>
    </w:pPr>
    <w:rPr>
      <w:sz w:val="20"/>
      <w:szCs w:val="20"/>
    </w:rPr>
  </w:style>
  <w:style w:type="paragraph" w:styleId="Zhlav">
    <w:name w:val="header"/>
    <w:basedOn w:val="Normln"/>
    <w:rsid w:val="00E3549B"/>
    <w:pPr>
      <w:tabs>
        <w:tab w:val="center" w:pos="4536"/>
        <w:tab w:val="right" w:pos="9072"/>
      </w:tabs>
    </w:pPr>
  </w:style>
  <w:style w:type="paragraph" w:customStyle="1" w:styleId="odstavec1">
    <w:name w:val="odstavec1"/>
    <w:basedOn w:val="Normln"/>
    <w:rsid w:val="00E3549B"/>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E3549B"/>
    <w:rPr>
      <w:rFonts w:ascii="Tahoma" w:hAnsi="Tahoma" w:cs="Bookman Old Style"/>
      <w:sz w:val="16"/>
      <w:szCs w:val="16"/>
    </w:rPr>
  </w:style>
  <w:style w:type="paragraph" w:styleId="Nzev">
    <w:name w:val="Title"/>
    <w:basedOn w:val="Normln"/>
    <w:qFormat/>
    <w:rsid w:val="00E3549B"/>
    <w:pPr>
      <w:ind w:left="2340"/>
      <w:jc w:val="center"/>
    </w:pPr>
    <w:rPr>
      <w:sz w:val="32"/>
    </w:rPr>
  </w:style>
  <w:style w:type="paragraph" w:styleId="Zkladntextodsazen2">
    <w:name w:val="Body Text Indent 2"/>
    <w:basedOn w:val="Normln"/>
    <w:rsid w:val="00E3549B"/>
    <w:pPr>
      <w:ind w:left="720" w:hanging="720"/>
      <w:jc w:val="both"/>
    </w:pPr>
  </w:style>
  <w:style w:type="paragraph" w:styleId="Zkladntext3">
    <w:name w:val="Body Text 3"/>
    <w:basedOn w:val="Normln"/>
    <w:rsid w:val="00E3549B"/>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3.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14CDB5-19D1-45B0-8A51-70162F30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5</TotalTime>
  <Pages>1</Pages>
  <Words>4471</Words>
  <Characters>26384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4</cp:revision>
  <cp:lastPrinted>2017-04-25T07:46:00Z</cp:lastPrinted>
  <dcterms:created xsi:type="dcterms:W3CDTF">2017-07-19T05:54:00Z</dcterms:created>
  <dcterms:modified xsi:type="dcterms:W3CDTF">2017-07-19T05:59:00Z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