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5E0C25" w:rsidRDefault="00235CA2">
      <w:pPr>
        <w:shd w:val="clear" w:color="auto" w:fill="FFFFFF"/>
        <w:spacing w:after="280"/>
        <w:jc w:val="center"/>
        <w:rPr>
          <w:rFonts w:ascii="Open Sans Light" w:eastAsia="Open Sans Light" w:hAnsi="Open Sans Light" w:cs="Open Sans Light"/>
          <w:color w:val="333333"/>
          <w:sz w:val="23"/>
          <w:szCs w:val="23"/>
        </w:rPr>
      </w:pPr>
      <w:r>
        <w:rPr>
          <w:rFonts w:ascii="Open Sans Light" w:eastAsia="Open Sans Light" w:hAnsi="Open Sans Light" w:cs="Open Sans Light"/>
          <w:b/>
          <w:color w:val="333333"/>
          <w:sz w:val="34"/>
          <w:szCs w:val="34"/>
        </w:rPr>
        <w:t>SMLOUVA O DÍLO</w:t>
      </w:r>
      <w:r>
        <w:rPr>
          <w:rFonts w:ascii="Open Sans Light" w:eastAsia="Open Sans Light" w:hAnsi="Open Sans Light" w:cs="Open Sans Light"/>
          <w:color w:val="333333"/>
          <w:sz w:val="23"/>
          <w:szCs w:val="23"/>
        </w:rPr>
        <w:br/>
        <w:t> </w:t>
      </w:r>
    </w:p>
    <w:p w14:paraId="00000002" w14:textId="77777777" w:rsidR="005E0C25" w:rsidRDefault="00235CA2">
      <w:pPr>
        <w:spacing w:after="0" w:line="300" w:lineRule="auto"/>
        <w:rPr>
          <w:rFonts w:ascii="Open Sans Light" w:eastAsia="Open Sans Light" w:hAnsi="Open Sans Light" w:cs="Open Sans Light"/>
          <w:b/>
          <w:color w:val="000000"/>
          <w:sz w:val="23"/>
          <w:szCs w:val="23"/>
          <w:highlight w:val="white"/>
        </w:rPr>
      </w:pPr>
      <w:proofErr w:type="gramStart"/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>název:  </w:t>
      </w: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ab/>
      </w:r>
      <w:proofErr w:type="gramEnd"/>
      <w:r>
        <w:rPr>
          <w:rFonts w:ascii="Open Sans Light" w:eastAsia="Open Sans Light" w:hAnsi="Open Sans Light" w:cs="Open Sans Light"/>
          <w:b/>
          <w:color w:val="000000"/>
          <w:sz w:val="23"/>
          <w:szCs w:val="23"/>
          <w:highlight w:val="white"/>
        </w:rPr>
        <w:t xml:space="preserve">České dědictví UNESCO, </w:t>
      </w:r>
      <w:proofErr w:type="spellStart"/>
      <w:r>
        <w:rPr>
          <w:rFonts w:ascii="Open Sans Light" w:eastAsia="Open Sans Light" w:hAnsi="Open Sans Light" w:cs="Open Sans Light"/>
          <w:b/>
          <w:color w:val="000000"/>
          <w:sz w:val="23"/>
          <w:szCs w:val="23"/>
          <w:highlight w:val="white"/>
        </w:rPr>
        <w:t>d.s.o</w:t>
      </w:r>
      <w:proofErr w:type="spellEnd"/>
      <w:r>
        <w:rPr>
          <w:rFonts w:ascii="Open Sans Light" w:eastAsia="Open Sans Light" w:hAnsi="Open Sans Light" w:cs="Open Sans Light"/>
          <w:b/>
          <w:color w:val="000000"/>
          <w:sz w:val="23"/>
          <w:szCs w:val="23"/>
          <w:highlight w:val="white"/>
        </w:rPr>
        <w:t>.</w:t>
      </w:r>
    </w:p>
    <w:p w14:paraId="00000003" w14:textId="77777777" w:rsidR="005E0C25" w:rsidRDefault="00235CA2">
      <w:pPr>
        <w:spacing w:after="0" w:line="300" w:lineRule="auto"/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</w:pPr>
      <w:proofErr w:type="gramStart"/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>sídlo:  </w:t>
      </w: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ab/>
      </w:r>
      <w:proofErr w:type="gramEnd"/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ab/>
        <w:t>Bří Šťastných 1000, 570 01 Litomyšl,</w:t>
      </w: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br/>
        <w:t>IČ:  </w:t>
      </w: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ab/>
      </w: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ab/>
        <w:t>70963452</w:t>
      </w:r>
    </w:p>
    <w:p w14:paraId="00000004" w14:textId="77777777" w:rsidR="005E0C25" w:rsidRDefault="00235CA2">
      <w:pPr>
        <w:spacing w:after="0" w:line="300" w:lineRule="auto"/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</w:pP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>č. účtu:</w:t>
      </w: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ab/>
      </w: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br/>
      </w:r>
      <w:r>
        <w:rPr>
          <w:rFonts w:ascii="Open Sans Light" w:eastAsia="Open Sans Light" w:hAnsi="Open Sans Light" w:cs="Open Sans Light"/>
          <w:sz w:val="23"/>
          <w:szCs w:val="23"/>
          <w:highlight w:val="white"/>
        </w:rPr>
        <w:t>zastoupené:</w:t>
      </w:r>
      <w:r>
        <w:rPr>
          <w:rFonts w:ascii="Open Sans Light" w:eastAsia="Open Sans Light" w:hAnsi="Open Sans Light" w:cs="Open Sans Light"/>
          <w:sz w:val="23"/>
          <w:szCs w:val="23"/>
          <w:highlight w:val="white"/>
        </w:rPr>
        <w:tab/>
        <w:t xml:space="preserve">Ing. </w:t>
      </w: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>Michaelou Severovou, výkonnou ředitelkou</w:t>
      </w:r>
      <w:r>
        <w:rPr>
          <w:rFonts w:ascii="Open Sans Light" w:eastAsia="Open Sans Light" w:hAnsi="Open Sans Light" w:cs="Open Sans Light"/>
          <w:color w:val="000000"/>
          <w:sz w:val="23"/>
          <w:szCs w:val="23"/>
        </w:rPr>
        <w:br/>
      </w: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>(dále jen jako „</w:t>
      </w:r>
      <w:r>
        <w:rPr>
          <w:rFonts w:ascii="Open Sans Light" w:eastAsia="Open Sans Light" w:hAnsi="Open Sans Light" w:cs="Open Sans Light"/>
          <w:b/>
          <w:color w:val="000000"/>
          <w:sz w:val="23"/>
          <w:szCs w:val="23"/>
        </w:rPr>
        <w:t>Objednatel</w:t>
      </w: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>“ na straně jedné)</w:t>
      </w:r>
      <w:r>
        <w:rPr>
          <w:rFonts w:ascii="Open Sans Light" w:eastAsia="Open Sans Light" w:hAnsi="Open Sans Light" w:cs="Open Sans Light"/>
          <w:color w:val="000000"/>
          <w:sz w:val="23"/>
          <w:szCs w:val="23"/>
        </w:rPr>
        <w:br/>
      </w: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> </w:t>
      </w:r>
      <w:r>
        <w:rPr>
          <w:rFonts w:ascii="Open Sans Light" w:eastAsia="Open Sans Light" w:hAnsi="Open Sans Light" w:cs="Open Sans Light"/>
          <w:color w:val="000000"/>
          <w:sz w:val="23"/>
          <w:szCs w:val="23"/>
        </w:rPr>
        <w:br/>
      </w: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>a</w:t>
      </w:r>
    </w:p>
    <w:p w14:paraId="00000005" w14:textId="77777777" w:rsidR="005E0C25" w:rsidRDefault="00235CA2">
      <w:pPr>
        <w:spacing w:after="0" w:line="300" w:lineRule="auto"/>
        <w:rPr>
          <w:rFonts w:ascii="Open Sans Light" w:eastAsia="Open Sans Light" w:hAnsi="Open Sans Light" w:cs="Open Sans Light"/>
          <w:b/>
          <w:color w:val="000000"/>
          <w:sz w:val="23"/>
          <w:szCs w:val="23"/>
          <w:highlight w:val="white"/>
        </w:rPr>
      </w:pPr>
      <w:r>
        <w:rPr>
          <w:rFonts w:ascii="Open Sans Light" w:eastAsia="Open Sans Light" w:hAnsi="Open Sans Light" w:cs="Open Sans Light"/>
          <w:color w:val="000000"/>
          <w:sz w:val="23"/>
          <w:szCs w:val="23"/>
        </w:rPr>
        <w:br/>
      </w:r>
      <w:proofErr w:type="gramStart"/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>název:  </w:t>
      </w: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ab/>
      </w:r>
      <w:proofErr w:type="spellStart"/>
      <w:proofErr w:type="gramEnd"/>
      <w:r>
        <w:rPr>
          <w:rFonts w:ascii="Open Sans Light" w:eastAsia="Open Sans Light" w:hAnsi="Open Sans Light" w:cs="Open Sans Light"/>
          <w:b/>
          <w:color w:val="000000"/>
          <w:sz w:val="23"/>
          <w:szCs w:val="23"/>
          <w:highlight w:val="white"/>
        </w:rPr>
        <w:t>Bejama</w:t>
      </w:r>
      <w:proofErr w:type="spellEnd"/>
      <w:r>
        <w:rPr>
          <w:rFonts w:ascii="Open Sans Light" w:eastAsia="Open Sans Light" w:hAnsi="Open Sans Light" w:cs="Open Sans Light"/>
          <w:b/>
          <w:color w:val="000000"/>
          <w:sz w:val="23"/>
          <w:szCs w:val="23"/>
          <w:highlight w:val="white"/>
        </w:rPr>
        <w:t xml:space="preserve"> s.r.o.</w:t>
      </w:r>
    </w:p>
    <w:p w14:paraId="00000006" w14:textId="77777777" w:rsidR="005E0C25" w:rsidRDefault="00235CA2">
      <w:pPr>
        <w:tabs>
          <w:tab w:val="left" w:pos="1418"/>
        </w:tabs>
        <w:spacing w:after="0" w:line="300" w:lineRule="auto"/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</w:pPr>
      <w:proofErr w:type="gramStart"/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>sídlo:  </w:t>
      </w: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ab/>
      </w:r>
      <w:proofErr w:type="gramEnd"/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>Sochorova 1723, 544 01 Dvůr Králové n. L.</w:t>
      </w: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br/>
        <w:t>IČ:  </w:t>
      </w: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ab/>
        <w:t>288 20 452</w:t>
      </w:r>
    </w:p>
    <w:p w14:paraId="00000007" w14:textId="77777777" w:rsidR="005E0C25" w:rsidRDefault="00235CA2">
      <w:pPr>
        <w:spacing w:after="0" w:line="300" w:lineRule="auto"/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</w:pP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 xml:space="preserve">DIČ: </w:t>
      </w: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ab/>
      </w: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ab/>
        <w:t>CZ28820452</w:t>
      </w:r>
    </w:p>
    <w:p w14:paraId="00000008" w14:textId="77777777" w:rsidR="005E0C25" w:rsidRDefault="00235CA2">
      <w:pPr>
        <w:spacing w:after="0" w:line="300" w:lineRule="auto"/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</w:pP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 xml:space="preserve">č. účtu: </w:t>
      </w: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ab/>
        <w:t>2580556329/0800</w:t>
      </w: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br/>
        <w:t>zastoupená:</w:t>
      </w: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ab/>
        <w:t>Bedřichem Machkem, jednatelem</w:t>
      </w:r>
      <w:r>
        <w:rPr>
          <w:rFonts w:ascii="Open Sans Light" w:eastAsia="Open Sans Light" w:hAnsi="Open Sans Light" w:cs="Open Sans Light"/>
          <w:color w:val="000000"/>
          <w:sz w:val="23"/>
          <w:szCs w:val="23"/>
        </w:rPr>
        <w:br/>
      </w:r>
    </w:p>
    <w:p w14:paraId="00000009" w14:textId="77777777" w:rsidR="005E0C25" w:rsidRDefault="00235CA2">
      <w:pPr>
        <w:tabs>
          <w:tab w:val="left" w:pos="1418"/>
        </w:tabs>
        <w:spacing w:after="0" w:line="300" w:lineRule="auto"/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</w:pP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>(dále jen jako „</w:t>
      </w:r>
      <w:r>
        <w:rPr>
          <w:rFonts w:ascii="Open Sans Light" w:eastAsia="Open Sans Light" w:hAnsi="Open Sans Light" w:cs="Open Sans Light"/>
          <w:b/>
          <w:color w:val="000000"/>
          <w:sz w:val="23"/>
          <w:szCs w:val="23"/>
        </w:rPr>
        <w:t>Zhotovitel</w:t>
      </w: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>“ na straně druhé)</w:t>
      </w:r>
    </w:p>
    <w:p w14:paraId="0000000A" w14:textId="77777777" w:rsidR="005E0C25" w:rsidRDefault="00235CA2">
      <w:pPr>
        <w:spacing w:after="0" w:line="240" w:lineRule="auto"/>
        <w:jc w:val="both"/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</w:pP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> </w:t>
      </w:r>
      <w:r>
        <w:rPr>
          <w:rFonts w:ascii="Arial" w:eastAsia="Arial" w:hAnsi="Arial" w:cs="Arial"/>
          <w:color w:val="000000"/>
          <w:sz w:val="23"/>
          <w:szCs w:val="23"/>
        </w:rPr>
        <w:br/>
      </w:r>
      <w:r>
        <w:rPr>
          <w:rFonts w:ascii="Open Sans Light" w:eastAsia="Open Sans Light" w:hAnsi="Open Sans Light" w:cs="Open Sans Light"/>
          <w:sz w:val="24"/>
          <w:szCs w:val="24"/>
        </w:rPr>
        <w:t>uzavírají níže uvedeného dne, měsíce a roku podle § 2586 a násl. zákona č. 89/2012 Sb., občanský zákoník, ve znění pozdějších předpisů, tuto</w:t>
      </w:r>
    </w:p>
    <w:p w14:paraId="0000000B" w14:textId="77777777" w:rsidR="005E0C25" w:rsidRDefault="00235CA2">
      <w:pPr>
        <w:spacing w:after="0" w:line="240" w:lineRule="auto"/>
        <w:jc w:val="both"/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</w:pPr>
      <w:r>
        <w:rPr>
          <w:rFonts w:ascii="Open Sans Light" w:eastAsia="Open Sans Light" w:hAnsi="Open Sans Light" w:cs="Open Sans Light"/>
          <w:color w:val="000000"/>
          <w:sz w:val="23"/>
          <w:szCs w:val="23"/>
        </w:rPr>
        <w:br/>
      </w:r>
      <w:r>
        <w:rPr>
          <w:rFonts w:ascii="Open Sans Light" w:eastAsia="Open Sans Light" w:hAnsi="Open Sans Light" w:cs="Open Sans Light"/>
          <w:color w:val="000000"/>
          <w:sz w:val="23"/>
          <w:szCs w:val="23"/>
          <w:highlight w:val="white"/>
        </w:rPr>
        <w:t> </w:t>
      </w:r>
      <w:r>
        <w:rPr>
          <w:rFonts w:ascii="Open Sans Light" w:eastAsia="Open Sans Light" w:hAnsi="Open Sans Light" w:cs="Open Sans Light"/>
          <w:sz w:val="24"/>
          <w:szCs w:val="24"/>
        </w:rPr>
        <w:t>smlouvu o dílo (dále jen „Smlouva“)</w:t>
      </w:r>
    </w:p>
    <w:p w14:paraId="0000000C" w14:textId="77777777" w:rsidR="005E0C25" w:rsidRDefault="005E0C25">
      <w:pPr>
        <w:spacing w:after="0" w:line="240" w:lineRule="auto"/>
        <w:jc w:val="both"/>
        <w:rPr>
          <w:rFonts w:ascii="Arial" w:eastAsia="Arial" w:hAnsi="Arial" w:cs="Arial"/>
          <w:color w:val="000000"/>
          <w:sz w:val="23"/>
          <w:szCs w:val="23"/>
          <w:highlight w:val="white"/>
        </w:rPr>
      </w:pPr>
    </w:p>
    <w:p w14:paraId="0000000D" w14:textId="77777777" w:rsidR="005E0C25" w:rsidRDefault="00235CA2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I. Předmět smlouvy</w:t>
      </w:r>
    </w:p>
    <w:p w14:paraId="0000000E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(1) Zhotovitel se touto smlouvou zavazuje provést na svůj náklad a své nebezpečí pro objednatele dílo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Zajištění veletrhů a roadshow pro České dědictví UNESCO,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d.s.o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(dále jen „Dílo“).</w:t>
      </w:r>
    </w:p>
    <w:p w14:paraId="0000000F" w14:textId="77777777" w:rsidR="005E0C25" w:rsidRDefault="00235C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(2) Konkrétně se jedná o tyto veletrhy: </w:t>
      </w:r>
    </w:p>
    <w:p w14:paraId="00000010" w14:textId="77777777" w:rsidR="005E0C25" w:rsidRDefault="005E0C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5E0C25" w:rsidRDefault="00235C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Brno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Travel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Adventure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Regiontour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) 7. - 10. 11. 2024 a 11/2025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Zajištění komunikace s realizátorem veletrhu a základní stavby expozice. Kontrola a příprava vybavení expozice uložené ve skladu v Litomyšli (pulty, výstavní panely, obrazy, televize) Naložení a doprava vybavení expozice, propagačních materiálů a předmětů na veletrh Stavba expozice včetně zajištění funkčnosti osvětlení a televize Účast na veletrhu, dvě osoby po celou dobu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veletrhu. Podmínkou je reprezentativní vystupování a znalost nabídky měst Čes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kého dědictví UNESCO Ozvučení expozice – možnost prezentace, dva bezdrátové mikrofony Bourání a balení expozice, odvoz do skladu v Litomyšli </w:t>
      </w:r>
    </w:p>
    <w:p w14:paraId="00000012" w14:textId="77777777" w:rsidR="005E0C25" w:rsidRDefault="00235C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■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Holiday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World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Praha 14. - 16. 3. 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Zajištění komunikace s realizátorem veletrhu a základní stavby expozice. Kontrola a příprava vybavení expozice uložené ve skladu v Litomyšli (pulty, výstavní panely, obrazy, televize) Naložení a doprava vybavení expozice, propagačních materiálů a předmětů na veletrh Stavba expozice včetně zajištění funkčnosti osvětlení a televize Účast na veletrhu, dvě osoby po celou dobu veletrhu. Podmínkou je reprezentativní vystupování a znalost nabídky měst Českého dědictví UNESCO 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zvučení expozice – možnost prezentace, dva bezdrátové mikrofony Bourání a balení expozice, odvoz do skladu v Litomyšli </w:t>
      </w:r>
    </w:p>
    <w:p w14:paraId="00000013" w14:textId="77777777" w:rsidR="005E0C25" w:rsidRDefault="00235C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■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Dovolená Ostrava 21. - 22. 3. 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Zajištění komunikace s realizátorem veletrhu a základní stavby expozice. Kontrola a příprava vybavení expozice uložené ve skladu v Litomyšli (pulty, výstavní panely, obrazy, televize) Naložení a doprava vybavení expozice, propagačních materiálů a předmětů na veletrh Stavba expozice včetně zajištění funkčnosti osvětlení a televize Účast na veletrhu, dvě osoby po celou dobu veletrhu. Podmínkou je reprezentativní vystupování a znalost nabídky měst Českého dědictví UNESCO Ozvu</w:t>
      </w:r>
      <w:r>
        <w:rPr>
          <w:rFonts w:ascii="Times New Roman" w:eastAsia="Times New Roman" w:hAnsi="Times New Roman" w:cs="Times New Roman"/>
          <w:sz w:val="24"/>
          <w:szCs w:val="24"/>
        </w:rPr>
        <w:t>čení expozice – možnost prezentace, dva bezdrátové mikrofony Bourání a balení expozice, odvoz do skladu v Litomyšli</w:t>
      </w:r>
    </w:p>
    <w:p w14:paraId="00000014" w14:textId="77777777" w:rsidR="005E0C25" w:rsidRDefault="00235C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■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Flóra Olomouc 24. - 27. 4. 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Zajištění komunikace s realizátorem veletrhu a základní stavby expozice. Kontrola a příprava vybavení expozice uložené ve skladu v Litomyšli (pulty, výstavní panely, obrazy, televize) Naložení a doprava vybavení expozice, propagačních materiálů a předmětů na veletrh Stavba expozice včetně zajištění funkčnosti osvětlení a televize Výzva k podání nabídky 6 Účast na veletrhu, dvě osoby po celou dobu veletrhu. Podmínkou je reprezentativní vystupování a znalost nabídky měst Českéh</w:t>
      </w:r>
      <w:r>
        <w:rPr>
          <w:rFonts w:ascii="Times New Roman" w:eastAsia="Times New Roman" w:hAnsi="Times New Roman" w:cs="Times New Roman"/>
          <w:sz w:val="24"/>
          <w:szCs w:val="24"/>
        </w:rPr>
        <w:t>o dědictví UNESCO Ozvučení expozice – možnost prezentace, dva bezdrátové mikrofony Bourání a balení expozice, odvoz do skladu v Litomyšli</w:t>
      </w:r>
    </w:p>
    <w:p w14:paraId="00000015" w14:textId="77777777" w:rsidR="005E0C25" w:rsidRDefault="005E0C25">
      <w:pPr>
        <w:spacing w:after="0" w:line="240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</w:p>
    <w:p w14:paraId="00000016" w14:textId="77777777" w:rsidR="005E0C25" w:rsidRDefault="005E0C25">
      <w:pPr>
        <w:spacing w:after="0" w:line="240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</w:p>
    <w:p w14:paraId="00000017" w14:textId="77777777" w:rsidR="005E0C25" w:rsidRDefault="005E0C2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5E0C25" w:rsidRDefault="00235C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Roadshow po městech UNESCO na Slovensku rozsah služeb: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místa: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Vlkolínec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Bardějov, Spišský hrad a některé z dalších velkých měst (Bratislava, Trenčín, Piešťany případně Košice). Celkem se uskuteční 4 dvoudenní výjezdy. Přesný termín bude upřesněn na základě konaných akcí, bude se jednat o konec srpna až září 2024 a květen až září 2025. Přesný termín bude domluven s dodavatel minimálně 30 dní před konáním akce. Zajištění komunikace se zástupcem města, případně zajištění přípojky elektřiny. Kontrola a příprava výstavního stánku ve skladu v Litomyšli (kompletnost </w:t>
      </w:r>
      <w:r>
        <w:rPr>
          <w:rFonts w:ascii="Times New Roman" w:eastAsia="Times New Roman" w:hAnsi="Times New Roman" w:cs="Times New Roman"/>
          <w:sz w:val="24"/>
          <w:szCs w:val="24"/>
        </w:rPr>
        <w:t>kovové konstrukce a čistota plachty) Naložení a doprava výstavního stánku, propagačních materiálů a předmětů po dobu roadshow. Stavba stánku včetně zajištění osvětlení. Účast na stánku, dvě osoby po celou dobu roadshow. Podmínkou je reprezentativní vystupování a znalost nabídky měst Českého dědictví UNESCO Bourání a balení stánku, na závěr odvoz do skladu v Litomyšli</w:t>
      </w:r>
    </w:p>
    <w:p w14:paraId="00000019" w14:textId="77777777" w:rsidR="005E0C25" w:rsidRDefault="005E0C25">
      <w:pPr>
        <w:spacing w:after="0" w:line="240" w:lineRule="auto"/>
        <w:ind w:firstLine="360"/>
        <w:rPr>
          <w:rFonts w:ascii="Verdana" w:eastAsia="Verdana" w:hAnsi="Verdana" w:cs="Verdana"/>
          <w:sz w:val="20"/>
          <w:szCs w:val="20"/>
        </w:rPr>
      </w:pPr>
    </w:p>
    <w:p w14:paraId="0000001A" w14:textId="77777777" w:rsidR="005E0C25" w:rsidRDefault="00235C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Roadshow po městech UNESCO v Čechách rozsah služeb: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místa: Litomyšl, Žatec, Kutná Hora, Kladruby nad Labem, jedno z měst lázeňského trojúhelníku, Český Krumlov, některé z měst v Krušnohoří a Telč. Přesné termíny budou upřesněn na základě konaných akcí, bude se jednat o září až listopad 2024 a duben až říjen 2025. Přesný termín bude domluven s dodavatel minimálně 30 dní před konáním akce. Zajištění komunikace se zástupcem města, případně zajištění přípojky elektřiny. Kontrola a příprava výstavního stánku ve skladu v Litomyšli (kompletnost kovové konstrukce 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čistota plachty) Naložení a doprava výstavního stánku, propagačních materiálů a předmětů. Stavba stánku včetně zajištění osvětlení. Účast na stánku, dvě osoby po celou dobu roadshow. Podmínkou je reprezentativní vystupování a znalost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nabídky měst Českého dědictví UNESCO Bourání a balení stánku, na závěr odvoz do skladu v Litomyšli</w:t>
      </w:r>
    </w:p>
    <w:p w14:paraId="0000001B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(3) Objednatel se zavazuje Dílo převzít a zaplatit za něj Zhotoviteli cenu sjednanou níže v čl. II této smlouvy.</w:t>
      </w:r>
    </w:p>
    <w:p w14:paraId="0000001C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1D" w14:textId="77777777" w:rsidR="005E0C25" w:rsidRDefault="00235CA2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II. Cena Díla a způsob její úhrady</w:t>
      </w:r>
    </w:p>
    <w:p w14:paraId="0000001E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(1) Cena Díla byla stranami smlouvy stanovena ve výši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669 800 Kč</w:t>
      </w:r>
      <w:r>
        <w:rPr>
          <w:rFonts w:ascii="Times New Roman" w:eastAsia="Times New Roman" w:hAnsi="Times New Roman" w:cs="Times New Roman"/>
          <w:sz w:val="24"/>
          <w:szCs w:val="24"/>
        </w:rPr>
        <w:t>, zhotovitel není plátcem DPH.</w:t>
      </w:r>
    </w:p>
    <w:p w14:paraId="0000001F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(2) Cena Díla bude uhrazena na účet Zhotovitele č. 2580556329/0800</w:t>
      </w:r>
      <w:r>
        <w:rPr>
          <w:rFonts w:ascii="Arial" w:eastAsia="Arial" w:hAnsi="Arial" w:cs="Arial"/>
          <w:color w:val="000000"/>
          <w:sz w:val="23"/>
          <w:szCs w:val="23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vedený u České spořitelny, pobočka Dvůr Králové nad Labem</w:t>
      </w:r>
    </w:p>
    <w:p w14:paraId="00000020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(3)  Ceny Díla bude Objednatelem uhrazena na shora uvedený účet Zhotovitele na základě vystavených faktur se splatností 30 dní. Fakturace bude probíhat po dokončení jednotlivých částí díla.</w:t>
      </w:r>
    </w:p>
    <w:p w14:paraId="00000021" w14:textId="77777777" w:rsidR="005E0C25" w:rsidRDefault="005E0C25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5E0C25" w:rsidRDefault="00235CA2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III. Doba a místo plnění</w:t>
      </w:r>
    </w:p>
    <w:p w14:paraId="00000023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(1) Zhotovitel provede dílo nejpozději do 30. 11. 2025</w:t>
      </w:r>
    </w:p>
    <w:p w14:paraId="00000024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(2) Zhotovitel provede dílo v místech konání jednotlivých veletrhů, roadshow a městě Litomyšl</w:t>
      </w:r>
    </w:p>
    <w:p w14:paraId="00000025" w14:textId="77777777" w:rsidR="005E0C25" w:rsidRDefault="005E0C25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6" w14:textId="77777777" w:rsidR="005E0C25" w:rsidRDefault="00235CA2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IV. Předání a převzetí díla</w:t>
      </w:r>
    </w:p>
    <w:p w14:paraId="00000027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(1) Dílo bude předáno Zhotovitelem a převzato Objednatelem nejpozději do dvou dnů od zhotovení díla bez vad a nedodělků.</w:t>
      </w:r>
    </w:p>
    <w:p w14:paraId="00000028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(2)  Bude-li mít Dílo v okamžiku předání a převzetí zjevné vady a nedodělky,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sepíší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strany protokol obsahující výčet těchto vad a nedodělků a lhůtu pro jejich odstranění. Objednatel není povinen převzít dílo dříve, než dojde k odstranění všech vad a nedodělků na náklad Zhotovitele.</w:t>
      </w:r>
    </w:p>
    <w:p w14:paraId="00000029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2A" w14:textId="77777777" w:rsidR="005E0C25" w:rsidRDefault="00235CA2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V. Práva a povinnosti stran</w:t>
      </w:r>
    </w:p>
    <w:p w14:paraId="0000002B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(1) Zhotovitel je povinen provést dílo s potřebnou péčí tak, aby mohlo být předáno Objednateli bez vad a nedodělků nejpozději v termínu uvedeném v čl. III této smlouvy.</w:t>
      </w:r>
    </w:p>
    <w:p w14:paraId="0000002C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(2) Objednatel nebo jím zmocněná osoba je oprávněn kontrolovat provádění Díla, zejména zda je prováděno v souladu s touto smlouvu a obecně závaznými právními předpisy, jakož i upozorňovat Zhotovitele na zjištěné nedostatky.</w:t>
      </w:r>
    </w:p>
    <w:p w14:paraId="0000002D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(3) Práva a povinnosti stran touto smlouvou výslovně neupravené se řídí českým právním řádem, zejména občanským zákoníkem.</w:t>
      </w:r>
    </w:p>
    <w:p w14:paraId="0000002E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2F" w14:textId="77777777" w:rsidR="005E0C25" w:rsidRDefault="00235CA2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VI. Smluvní pokuty</w:t>
      </w:r>
    </w:p>
    <w:p w14:paraId="00000030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(1) Zhotovitel je povinen zaplatit Objednateli smluvní pokutu ve výši 1 % z ceny Díla za každý den prodlení s dokončením a předáním v termínu podle čl. III této smlouvy.</w:t>
      </w:r>
    </w:p>
    <w:p w14:paraId="00000031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(2) Objednatel je povinen zaplatit Zhotoviteli smluvní pokutu ve výši 0,1 % z ceny Díla za každý den prodlení s platbou ceny Díla.</w:t>
      </w:r>
    </w:p>
    <w:p w14:paraId="00000032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(3) Objednatel je dále povinen zaplatit Zhotoviteli úrok z prodlení v zákonné výši za každý den prodlení s platbou ceny Díla.</w:t>
      </w:r>
    </w:p>
    <w:p w14:paraId="00000033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34" w14:textId="77777777" w:rsidR="005E0C25" w:rsidRDefault="00235CA2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VII. Rozhodčí doložka</w:t>
      </w:r>
    </w:p>
    <w:p w14:paraId="00000035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(1) Všechny spory vznikající z této smlouvy a v souvislosti s ní budou rozhodovány s konečnou platností u Rozhodčího soudu při Hospodářské komoře České republiky a Agrární komoře České republiky podle jeho řádu jedním rozhodcem jmenovaným předsedou Rozhodčího soudu.</w:t>
      </w:r>
    </w:p>
    <w:p w14:paraId="00000036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37" w14:textId="77777777" w:rsidR="005E0C25" w:rsidRDefault="00235CA2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VIII. Závěrečná ustanovení</w:t>
      </w:r>
    </w:p>
    <w:p w14:paraId="00000038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(1) Tato smlouva může být měněna pouze písemnými dodatky na základě souhlasu obou stran.</w:t>
      </w:r>
    </w:p>
    <w:p w14:paraId="00000039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(2) Tato smlouva je vyhotovena ve třech stejnopisech s platností originálu, při čemž objednatel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obdrží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dva a dodavatel jeden stejnopis.</w:t>
      </w:r>
    </w:p>
    <w:p w14:paraId="0000003A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(3) Tato smlouva nabývá platnosti i účinnosti dnem podpisu oběma smluvními stranami.</w:t>
      </w:r>
    </w:p>
    <w:p w14:paraId="0000003B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V ……………… dne ………………              Ve Dvoře Králové nad Labem dne 18. 8. 2024</w:t>
      </w:r>
    </w:p>
    <w:p w14:paraId="0000003C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3D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3E" w14:textId="77777777" w:rsidR="005E0C25" w:rsidRDefault="00235CA2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                 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                       ………………………………</w:t>
      </w:r>
    </w:p>
    <w:p w14:paraId="0000003F" w14:textId="77777777" w:rsidR="005E0C25" w:rsidRDefault="00235CA2">
      <w:pPr>
        <w:spacing w:before="280" w:after="280" w:line="240" w:lineRule="auto"/>
        <w:ind w:firstLine="708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Objednatel                                                   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        Zhotovitel</w:t>
      </w:r>
    </w:p>
    <w:sectPr w:rsidR="005E0C2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42AB893-4327-42E3-B920-913273F18CE7}"/>
    <w:embedBold r:id="rId2" w:fontKey="{338D6D9F-A2FC-4387-A98A-7E0FE102DBC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8E2BB13E-8C61-47ED-AFDE-8A73F68C4A6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CBEC676C-7FC2-419E-B092-FD08AE184F57}"/>
    <w:embedItalic r:id="rId5" w:fontKey="{1162123C-8395-46A0-BC77-F4032CB7BEAF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6" w:fontKey="{0418A377-1A1B-4129-B293-961F38D7700C}"/>
    <w:embedBold r:id="rId7" w:fontKey="{2DF1C774-6DD0-4712-8B4F-C9F850FDA8E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1068ADAF-0627-44D6-B925-CF697C9C5DD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89A608FB-BE1C-43BB-8468-485FB22D09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C25"/>
    <w:rsid w:val="00235CA2"/>
    <w:rsid w:val="005E0C25"/>
    <w:rsid w:val="008F1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898DB5-B2A6-4546-8502-72C0FCFA3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3595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lnweb">
    <w:name w:val="Normal (Web)"/>
    <w:basedOn w:val="Normln"/>
    <w:uiPriority w:val="99"/>
    <w:semiHidden/>
    <w:unhideWhenUsed/>
    <w:rsid w:val="00374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3744C3"/>
    <w:rPr>
      <w:b/>
      <w:bCs/>
    </w:rPr>
  </w:style>
  <w:style w:type="character" w:customStyle="1" w:styleId="apple-converted-space">
    <w:name w:val="apple-converted-space"/>
    <w:basedOn w:val="Standardnpsmoodstavce"/>
    <w:rsid w:val="003744C3"/>
  </w:style>
  <w:style w:type="paragraph" w:styleId="Odstavecseseznamem">
    <w:name w:val="List Paragraph"/>
    <w:basedOn w:val="Normln"/>
    <w:uiPriority w:val="34"/>
    <w:qFormat/>
    <w:rsid w:val="00D8409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D7D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7DB5"/>
    <w:rPr>
      <w:rFonts w:ascii="Segoe UI" w:hAnsi="Segoe UI" w:cs="Segoe UI"/>
      <w:sz w:val="18"/>
      <w:szCs w:val="1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38mxSERzPGKuxurQoGiVvu+YMg==">CgMxLjAyCGguZ2pkZ3hzOAByITFHVU4weGhFT3lDZzduMmJHZnRBYTUxUjUxOWMzS2pxdg==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1206</Words>
  <Characters>7117</Characters>
  <Application>Microsoft Office Word</Application>
  <DocSecurity>0</DocSecurity>
  <Lines>59</Lines>
  <Paragraphs>16</Paragraphs>
  <ScaleCrop>false</ScaleCrop>
  <Company/>
  <LinksUpToDate>false</LinksUpToDate>
  <CharactersWithSpaces>8307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Terra</dc:creator>
  <cp:lastModifiedBy>Meluzinova Jaroslava, Mesto Litomysl</cp:lastModifiedBy>
  <cp:revision>2</cp:revision>
  <cp:lastPrinted>2024-08-27T08:45:00Z</cp:lastPrinted>
  <dcterms:created xsi:type="dcterms:W3CDTF">2024-08-27T08:46:00Z</dcterms:created>
  <dcterms:modified xsi:type="dcterms:W3CDTF">2024-08-27T08:46:00Z</dcterms:modified>
</cp:coreProperties>
</file>