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BB2E82" w:rsidRPr="0018475C" w:rsidP="00BB2E82" w14:paraId="61CBF6CA" w14:textId="5B6E4711">
      <w:pPr>
        <w:spacing w:before="360" w:after="240" w:line="240" w:lineRule="auto"/>
        <w:jc w:val="right"/>
        <w:rPr>
          <w:rFonts w:ascii="Arial" w:hAnsi="Arial" w:cs="Arial"/>
        </w:rPr>
      </w:pPr>
      <w:r w:rsidRPr="0018475C">
        <w:rPr>
          <w:rFonts w:ascii="Arial" w:hAnsi="Arial" w:cs="Arial"/>
          <w:spacing w:val="1"/>
        </w:rPr>
        <w:t>Ev. č. 24</w:t>
      </w:r>
      <w:r w:rsidRPr="0018475C">
        <w:rPr>
          <w:rFonts w:ascii="Arial" w:hAnsi="Arial" w:cs="Arial"/>
        </w:rPr>
        <w:t>/</w:t>
      </w:r>
      <w:r w:rsidRPr="00956EDD" w:rsidR="00956EDD">
        <w:rPr>
          <w:rFonts w:ascii="Arial" w:hAnsi="Arial" w:cs="Arial"/>
        </w:rPr>
        <w:t>157</w:t>
      </w:r>
      <w:r w:rsidRPr="0018475C">
        <w:rPr>
          <w:rFonts w:ascii="Arial" w:hAnsi="Arial" w:cs="Arial"/>
          <w:spacing w:val="-2"/>
        </w:rPr>
        <w:t>-</w:t>
      </w:r>
      <w:r w:rsidRPr="0018475C">
        <w:rPr>
          <w:rFonts w:ascii="Arial" w:hAnsi="Arial" w:cs="Arial"/>
        </w:rPr>
        <w:t>0</w:t>
      </w:r>
      <w:r w:rsidRPr="0018475C">
        <w:rPr>
          <w:rFonts w:ascii="Arial" w:hAnsi="Arial" w:cs="Arial"/>
        </w:rPr>
        <w:br/>
        <w:t xml:space="preserve">Čj. </w:t>
      </w:r>
      <w:r w:rsidRPr="0018475C" w:rsidR="0018475C">
        <w:rPr>
          <w:rFonts w:ascii="Arial" w:hAnsi="Arial" w:cs="Arial"/>
          <w:shd w:val="clear" w:color="auto" w:fill="FFFFFF"/>
        </w:rPr>
        <w:t>49183-2024-UVCR</w:t>
      </w:r>
    </w:p>
    <w:p w:rsidR="00BB2E82" w:rsidRPr="002D4E99" w:rsidP="00BB2E82" w14:paraId="68C79F3D" w14:textId="77777777">
      <w:pPr>
        <w:spacing w:before="240" w:after="240" w:line="240" w:lineRule="auto"/>
        <w:jc w:val="center"/>
        <w:outlineLvl w:val="0"/>
        <w:rPr>
          <w:rFonts w:ascii="Arial" w:hAnsi="Arial" w:cs="Arial"/>
          <w:b/>
          <w:caps/>
          <w:sz w:val="28"/>
          <w:szCs w:val="28"/>
        </w:rPr>
      </w:pPr>
      <w:r w:rsidRPr="002D4E99">
        <w:rPr>
          <w:rFonts w:ascii="Arial" w:hAnsi="Arial" w:cs="Arial"/>
          <w:b/>
          <w:caps/>
          <w:sz w:val="28"/>
          <w:szCs w:val="28"/>
        </w:rPr>
        <w:t>Kupní smlouva</w:t>
      </w:r>
    </w:p>
    <w:p w:rsidR="00BB2E82" w:rsidRPr="002D4E99" w:rsidP="00BB2E82" w14:paraId="4D34CAAA" w14:textId="77777777">
      <w:pPr>
        <w:spacing w:after="240" w:line="240" w:lineRule="auto"/>
        <w:jc w:val="center"/>
        <w:rPr>
          <w:rFonts w:ascii="Arial" w:hAnsi="Arial" w:cs="Arial"/>
          <w:b/>
          <w:caps/>
          <w:sz w:val="28"/>
          <w:szCs w:val="28"/>
        </w:rPr>
      </w:pPr>
      <w:r>
        <w:rPr>
          <w:rFonts w:ascii="Arial" w:hAnsi="Arial" w:cs="Arial"/>
          <w:b/>
          <w:sz w:val="28"/>
          <w:szCs w:val="28"/>
        </w:rPr>
        <w:t>„Virtualizační prostředí</w:t>
      </w:r>
      <w:r w:rsidRPr="002D4E99">
        <w:rPr>
          <w:rFonts w:ascii="Arial" w:hAnsi="Arial" w:cs="Arial"/>
          <w:b/>
          <w:sz w:val="28"/>
          <w:szCs w:val="28"/>
        </w:rPr>
        <w:t>“</w:t>
      </w:r>
    </w:p>
    <w:p w:rsidR="00BB2E82" w:rsidRPr="002D4E99" w:rsidP="00BB2E82" w14:paraId="7D4FBDFC" w14:textId="77777777">
      <w:pPr>
        <w:spacing w:after="240" w:line="240" w:lineRule="auto"/>
        <w:jc w:val="center"/>
        <w:rPr>
          <w:rFonts w:ascii="Arial" w:hAnsi="Arial" w:cs="Arial"/>
        </w:rPr>
      </w:pPr>
      <w:r w:rsidRPr="002D4E99">
        <w:rPr>
          <w:rFonts w:ascii="Arial" w:hAnsi="Arial" w:cs="Arial"/>
        </w:rPr>
        <w:t>uzavřená podle zákona č. 89/2012 Sb., občanský zákoník, ve znění pozdějších předpisů</w:t>
      </w:r>
      <w:r w:rsidR="006B7CC2">
        <w:rPr>
          <w:rFonts w:ascii="Arial" w:hAnsi="Arial" w:cs="Arial"/>
        </w:rPr>
        <w:br/>
        <w:t>(dále jen „občanský zákoník“)</w:t>
      </w:r>
    </w:p>
    <w:p w:rsidR="00BB2E82" w:rsidRPr="002D4E99" w:rsidP="00BB2E82" w14:paraId="773871C4" w14:textId="77777777">
      <w:pPr>
        <w:spacing w:before="360" w:after="120" w:line="240" w:lineRule="auto"/>
        <w:jc w:val="center"/>
        <w:outlineLvl w:val="3"/>
        <w:rPr>
          <w:rFonts w:ascii="Arial" w:hAnsi="Arial" w:cs="Arial"/>
          <w:b/>
        </w:rPr>
      </w:pPr>
      <w:r w:rsidRPr="002D4E99">
        <w:rPr>
          <w:rFonts w:ascii="Arial" w:hAnsi="Arial" w:cs="Arial"/>
          <w:b/>
        </w:rPr>
        <w:t>Smluvní strany</w:t>
      </w:r>
    </w:p>
    <w:p w:rsidR="00BB2E82" w:rsidRPr="002D4E99" w:rsidP="00BB2E82" w14:paraId="4B716AE8" w14:textId="77777777">
      <w:pPr>
        <w:tabs>
          <w:tab w:val="left" w:pos="0"/>
          <w:tab w:val="left" w:pos="2268"/>
        </w:tabs>
        <w:spacing w:after="240" w:line="240" w:lineRule="auto"/>
        <w:jc w:val="both"/>
        <w:rPr>
          <w:rFonts w:ascii="Arial" w:hAnsi="Arial" w:cs="Arial"/>
          <w:b/>
          <w:lang w:eastAsia="cs-CZ"/>
        </w:rPr>
      </w:pPr>
      <w:r w:rsidRPr="002D4E99">
        <w:rPr>
          <w:rFonts w:ascii="Arial" w:hAnsi="Arial" w:cs="Arial"/>
          <w:b/>
          <w:lang w:eastAsia="cs-CZ"/>
        </w:rPr>
        <w:t>Česká republika – Úřad vlády České republiky</w:t>
      </w:r>
    </w:p>
    <w:p w:rsidR="00070563" w:rsidRPr="00E06192" w:rsidP="00070563" w14:paraId="458B5F5D" w14:textId="77777777">
      <w:pPr>
        <w:spacing w:after="240" w:line="240" w:lineRule="auto"/>
        <w:ind w:left="2124" w:hanging="2124"/>
        <w:contextualSpacing/>
        <w:jc w:val="both"/>
        <w:rPr>
          <w:rFonts w:ascii="Arial" w:eastAsia="Calibri" w:hAnsi="Arial" w:cs="Arial"/>
        </w:rPr>
      </w:pPr>
      <w:r w:rsidRPr="00E06192">
        <w:rPr>
          <w:rFonts w:ascii="Arial" w:eastAsia="Calibri" w:hAnsi="Arial" w:cs="Arial"/>
        </w:rPr>
        <w:t>kterou</w:t>
      </w:r>
      <w:r>
        <w:rPr>
          <w:rFonts w:ascii="Arial" w:eastAsia="Calibri" w:hAnsi="Arial" w:cs="Arial"/>
        </w:rPr>
        <w:t xml:space="preserve"> zastupuje:</w:t>
      </w:r>
      <w:r>
        <w:rPr>
          <w:rFonts w:ascii="Arial" w:eastAsia="Calibri" w:hAnsi="Arial" w:cs="Arial"/>
        </w:rPr>
        <w:tab/>
        <w:t>Ing. Jitka Křupková</w:t>
      </w:r>
      <w:r w:rsidRPr="00E06192">
        <w:rPr>
          <w:rFonts w:ascii="Arial" w:eastAsia="Calibri" w:hAnsi="Arial" w:cs="Arial"/>
        </w:rPr>
        <w:t>, ředitel</w:t>
      </w:r>
      <w:r>
        <w:rPr>
          <w:rFonts w:ascii="Arial" w:eastAsia="Calibri" w:hAnsi="Arial" w:cs="Arial"/>
        </w:rPr>
        <w:t>ka</w:t>
      </w:r>
      <w:r w:rsidRPr="00E06192">
        <w:rPr>
          <w:rFonts w:ascii="Arial" w:eastAsia="Calibri" w:hAnsi="Arial" w:cs="Arial"/>
        </w:rPr>
        <w:t xml:space="preserve"> Odboru informatiky, na základě vnitřního předpisu</w:t>
      </w:r>
    </w:p>
    <w:p w:rsidR="00070563" w:rsidRPr="00E06192" w:rsidP="00070563" w14:paraId="0ED63C98" w14:textId="2CFC8CBB">
      <w:pPr>
        <w:spacing w:after="240" w:line="240" w:lineRule="auto"/>
        <w:ind w:left="2124" w:hanging="2124"/>
        <w:contextualSpacing/>
        <w:jc w:val="both"/>
        <w:rPr>
          <w:rFonts w:ascii="Arial" w:eastAsia="Calibri" w:hAnsi="Arial" w:cs="Arial"/>
        </w:rPr>
      </w:pPr>
      <w:r w:rsidRPr="00E06192">
        <w:rPr>
          <w:rFonts w:ascii="Arial" w:eastAsia="Calibri" w:hAnsi="Arial" w:cs="Arial"/>
        </w:rPr>
        <w:t>kontaktní osoba:</w:t>
      </w:r>
      <w:r w:rsidRPr="00E06192">
        <w:rPr>
          <w:rFonts w:ascii="Arial" w:eastAsia="Calibri" w:hAnsi="Arial" w:cs="Arial"/>
        </w:rPr>
        <w:tab/>
      </w:r>
      <w:r w:rsidR="008A7236">
        <w:rPr>
          <w:rFonts w:ascii="Arial" w:eastAsia="Calibri" w:hAnsi="Arial" w:cs="Arial"/>
        </w:rPr>
        <w:t>xxxxxxxxxxxxxxxxxx</w:t>
      </w:r>
      <w:r w:rsidRPr="00A748D8">
        <w:rPr>
          <w:rFonts w:ascii="Arial" w:eastAsia="Calibri" w:hAnsi="Arial" w:cs="Arial"/>
        </w:rPr>
        <w:t xml:space="preserve">, e-mail: </w:t>
      </w:r>
      <w:r w:rsidR="008A7236">
        <w:rPr>
          <w:rFonts w:ascii="Arial" w:eastAsia="Calibri" w:hAnsi="Arial" w:cs="Arial"/>
        </w:rPr>
        <w:t>xxxxx</w:t>
      </w:r>
      <w:r w:rsidRPr="00A748D8" w:rsidR="008A7236">
        <w:rPr>
          <w:rFonts w:ascii="Arial" w:eastAsia="Calibri" w:hAnsi="Arial" w:cs="Arial"/>
        </w:rPr>
        <w:t xml:space="preserve">, tel.: </w:t>
      </w:r>
      <w:r w:rsidR="008A7236">
        <w:rPr>
          <w:rFonts w:ascii="Arial" w:eastAsia="Calibri" w:hAnsi="Arial" w:cs="Arial"/>
        </w:rPr>
        <w:t>xxxxx</w:t>
      </w:r>
    </w:p>
    <w:p w:rsidR="00070563" w:rsidRPr="00E06192" w:rsidP="00070563" w14:paraId="4BDF4379" w14:textId="77777777">
      <w:pPr>
        <w:spacing w:after="240" w:line="240" w:lineRule="auto"/>
        <w:ind w:left="2124" w:hanging="2124"/>
        <w:contextualSpacing/>
        <w:jc w:val="both"/>
        <w:rPr>
          <w:rFonts w:ascii="Arial" w:eastAsia="Calibri" w:hAnsi="Arial" w:cs="Arial"/>
        </w:rPr>
      </w:pPr>
      <w:r>
        <w:rPr>
          <w:rFonts w:ascii="Arial" w:eastAsia="Calibri" w:hAnsi="Arial" w:cs="Arial"/>
        </w:rPr>
        <w:t>se sídlem:</w:t>
      </w:r>
      <w:r>
        <w:rPr>
          <w:rFonts w:ascii="Arial" w:eastAsia="Calibri" w:hAnsi="Arial" w:cs="Arial"/>
        </w:rPr>
        <w:tab/>
      </w:r>
      <w:r w:rsidRPr="00E06192">
        <w:rPr>
          <w:rFonts w:ascii="Arial" w:eastAsia="Calibri" w:hAnsi="Arial" w:cs="Arial"/>
        </w:rPr>
        <w:t>nábřeží Edvarda Beneše 128/4, 118 01 Praha 1 - Malá Strana</w:t>
      </w:r>
    </w:p>
    <w:p w:rsidR="00070563" w:rsidRPr="00A748D8" w:rsidP="00070563" w14:paraId="4F2C51E5" w14:textId="77777777">
      <w:pPr>
        <w:spacing w:after="240" w:line="240" w:lineRule="auto"/>
        <w:ind w:left="2124" w:hanging="2124"/>
        <w:contextualSpacing/>
        <w:jc w:val="both"/>
        <w:rPr>
          <w:rFonts w:ascii="Arial" w:eastAsia="Calibri" w:hAnsi="Arial" w:cs="Arial"/>
        </w:rPr>
      </w:pPr>
      <w:r w:rsidRPr="00E06192">
        <w:rPr>
          <w:rFonts w:ascii="Arial" w:eastAsia="Calibri" w:hAnsi="Arial" w:cs="Arial"/>
        </w:rPr>
        <w:t>IČO:</w:t>
      </w:r>
      <w:r w:rsidRPr="00E06192">
        <w:rPr>
          <w:rFonts w:ascii="Arial" w:eastAsia="Calibri" w:hAnsi="Arial" w:cs="Arial"/>
        </w:rPr>
        <w:tab/>
        <w:t>00006599</w:t>
      </w:r>
    </w:p>
    <w:p w:rsidR="00070563" w:rsidRPr="00E06192" w:rsidP="00070563" w14:paraId="724EAF55" w14:textId="77777777">
      <w:pPr>
        <w:spacing w:after="240" w:line="240" w:lineRule="auto"/>
        <w:ind w:left="2124" w:hanging="2124"/>
        <w:contextualSpacing/>
        <w:jc w:val="both"/>
        <w:rPr>
          <w:rFonts w:ascii="Arial" w:eastAsia="Calibri" w:hAnsi="Arial" w:cs="Arial"/>
        </w:rPr>
      </w:pPr>
      <w:r w:rsidRPr="00A748D8">
        <w:rPr>
          <w:rFonts w:ascii="Arial" w:eastAsia="Calibri" w:hAnsi="Arial" w:cs="Arial"/>
        </w:rPr>
        <w:t xml:space="preserve">DIČ: </w:t>
      </w:r>
      <w:r w:rsidRPr="00A748D8">
        <w:rPr>
          <w:rFonts w:ascii="Arial" w:eastAsia="Calibri" w:hAnsi="Arial" w:cs="Arial"/>
        </w:rPr>
        <w:tab/>
        <w:t>CZ00006599</w:t>
      </w:r>
    </w:p>
    <w:p w:rsidR="00070563" w:rsidP="00070563" w14:paraId="4FA9345B" w14:textId="77777777">
      <w:pPr>
        <w:spacing w:after="240" w:line="240" w:lineRule="auto"/>
        <w:ind w:left="2124" w:hanging="2124"/>
        <w:contextualSpacing/>
        <w:jc w:val="both"/>
        <w:rPr>
          <w:rFonts w:ascii="Arial" w:eastAsia="Calibri" w:hAnsi="Arial" w:cs="Arial"/>
        </w:rPr>
      </w:pPr>
      <w:r w:rsidRPr="00E06192">
        <w:rPr>
          <w:rFonts w:ascii="Arial" w:eastAsia="Calibri" w:hAnsi="Arial" w:cs="Arial"/>
        </w:rPr>
        <w:t xml:space="preserve">bankovní spojení: </w:t>
      </w:r>
      <w:r w:rsidRPr="00E06192">
        <w:rPr>
          <w:rFonts w:ascii="Arial" w:eastAsia="Calibri" w:hAnsi="Arial" w:cs="Arial"/>
        </w:rPr>
        <w:tab/>
        <w:t>ČNB Praha, účet č.: 4320001/0710</w:t>
      </w:r>
    </w:p>
    <w:p w:rsidR="00070563" w:rsidP="00070563" w14:paraId="294A773A" w14:textId="77777777">
      <w:pPr>
        <w:spacing w:after="240" w:line="240" w:lineRule="auto"/>
        <w:ind w:left="2124" w:hanging="2124"/>
        <w:contextualSpacing/>
        <w:jc w:val="both"/>
        <w:rPr>
          <w:rFonts w:ascii="Arial" w:eastAsia="Calibri" w:hAnsi="Arial" w:cs="Arial"/>
        </w:rPr>
      </w:pPr>
    </w:p>
    <w:p w:rsidR="00070563" w:rsidP="00070563" w14:paraId="28CCC2B0" w14:textId="77777777">
      <w:pPr>
        <w:spacing w:after="240" w:line="240" w:lineRule="auto"/>
        <w:ind w:left="2124" w:hanging="2124"/>
        <w:contextualSpacing/>
        <w:jc w:val="both"/>
        <w:rPr>
          <w:rFonts w:ascii="Arial" w:eastAsia="Calibri" w:hAnsi="Arial" w:cs="Arial"/>
        </w:rPr>
      </w:pPr>
      <w:r w:rsidRPr="00E06192">
        <w:rPr>
          <w:rFonts w:ascii="Arial" w:eastAsia="Calibri" w:hAnsi="Arial" w:cs="Arial"/>
        </w:rPr>
        <w:t>(dále jen „</w:t>
      </w:r>
      <w:r w:rsidRPr="00A748D8">
        <w:rPr>
          <w:rFonts w:ascii="Arial" w:eastAsia="Calibri" w:hAnsi="Arial" w:cs="Arial"/>
          <w:b/>
        </w:rPr>
        <w:t>kupující</w:t>
      </w:r>
      <w:r w:rsidRPr="00E06192">
        <w:rPr>
          <w:rFonts w:ascii="Arial" w:eastAsia="Calibri" w:hAnsi="Arial" w:cs="Arial"/>
        </w:rPr>
        <w:t>“)</w:t>
      </w:r>
    </w:p>
    <w:p w:rsidR="00070563" w:rsidP="00070563" w14:paraId="5255B2E0" w14:textId="77777777">
      <w:pPr>
        <w:spacing w:after="240" w:line="240" w:lineRule="auto"/>
        <w:ind w:left="2124" w:hanging="2124"/>
        <w:contextualSpacing/>
        <w:jc w:val="both"/>
        <w:rPr>
          <w:rFonts w:ascii="Arial" w:eastAsia="Calibri" w:hAnsi="Arial" w:cs="Arial"/>
        </w:rPr>
      </w:pPr>
    </w:p>
    <w:p w:rsidR="00070563" w:rsidP="00070563" w14:paraId="3CBC2C84" w14:textId="77777777">
      <w:pPr>
        <w:spacing w:after="240" w:line="240" w:lineRule="auto"/>
        <w:ind w:left="2124" w:hanging="2124"/>
        <w:contextualSpacing/>
        <w:jc w:val="both"/>
        <w:rPr>
          <w:rFonts w:ascii="Arial" w:hAnsi="Arial" w:cs="Arial"/>
          <w:lang w:eastAsia="cs-CZ"/>
        </w:rPr>
      </w:pPr>
      <w:r w:rsidRPr="002D4E99">
        <w:rPr>
          <w:rFonts w:ascii="Arial" w:hAnsi="Arial" w:cs="Arial"/>
          <w:lang w:eastAsia="cs-CZ"/>
        </w:rPr>
        <w:t>a</w:t>
      </w:r>
    </w:p>
    <w:p w:rsidR="00070563" w:rsidP="00F350E4" w14:paraId="034DA3AE" w14:textId="77777777">
      <w:pPr>
        <w:spacing w:after="240" w:line="240" w:lineRule="auto"/>
        <w:ind w:left="2127" w:hanging="2127"/>
        <w:contextualSpacing/>
        <w:rPr>
          <w:rFonts w:ascii="Arial" w:eastAsia="Calibri" w:hAnsi="Arial" w:cs="Arial"/>
          <w:b/>
        </w:rPr>
      </w:pPr>
    </w:p>
    <w:p w:rsidR="00F350E4" w:rsidP="00F350E4" w14:paraId="61C20DEF" w14:textId="1E5022A4">
      <w:pPr>
        <w:spacing w:after="240" w:line="240" w:lineRule="auto"/>
        <w:ind w:left="2127" w:hanging="2127"/>
        <w:contextualSpacing/>
        <w:rPr>
          <w:rFonts w:ascii="Arial" w:hAnsi="Arial" w:cs="Arial"/>
        </w:rPr>
      </w:pPr>
      <w:r w:rsidRPr="00AD11F7">
        <w:rPr>
          <w:rFonts w:ascii="Arial" w:eastAsia="Calibri" w:hAnsi="Arial" w:cs="Arial"/>
          <w:b/>
        </w:rPr>
        <w:t>Data Force, s.r.o</w:t>
      </w:r>
      <w:r w:rsidRPr="002D4E99">
        <w:rPr>
          <w:rFonts w:ascii="Arial" w:hAnsi="Arial" w:cs="Arial"/>
        </w:rPr>
        <w:t xml:space="preserve"> </w:t>
      </w:r>
    </w:p>
    <w:p w:rsidR="00F350E4" w:rsidP="00F350E4" w14:paraId="6C9D7100" w14:textId="77777777">
      <w:pPr>
        <w:spacing w:after="240" w:line="240" w:lineRule="auto"/>
        <w:ind w:left="2127" w:hanging="2127"/>
        <w:contextualSpacing/>
        <w:rPr>
          <w:rFonts w:ascii="Arial" w:hAnsi="Arial" w:cs="Arial"/>
        </w:rPr>
      </w:pPr>
    </w:p>
    <w:p w:rsidR="00F350E4" w:rsidRPr="00E06192" w:rsidP="00F350E4" w14:paraId="6F04EB68" w14:textId="77777777">
      <w:pPr>
        <w:spacing w:after="240" w:line="240" w:lineRule="auto"/>
        <w:ind w:left="2127" w:hanging="2127"/>
        <w:contextualSpacing/>
        <w:rPr>
          <w:rFonts w:ascii="Arial" w:eastAsia="Calibri" w:hAnsi="Arial" w:cs="Arial"/>
        </w:rPr>
      </w:pPr>
      <w:r w:rsidRPr="002D4E99">
        <w:rPr>
          <w:rFonts w:ascii="Arial" w:hAnsi="Arial" w:cs="Arial"/>
        </w:rPr>
        <w:t>kterou zastupuje:</w:t>
      </w:r>
      <w:r w:rsidRPr="002D4E99">
        <w:rPr>
          <w:rFonts w:ascii="Arial" w:hAnsi="Arial" w:cs="Arial"/>
        </w:rPr>
        <w:tab/>
      </w:r>
      <w:r w:rsidRPr="00AD11F7">
        <w:rPr>
          <w:rFonts w:ascii="Arial" w:eastAsia="Calibri" w:hAnsi="Arial" w:cs="Arial"/>
        </w:rPr>
        <w:t xml:space="preserve">Vlastimil Srna, jednatel, </w:t>
      </w:r>
      <w:r w:rsidRPr="00E06192">
        <w:rPr>
          <w:rFonts w:ascii="Arial" w:eastAsia="Calibri" w:hAnsi="Arial" w:cs="Arial"/>
        </w:rPr>
        <w:t xml:space="preserve">na základě </w:t>
      </w:r>
      <w:r w:rsidRPr="00AD11F7">
        <w:rPr>
          <w:rFonts w:ascii="Arial" w:eastAsia="Calibri" w:hAnsi="Arial" w:cs="Arial"/>
        </w:rPr>
        <w:t>vnitřního předpisu</w:t>
      </w:r>
      <w:r w:rsidRPr="00E06192">
        <w:rPr>
          <w:rFonts w:ascii="Arial" w:eastAsia="Calibri" w:hAnsi="Arial" w:cs="Arial"/>
        </w:rPr>
        <w:t xml:space="preserve"> </w:t>
      </w:r>
    </w:p>
    <w:p w:rsidR="00F350E4" w:rsidRPr="00E06192" w:rsidP="00F350E4" w14:paraId="2AC7EFE4" w14:textId="362EF39B">
      <w:pPr>
        <w:spacing w:after="240" w:line="240" w:lineRule="auto"/>
        <w:ind w:left="2127" w:hanging="2127"/>
        <w:contextualSpacing/>
        <w:rPr>
          <w:rFonts w:ascii="Arial" w:eastAsia="Calibri" w:hAnsi="Arial" w:cs="Arial"/>
        </w:rPr>
      </w:pPr>
      <w:r w:rsidRPr="002D4E99">
        <w:rPr>
          <w:rFonts w:ascii="Arial" w:hAnsi="Arial" w:cs="Arial"/>
        </w:rPr>
        <w:t>kontaktní osoba:</w:t>
      </w:r>
      <w:r w:rsidRPr="002D4E99">
        <w:rPr>
          <w:rFonts w:ascii="Arial" w:hAnsi="Arial" w:cs="Arial"/>
        </w:rPr>
        <w:tab/>
      </w:r>
      <w:bookmarkStart w:id="0" w:name="_Hlk174093980"/>
      <w:r w:rsidRPr="00090CFA">
        <w:rPr>
          <w:rFonts w:ascii="Arial" w:eastAsia="Calibri" w:hAnsi="Arial" w:cs="Arial"/>
        </w:rPr>
        <w:t>V</w:t>
      </w:r>
      <w:r w:rsidR="000C7CD7">
        <w:rPr>
          <w:rFonts w:ascii="Arial" w:eastAsia="Calibri" w:hAnsi="Arial" w:cs="Arial"/>
        </w:rPr>
        <w:t>ratislav Plný</w:t>
      </w:r>
      <w:r w:rsidRPr="00090CFA">
        <w:rPr>
          <w:rFonts w:ascii="Arial" w:eastAsia="Calibri" w:hAnsi="Arial" w:cs="Arial"/>
        </w:rPr>
        <w:t xml:space="preserve">, </w:t>
      </w:r>
      <w:r w:rsidRPr="00E06192">
        <w:rPr>
          <w:rFonts w:ascii="Arial" w:eastAsia="Calibri" w:hAnsi="Arial" w:cs="Arial"/>
        </w:rPr>
        <w:t>e-mail:</w:t>
      </w:r>
      <w:r w:rsidRPr="00090CFA">
        <w:rPr>
          <w:rFonts w:ascii="Arial" w:eastAsia="Calibri" w:hAnsi="Arial" w:cs="Arial"/>
        </w:rPr>
        <w:t xml:space="preserve"> </w:t>
      </w:r>
      <w:r w:rsidR="008A7236">
        <w:rPr>
          <w:rFonts w:ascii="Arial" w:eastAsia="Calibri" w:hAnsi="Arial" w:cs="Arial"/>
        </w:rPr>
        <w:t>xxxxx</w:t>
      </w:r>
      <w:r w:rsidRPr="00090CFA">
        <w:rPr>
          <w:rFonts w:ascii="Arial" w:eastAsia="Calibri" w:hAnsi="Arial" w:cs="Arial"/>
        </w:rPr>
        <w:t xml:space="preserve">, </w:t>
      </w:r>
      <w:r w:rsidRPr="00E06192">
        <w:rPr>
          <w:rFonts w:ascii="Arial" w:eastAsia="Calibri" w:hAnsi="Arial" w:cs="Arial"/>
        </w:rPr>
        <w:t>tel.:</w:t>
      </w:r>
      <w:r w:rsidRPr="00090CFA">
        <w:rPr>
          <w:rFonts w:ascii="Arial" w:eastAsia="Calibri" w:hAnsi="Arial" w:cs="Arial"/>
        </w:rPr>
        <w:t xml:space="preserve"> </w:t>
      </w:r>
      <w:bookmarkEnd w:id="0"/>
      <w:r w:rsidR="008A7236">
        <w:rPr>
          <w:rFonts w:ascii="Arial" w:eastAsia="Calibri" w:hAnsi="Arial" w:cs="Arial"/>
        </w:rPr>
        <w:t>xxxxx</w:t>
      </w:r>
    </w:p>
    <w:p w:rsidR="00F350E4" w:rsidRPr="00E06192" w:rsidP="00F350E4" w14:paraId="534AC216" w14:textId="77777777">
      <w:pPr>
        <w:spacing w:after="240" w:line="240" w:lineRule="auto"/>
        <w:contextualSpacing/>
        <w:rPr>
          <w:rFonts w:ascii="Arial" w:eastAsia="Calibri" w:hAnsi="Arial" w:cs="Arial"/>
        </w:rPr>
      </w:pPr>
      <w:r w:rsidRPr="00E06192">
        <w:rPr>
          <w:rFonts w:ascii="Arial" w:eastAsia="Calibri" w:hAnsi="Arial" w:cs="Arial"/>
        </w:rPr>
        <w:t>se sídlem:</w:t>
      </w:r>
      <w:r w:rsidRPr="00E06192">
        <w:rPr>
          <w:rFonts w:ascii="Arial" w:eastAsia="Calibri" w:hAnsi="Arial" w:cs="Arial"/>
        </w:rPr>
        <w:tab/>
      </w:r>
      <w:r w:rsidRPr="00E06192">
        <w:rPr>
          <w:rFonts w:ascii="Arial" w:eastAsia="Calibri" w:hAnsi="Arial" w:cs="Arial"/>
        </w:rPr>
        <w:tab/>
      </w:r>
      <w:r w:rsidRPr="00090CFA">
        <w:rPr>
          <w:rFonts w:ascii="Arial" w:eastAsia="Calibri" w:hAnsi="Arial" w:cs="Arial"/>
        </w:rPr>
        <w:t>Lužná 716/2, Praha 6, 160 00</w:t>
      </w:r>
    </w:p>
    <w:p w:rsidR="00F350E4" w:rsidRPr="00E06192" w:rsidP="00F350E4" w14:paraId="7604B209" w14:textId="77777777">
      <w:pPr>
        <w:spacing w:after="240" w:line="240" w:lineRule="auto"/>
        <w:contextualSpacing/>
        <w:rPr>
          <w:rFonts w:ascii="Arial" w:eastAsia="Calibri" w:hAnsi="Arial" w:cs="Arial"/>
        </w:rPr>
      </w:pPr>
      <w:r w:rsidRPr="00E06192">
        <w:rPr>
          <w:rFonts w:ascii="Arial" w:eastAsia="Calibri" w:hAnsi="Arial" w:cs="Arial"/>
        </w:rPr>
        <w:t>IČO:</w:t>
      </w:r>
      <w:r w:rsidRPr="00E06192">
        <w:rPr>
          <w:rFonts w:ascii="Arial" w:eastAsia="Calibri" w:hAnsi="Arial" w:cs="Arial"/>
        </w:rPr>
        <w:tab/>
      </w:r>
      <w:r w:rsidRPr="00E06192">
        <w:rPr>
          <w:rFonts w:ascii="Arial" w:eastAsia="Calibri" w:hAnsi="Arial" w:cs="Arial"/>
        </w:rPr>
        <w:tab/>
      </w:r>
      <w:r w:rsidRPr="00E06192">
        <w:rPr>
          <w:rFonts w:ascii="Arial" w:eastAsia="Calibri" w:hAnsi="Arial" w:cs="Arial"/>
        </w:rPr>
        <w:tab/>
      </w:r>
      <w:r w:rsidRPr="001030B4">
        <w:rPr>
          <w:rFonts w:ascii="Arial" w:eastAsia="Calibri" w:hAnsi="Arial" w:cs="Arial"/>
        </w:rPr>
        <w:t>02967171</w:t>
      </w:r>
    </w:p>
    <w:p w:rsidR="00F350E4" w:rsidRPr="00E06192" w:rsidP="00F350E4" w14:paraId="2D2F00A0" w14:textId="77777777">
      <w:pPr>
        <w:spacing w:after="240" w:line="240" w:lineRule="auto"/>
        <w:contextualSpacing/>
        <w:rPr>
          <w:rFonts w:ascii="Arial" w:eastAsia="Calibri" w:hAnsi="Arial" w:cs="Arial"/>
        </w:rPr>
      </w:pPr>
      <w:r w:rsidRPr="00E06192">
        <w:rPr>
          <w:rFonts w:ascii="Arial" w:eastAsia="Calibri" w:hAnsi="Arial" w:cs="Arial"/>
        </w:rPr>
        <w:t>DIČ:</w:t>
      </w:r>
      <w:r w:rsidRPr="00E06192">
        <w:rPr>
          <w:rFonts w:ascii="Arial" w:eastAsia="Calibri" w:hAnsi="Arial" w:cs="Arial"/>
        </w:rPr>
        <w:tab/>
      </w:r>
      <w:r w:rsidRPr="00E06192">
        <w:rPr>
          <w:rFonts w:ascii="Arial" w:eastAsia="Calibri" w:hAnsi="Arial" w:cs="Arial"/>
        </w:rPr>
        <w:tab/>
      </w:r>
      <w:r w:rsidRPr="00E06192">
        <w:rPr>
          <w:rFonts w:ascii="Arial" w:eastAsia="Calibri" w:hAnsi="Arial" w:cs="Arial"/>
        </w:rPr>
        <w:tab/>
      </w:r>
      <w:r w:rsidRPr="00090CFA">
        <w:rPr>
          <w:rFonts w:ascii="Arial" w:eastAsia="Calibri" w:hAnsi="Arial" w:cs="Arial"/>
        </w:rPr>
        <w:t>CZ02967171</w:t>
      </w:r>
    </w:p>
    <w:p w:rsidR="00F350E4" w:rsidRPr="00E06192" w:rsidP="00F350E4" w14:paraId="7F37CF9D" w14:textId="77777777">
      <w:pPr>
        <w:spacing w:after="240" w:line="240" w:lineRule="auto"/>
        <w:contextualSpacing/>
        <w:rPr>
          <w:rFonts w:ascii="Arial" w:eastAsia="Calibri" w:hAnsi="Arial" w:cs="Arial"/>
        </w:rPr>
      </w:pPr>
      <w:r w:rsidRPr="00E06192">
        <w:rPr>
          <w:rFonts w:ascii="Arial" w:eastAsia="Calibri" w:hAnsi="Arial" w:cs="Arial"/>
        </w:rPr>
        <w:t>bankovní spojení:</w:t>
      </w:r>
      <w:r w:rsidRPr="00E06192">
        <w:rPr>
          <w:rFonts w:ascii="Arial" w:eastAsia="Calibri" w:hAnsi="Arial" w:cs="Arial"/>
        </w:rPr>
        <w:tab/>
      </w:r>
      <w:r w:rsidRPr="00090CFA">
        <w:rPr>
          <w:rFonts w:ascii="Arial" w:eastAsia="Calibri" w:hAnsi="Arial" w:cs="Arial"/>
        </w:rPr>
        <w:t xml:space="preserve">ČSOB a.s., </w:t>
      </w:r>
      <w:r w:rsidRPr="00E06192">
        <w:rPr>
          <w:rFonts w:ascii="Arial" w:eastAsia="Calibri" w:hAnsi="Arial" w:cs="Arial"/>
        </w:rPr>
        <w:t xml:space="preserve">účet č.: </w:t>
      </w:r>
      <w:r w:rsidRPr="00090CFA">
        <w:rPr>
          <w:rFonts w:ascii="Arial" w:eastAsia="Calibri" w:hAnsi="Arial" w:cs="Arial"/>
        </w:rPr>
        <w:t>264817081/0300</w:t>
      </w:r>
    </w:p>
    <w:p w:rsidR="00F350E4" w:rsidP="00F350E4" w14:paraId="1B24C3E8" w14:textId="77777777">
      <w:pPr>
        <w:spacing w:after="240" w:line="240" w:lineRule="auto"/>
        <w:rPr>
          <w:rFonts w:ascii="Arial" w:eastAsia="Calibri" w:hAnsi="Arial" w:cs="Arial"/>
        </w:rPr>
      </w:pPr>
      <w:r w:rsidRPr="00E06192">
        <w:rPr>
          <w:rFonts w:ascii="Arial" w:eastAsia="Calibri" w:hAnsi="Arial" w:cs="Arial"/>
        </w:rPr>
        <w:t xml:space="preserve">společnost je zapsaná v Obchodním rejstříku vedeném </w:t>
      </w:r>
      <w:r w:rsidRPr="00090CFA">
        <w:rPr>
          <w:rFonts w:ascii="Arial" w:eastAsia="Calibri" w:hAnsi="Arial" w:cs="Arial"/>
        </w:rPr>
        <w:t xml:space="preserve">Městským soudem v Praze, </w:t>
      </w:r>
      <w:r w:rsidRPr="00E06192">
        <w:rPr>
          <w:rFonts w:ascii="Arial" w:eastAsia="Calibri" w:hAnsi="Arial" w:cs="Arial"/>
        </w:rPr>
        <w:t xml:space="preserve">oddíl </w:t>
      </w:r>
      <w:r>
        <w:rPr>
          <w:rFonts w:ascii="Arial" w:eastAsia="Calibri" w:hAnsi="Arial" w:cs="Arial"/>
          <w:i/>
        </w:rPr>
        <w:t>C</w:t>
      </w:r>
      <w:r w:rsidRPr="00E06192">
        <w:rPr>
          <w:rFonts w:ascii="Arial" w:eastAsia="Calibri" w:hAnsi="Arial" w:cs="Arial"/>
        </w:rPr>
        <w:t>, vložka č. </w:t>
      </w:r>
      <w:r w:rsidRPr="00090CFA">
        <w:rPr>
          <w:rFonts w:ascii="Arial" w:eastAsia="Calibri" w:hAnsi="Arial" w:cs="Arial"/>
        </w:rPr>
        <w:t>225785</w:t>
      </w:r>
      <w:r w:rsidRPr="00E06192">
        <w:rPr>
          <w:rFonts w:ascii="Arial" w:eastAsia="Calibri" w:hAnsi="Arial" w:cs="Arial"/>
        </w:rPr>
        <w:t xml:space="preserve"> </w:t>
      </w:r>
    </w:p>
    <w:p w:rsidR="00BB2E82" w:rsidP="00BB2E82" w14:paraId="2D1CA030" w14:textId="258C0E53">
      <w:pPr>
        <w:spacing w:after="360" w:line="240" w:lineRule="auto"/>
        <w:jc w:val="both"/>
        <w:rPr>
          <w:rFonts w:ascii="Arial" w:hAnsi="Arial" w:cs="Arial"/>
          <w:lang w:eastAsia="cs-CZ"/>
        </w:rPr>
      </w:pPr>
      <w:r w:rsidRPr="002D4E99">
        <w:rPr>
          <w:rFonts w:ascii="Arial" w:hAnsi="Arial" w:cs="Arial"/>
          <w:lang w:eastAsia="cs-CZ"/>
        </w:rPr>
        <w:t>(dále jen „</w:t>
      </w:r>
      <w:r w:rsidR="0091224F">
        <w:rPr>
          <w:rFonts w:ascii="Arial" w:hAnsi="Arial" w:cs="Arial"/>
          <w:b/>
          <w:lang w:eastAsia="cs-CZ"/>
        </w:rPr>
        <w:t>p</w:t>
      </w:r>
      <w:r w:rsidRPr="002D4E99">
        <w:rPr>
          <w:rFonts w:ascii="Arial" w:hAnsi="Arial" w:cs="Arial"/>
          <w:b/>
          <w:lang w:eastAsia="cs-CZ"/>
        </w:rPr>
        <w:t>rodávající</w:t>
      </w:r>
      <w:r w:rsidRPr="002D4E99">
        <w:rPr>
          <w:rFonts w:ascii="Arial" w:hAnsi="Arial" w:cs="Arial"/>
          <w:lang w:eastAsia="cs-CZ"/>
        </w:rPr>
        <w:t>“)</w:t>
      </w:r>
    </w:p>
    <w:p w:rsidR="006338E4" w:rsidRPr="006338E4" w:rsidP="006338E4" w14:paraId="3E3A2DD3" w14:textId="5456860E">
      <w:pPr>
        <w:spacing w:after="0" w:line="240" w:lineRule="auto"/>
        <w:jc w:val="both"/>
        <w:rPr>
          <w:rFonts w:ascii="Arial" w:eastAsia="Times New Roman" w:hAnsi="Arial" w:cs="Arial"/>
          <w:szCs w:val="20"/>
          <w:lang w:eastAsia="cs-CZ"/>
        </w:rPr>
      </w:pPr>
      <w:r w:rsidRPr="006338E4">
        <w:rPr>
          <w:rFonts w:ascii="Arial" w:eastAsia="Times New Roman" w:hAnsi="Arial" w:cs="Arial"/>
          <w:szCs w:val="20"/>
          <w:lang w:eastAsia="cs-CZ"/>
        </w:rPr>
        <w:t xml:space="preserve">uzavřely na základě rozhodnutí </w:t>
      </w:r>
      <w:r w:rsidR="009A1460">
        <w:rPr>
          <w:rFonts w:ascii="Arial" w:eastAsia="Times New Roman" w:hAnsi="Arial" w:cs="Arial"/>
          <w:szCs w:val="20"/>
          <w:lang w:eastAsia="cs-CZ"/>
        </w:rPr>
        <w:t>z</w:t>
      </w:r>
      <w:r w:rsidRPr="006338E4">
        <w:rPr>
          <w:rFonts w:ascii="Arial" w:eastAsia="Times New Roman" w:hAnsi="Arial" w:cs="Arial"/>
          <w:szCs w:val="20"/>
          <w:lang w:eastAsia="cs-CZ"/>
        </w:rPr>
        <w:t>adavatele o výběru dodavatele v zadávacím říze</w:t>
      </w:r>
      <w:r w:rsidR="006B7CC2">
        <w:rPr>
          <w:rFonts w:ascii="Arial" w:eastAsia="Times New Roman" w:hAnsi="Arial" w:cs="Arial"/>
          <w:szCs w:val="20"/>
          <w:lang w:eastAsia="cs-CZ"/>
        </w:rPr>
        <w:t>ní na veřejnou zakázku na dodávky</w:t>
      </w:r>
      <w:r w:rsidRPr="006338E4">
        <w:rPr>
          <w:rFonts w:ascii="Arial" w:eastAsia="Times New Roman" w:hAnsi="Arial" w:cs="Arial"/>
          <w:szCs w:val="20"/>
          <w:lang w:eastAsia="cs-CZ"/>
        </w:rPr>
        <w:t xml:space="preserve"> s názvem </w:t>
      </w:r>
      <w:r w:rsidRPr="006338E4">
        <w:rPr>
          <w:rFonts w:ascii="Arial" w:eastAsia="Times New Roman" w:hAnsi="Arial" w:cs="Arial"/>
          <w:lang w:eastAsia="cs-CZ"/>
        </w:rPr>
        <w:t>„</w:t>
      </w:r>
      <w:r w:rsidR="006B7CC2">
        <w:rPr>
          <w:rFonts w:ascii="Arial" w:eastAsia="Times New Roman" w:hAnsi="Arial" w:cs="Arial"/>
          <w:lang w:eastAsia="cs-CZ"/>
        </w:rPr>
        <w:t>Servery a diskové pole Hrzánský palác</w:t>
      </w:r>
      <w:r w:rsidR="001773ED">
        <w:rPr>
          <w:rFonts w:ascii="Arial" w:eastAsia="Times New Roman" w:hAnsi="Arial" w:cs="Arial"/>
          <w:szCs w:val="20"/>
          <w:lang w:eastAsia="cs-CZ"/>
        </w:rPr>
        <w:t xml:space="preserve">, část 1 – Virtualizační prostředí“  </w:t>
      </w:r>
      <w:r w:rsidR="006B7CC2">
        <w:rPr>
          <w:rFonts w:ascii="Arial" w:eastAsia="Times New Roman" w:hAnsi="Arial" w:cs="Arial"/>
          <w:szCs w:val="20"/>
          <w:lang w:eastAsia="cs-CZ"/>
        </w:rPr>
        <w:t xml:space="preserve">(dále jen „veřejná zakázka“), </w:t>
      </w:r>
      <w:r w:rsidRPr="006338E4">
        <w:rPr>
          <w:rFonts w:ascii="Arial" w:eastAsia="Times New Roman" w:hAnsi="Arial" w:cs="Arial"/>
          <w:szCs w:val="20"/>
          <w:lang w:eastAsia="cs-CZ"/>
        </w:rPr>
        <w:t>zadávanou v otevřeném nadlimitním řízení podle § 56 zákona č. 134/2016 Sb., o zadávání veřejných zakázek, ve znění pozdějších předpisů (dále jen „</w:t>
      </w:r>
      <w:r w:rsidRPr="006338E4">
        <w:rPr>
          <w:rFonts w:ascii="Arial" w:eastAsia="Times New Roman" w:hAnsi="Arial" w:cs="Arial"/>
          <w:b/>
          <w:szCs w:val="20"/>
          <w:lang w:eastAsia="cs-CZ"/>
        </w:rPr>
        <w:t>ZZVZ</w:t>
      </w:r>
      <w:r w:rsidR="006B7CC2">
        <w:rPr>
          <w:rFonts w:ascii="Arial" w:eastAsia="Times New Roman" w:hAnsi="Arial" w:cs="Arial"/>
          <w:szCs w:val="20"/>
          <w:lang w:eastAsia="cs-CZ"/>
        </w:rPr>
        <w:t xml:space="preserve">“), sp. zn. </w:t>
      </w:r>
      <w:r w:rsidR="0018475C">
        <w:rPr>
          <w:rFonts w:ascii="Arial" w:hAnsi="Arial" w:cs="Arial"/>
          <w:bCs/>
          <w:color w:val="000000"/>
        </w:rPr>
        <w:t>42565-2024-UVCR</w:t>
      </w:r>
      <w:r w:rsidR="0018475C">
        <w:rPr>
          <w:rFonts w:ascii="Arial" w:eastAsia="Times New Roman" w:hAnsi="Arial" w:cs="Arial"/>
          <w:szCs w:val="20"/>
          <w:lang w:eastAsia="cs-CZ"/>
        </w:rPr>
        <w:t xml:space="preserve"> </w:t>
      </w:r>
      <w:r w:rsidR="006B7CC2">
        <w:rPr>
          <w:rFonts w:ascii="Arial" w:eastAsia="Times New Roman" w:hAnsi="Arial" w:cs="Arial"/>
          <w:szCs w:val="20"/>
          <w:lang w:eastAsia="cs-CZ"/>
        </w:rPr>
        <w:t xml:space="preserve">ve smyslu </w:t>
      </w:r>
      <w:r w:rsidRPr="006338E4">
        <w:rPr>
          <w:rFonts w:ascii="Arial" w:eastAsia="Times New Roman" w:hAnsi="Arial" w:cs="Arial"/>
          <w:szCs w:val="20"/>
          <w:lang w:eastAsia="cs-CZ"/>
        </w:rPr>
        <w:t xml:space="preserve">podmínek a ustanovení uvedených v kompletní zadávací dokumentaci a v souladu s nabídkou </w:t>
      </w:r>
      <w:r w:rsidR="009A1460">
        <w:rPr>
          <w:rFonts w:ascii="Arial" w:eastAsia="Times New Roman" w:hAnsi="Arial" w:cs="Arial"/>
          <w:szCs w:val="20"/>
          <w:lang w:eastAsia="cs-CZ"/>
        </w:rPr>
        <w:t>p</w:t>
      </w:r>
      <w:r w:rsidR="006B7CC2">
        <w:rPr>
          <w:rFonts w:ascii="Arial" w:eastAsia="Times New Roman" w:hAnsi="Arial" w:cs="Arial"/>
          <w:szCs w:val="20"/>
          <w:lang w:eastAsia="cs-CZ"/>
        </w:rPr>
        <w:t>rodávajícího</w:t>
      </w:r>
      <w:r w:rsidRPr="006338E4">
        <w:rPr>
          <w:rFonts w:ascii="Arial" w:eastAsia="Times New Roman" w:hAnsi="Arial" w:cs="Arial"/>
          <w:szCs w:val="20"/>
          <w:lang w:eastAsia="cs-CZ"/>
        </w:rPr>
        <w:t xml:space="preserve"> níže uvedeného dne, měsíce a roku v souladu s § 2586 a násl. ob</w:t>
      </w:r>
      <w:r w:rsidR="006B7CC2">
        <w:rPr>
          <w:rFonts w:ascii="Arial" w:eastAsia="Times New Roman" w:hAnsi="Arial" w:cs="Arial"/>
          <w:szCs w:val="20"/>
          <w:lang w:eastAsia="cs-CZ"/>
        </w:rPr>
        <w:t>čanského zákoníku kupní smlouvu</w:t>
      </w:r>
      <w:r w:rsidRPr="006338E4">
        <w:rPr>
          <w:rFonts w:ascii="Arial" w:eastAsia="Times New Roman" w:hAnsi="Arial" w:cs="Arial"/>
          <w:szCs w:val="20"/>
          <w:lang w:eastAsia="cs-CZ"/>
        </w:rPr>
        <w:t xml:space="preserve"> (dále jen „</w:t>
      </w:r>
      <w:r w:rsidR="00A85050">
        <w:rPr>
          <w:rFonts w:ascii="Arial" w:eastAsia="Times New Roman" w:hAnsi="Arial" w:cs="Arial"/>
          <w:szCs w:val="20"/>
          <w:lang w:eastAsia="cs-CZ"/>
        </w:rPr>
        <w:t>s</w:t>
      </w:r>
      <w:r w:rsidRPr="006338E4">
        <w:rPr>
          <w:rFonts w:ascii="Arial" w:eastAsia="Times New Roman" w:hAnsi="Arial" w:cs="Arial"/>
          <w:szCs w:val="20"/>
          <w:lang w:eastAsia="cs-CZ"/>
        </w:rPr>
        <w:t xml:space="preserve">mlouva“). </w:t>
      </w:r>
    </w:p>
    <w:p w:rsidR="00BB2E82" w:rsidP="00BB2E82" w14:paraId="58FCD011" w14:textId="33C76D4F">
      <w:pPr>
        <w:spacing w:after="240" w:line="20" w:lineRule="atLeast"/>
        <w:jc w:val="both"/>
        <w:rPr>
          <w:rFonts w:ascii="Arial" w:hAnsi="Arial" w:cs="Arial"/>
        </w:rPr>
      </w:pPr>
    </w:p>
    <w:p w:rsidR="00DD2BD3" w:rsidRPr="002D4E99" w:rsidP="00BB2E82" w14:paraId="04B930BE" w14:textId="77777777">
      <w:pPr>
        <w:spacing w:after="240" w:line="20" w:lineRule="atLeast"/>
        <w:jc w:val="both"/>
        <w:rPr>
          <w:rFonts w:ascii="Arial" w:hAnsi="Arial" w:cs="Arial"/>
        </w:rPr>
      </w:pPr>
    </w:p>
    <w:p w:rsidR="00BB2E82" w:rsidRPr="002D4E99" w:rsidP="00BB2E82" w14:paraId="75C702E6" w14:textId="77777777">
      <w:pPr>
        <w:spacing w:before="360" w:after="120" w:line="20" w:lineRule="atLeast"/>
        <w:jc w:val="center"/>
        <w:outlineLvl w:val="3"/>
        <w:rPr>
          <w:rFonts w:ascii="Arial" w:hAnsi="Arial" w:cs="Arial"/>
          <w:b/>
        </w:rPr>
      </w:pPr>
      <w:r w:rsidRPr="002D4E99">
        <w:rPr>
          <w:rFonts w:ascii="Arial" w:hAnsi="Arial" w:cs="Arial"/>
          <w:b/>
        </w:rPr>
        <w:t>Článek I.</w:t>
      </w:r>
      <w:r w:rsidRPr="002D4E99">
        <w:rPr>
          <w:rFonts w:ascii="Arial" w:hAnsi="Arial" w:cs="Arial"/>
          <w:b/>
        </w:rPr>
        <w:br/>
        <w:t>Předmět smlouvy</w:t>
      </w:r>
    </w:p>
    <w:p w:rsidR="00BB2E82" w:rsidRPr="005A1443" w:rsidP="00BB2E82" w14:paraId="6EC732E1" w14:textId="75F9DE15">
      <w:pPr>
        <w:numPr>
          <w:ilvl w:val="0"/>
          <w:numId w:val="5"/>
        </w:numPr>
        <w:tabs>
          <w:tab w:val="clear" w:pos="360"/>
          <w:tab w:val="num" w:pos="426"/>
        </w:tabs>
        <w:spacing w:after="120" w:line="20" w:lineRule="atLeast"/>
        <w:ind w:left="426" w:hanging="426"/>
        <w:jc w:val="both"/>
        <w:rPr>
          <w:rFonts w:ascii="Arial" w:hAnsi="Arial" w:cs="Arial"/>
        </w:rPr>
      </w:pPr>
      <w:r w:rsidRPr="005A1443">
        <w:rPr>
          <w:rFonts w:ascii="Arial" w:hAnsi="Arial" w:cs="Arial"/>
        </w:rPr>
        <w:t xml:space="preserve">Předmětem této smlouvy je závazek prodávajícího dodat kupujícímu řádně, ve sjednaném termínu, na sjednané místo a v požadované kvalitě </w:t>
      </w:r>
      <w:r w:rsidRPr="009A1460" w:rsidR="005A1443">
        <w:rPr>
          <w:rFonts w:ascii="Arial" w:hAnsi="Arial" w:cs="Arial"/>
          <w:b/>
        </w:rPr>
        <w:t>1 ks blade šasi, 3 ks serverů, 2 ks I/O modulů do blade šasi</w:t>
      </w:r>
      <w:r w:rsidRPr="005A1443" w:rsidR="005A1443">
        <w:rPr>
          <w:rFonts w:ascii="Arial" w:hAnsi="Arial" w:cs="Arial"/>
        </w:rPr>
        <w:t xml:space="preserve"> </w:t>
      </w:r>
      <w:r w:rsidRPr="005A1443" w:rsidR="000C2158">
        <w:rPr>
          <w:rFonts w:ascii="Arial" w:hAnsi="Arial" w:cs="Arial"/>
        </w:rPr>
        <w:t>a jejich příslušenství, dle technické specifikace uvedené</w:t>
      </w:r>
      <w:r w:rsidRPr="005A1443" w:rsidR="00C808FD">
        <w:rPr>
          <w:rFonts w:ascii="Arial" w:hAnsi="Arial" w:cs="Arial"/>
        </w:rPr>
        <w:t xml:space="preserve"> v příloze č. 1 této smlouvy, </w:t>
      </w:r>
      <w:r w:rsidRPr="005A1443">
        <w:rPr>
          <w:rFonts w:ascii="Arial" w:hAnsi="Arial" w:cs="Arial"/>
        </w:rPr>
        <w:t>včetně dopravy do místa plnění</w:t>
      </w:r>
      <w:r w:rsidR="00782EBC">
        <w:rPr>
          <w:rFonts w:ascii="Arial" w:hAnsi="Arial" w:cs="Arial"/>
        </w:rPr>
        <w:t>, provedení následných implementačních služeb</w:t>
      </w:r>
      <w:r w:rsidRPr="005A1443">
        <w:rPr>
          <w:rFonts w:ascii="Arial" w:hAnsi="Arial" w:cs="Arial"/>
        </w:rPr>
        <w:t xml:space="preserve"> a </w:t>
      </w:r>
      <w:r w:rsidRPr="00D16A34">
        <w:rPr>
          <w:rFonts w:ascii="Arial" w:hAnsi="Arial" w:cs="Arial"/>
        </w:rPr>
        <w:t>poskytnutí záruky</w:t>
      </w:r>
      <w:r w:rsidRPr="00D16A34" w:rsidR="005A1443">
        <w:rPr>
          <w:rFonts w:ascii="Arial" w:hAnsi="Arial" w:cs="Arial"/>
        </w:rPr>
        <w:t xml:space="preserve"> a </w:t>
      </w:r>
      <w:r w:rsidRPr="00D16A34" w:rsidR="001D2F86">
        <w:rPr>
          <w:rFonts w:ascii="Arial" w:hAnsi="Arial" w:cs="Arial"/>
        </w:rPr>
        <w:t>záručního servisu po</w:t>
      </w:r>
      <w:r w:rsidRPr="00D16A34" w:rsidR="005A1443">
        <w:rPr>
          <w:rFonts w:ascii="Arial" w:hAnsi="Arial" w:cs="Arial"/>
        </w:rPr>
        <w:t xml:space="preserve"> dobu 60</w:t>
      </w:r>
      <w:r w:rsidRPr="00D16A34">
        <w:rPr>
          <w:rFonts w:ascii="Arial" w:hAnsi="Arial" w:cs="Arial"/>
        </w:rPr>
        <w:t xml:space="preserve"> měsíců</w:t>
      </w:r>
      <w:r w:rsidRPr="005A1443">
        <w:rPr>
          <w:rFonts w:ascii="Arial" w:hAnsi="Arial" w:cs="Arial"/>
        </w:rPr>
        <w:t xml:space="preserve"> (dále jen „zboží“).</w:t>
      </w:r>
      <w:r w:rsidR="00782EBC">
        <w:rPr>
          <w:rFonts w:ascii="Arial" w:hAnsi="Arial" w:cs="Arial"/>
        </w:rPr>
        <w:t xml:space="preserve"> </w:t>
      </w:r>
      <w:r w:rsidR="00B831DB">
        <w:rPr>
          <w:rFonts w:ascii="Arial" w:hAnsi="Arial" w:cs="Arial"/>
        </w:rPr>
        <w:t>Dodaný hardware musí být nový, nesmí se jednat o použité či repasované produkty.</w:t>
      </w:r>
    </w:p>
    <w:p w:rsidR="001D2F86" w:rsidP="001D2F86" w14:paraId="6AF7CF5B" w14:textId="77777777">
      <w:pPr>
        <w:numPr>
          <w:ilvl w:val="0"/>
          <w:numId w:val="5"/>
        </w:numPr>
        <w:tabs>
          <w:tab w:val="clear" w:pos="360"/>
          <w:tab w:val="num" w:pos="426"/>
        </w:tabs>
        <w:spacing w:after="120" w:line="20" w:lineRule="atLeast"/>
        <w:ind w:left="426" w:hanging="426"/>
        <w:jc w:val="both"/>
        <w:rPr>
          <w:rFonts w:ascii="Arial" w:hAnsi="Arial" w:cs="Arial"/>
        </w:rPr>
      </w:pPr>
      <w:r w:rsidRPr="000039A9">
        <w:rPr>
          <w:rFonts w:ascii="Arial" w:hAnsi="Arial" w:cs="Arial"/>
        </w:rPr>
        <w:t>Předmětem této smlouvy je dále závazek kupujícího převzít řádně a včas poskytnuté zboží a zaplatit za něj sjednanou cenu podle podmínek v této smlouvě.</w:t>
      </w:r>
    </w:p>
    <w:p w:rsidR="001D2F86" w:rsidRPr="005C3D14" w:rsidP="001D2F86" w14:paraId="3FDACC5F" w14:textId="77777777">
      <w:pPr>
        <w:numPr>
          <w:ilvl w:val="0"/>
          <w:numId w:val="5"/>
        </w:numPr>
        <w:tabs>
          <w:tab w:val="clear" w:pos="360"/>
          <w:tab w:val="num" w:pos="426"/>
        </w:tabs>
        <w:spacing w:after="120" w:line="20" w:lineRule="atLeast"/>
        <w:ind w:left="426" w:hanging="426"/>
        <w:jc w:val="both"/>
        <w:rPr>
          <w:rFonts w:ascii="Arial" w:hAnsi="Arial" w:cs="Arial"/>
        </w:rPr>
      </w:pPr>
      <w:r w:rsidRPr="005C3D14">
        <w:rPr>
          <w:rFonts w:ascii="Arial" w:hAnsi="Arial" w:cs="Arial"/>
        </w:rPr>
        <w:t>Prodávající odpovídá za to, že veškeré zboží dle této smlouvy:</w:t>
      </w:r>
    </w:p>
    <w:p w:rsidR="001D2F86" w:rsidRPr="005C3D14" w:rsidP="001D2F86" w14:paraId="47DF2B28"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pochází z autorizovaného obchodního kanálu výrobce,</w:t>
      </w:r>
    </w:p>
    <w:p w:rsidR="001D2F86" w:rsidRPr="005C3D14" w:rsidP="001D2F86" w14:paraId="578784C8"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je registrováno a licencováno u výrobce na jméno kupujícího,</w:t>
      </w:r>
    </w:p>
    <w:p w:rsidR="001D2F86" w:rsidRPr="005C3D14" w:rsidP="001D2F86" w14:paraId="04FDD20A"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nachází se v oblasti Evropské unie v souladu s pravidly Evropské unie o paralelním trhu.</w:t>
      </w:r>
    </w:p>
    <w:p w:rsidR="001D2F86" w:rsidRPr="005C3D14" w:rsidP="001D2F86" w14:paraId="186F73E5" w14:textId="77777777">
      <w:pPr>
        <w:tabs>
          <w:tab w:val="num" w:pos="1080"/>
        </w:tabs>
        <w:spacing w:after="120" w:line="20" w:lineRule="atLeast"/>
        <w:ind w:left="851"/>
        <w:contextualSpacing/>
        <w:jc w:val="both"/>
        <w:rPr>
          <w:rFonts w:ascii="Arial" w:hAnsi="Arial" w:cs="Arial"/>
        </w:rPr>
      </w:pPr>
    </w:p>
    <w:p w:rsidR="001D2F86" w:rsidP="001D2F86" w14:paraId="06BDDCC1" w14:textId="77777777">
      <w:pPr>
        <w:spacing w:after="120" w:line="20" w:lineRule="atLeast"/>
        <w:ind w:left="426"/>
        <w:contextualSpacing/>
        <w:jc w:val="both"/>
        <w:rPr>
          <w:rFonts w:ascii="Arial" w:hAnsi="Arial" w:cs="Arial"/>
        </w:rPr>
      </w:pPr>
      <w:r w:rsidRPr="005C3D14">
        <w:rPr>
          <w:rFonts w:ascii="Arial" w:hAnsi="Arial" w:cs="Arial"/>
        </w:rPr>
        <w:t>Prodávající odpovídá za to, že kupující bude uveden v databázi výrobce jako konečný uživatel.</w:t>
      </w:r>
    </w:p>
    <w:p w:rsidR="001D2F86" w:rsidRPr="000039A9" w:rsidP="001D2F86" w14:paraId="3CCA934F" w14:textId="77777777">
      <w:pPr>
        <w:spacing w:after="120" w:line="20" w:lineRule="atLeast"/>
        <w:ind w:left="426"/>
        <w:jc w:val="both"/>
        <w:rPr>
          <w:rFonts w:ascii="Arial" w:hAnsi="Arial" w:cs="Arial"/>
        </w:rPr>
      </w:pPr>
    </w:p>
    <w:p w:rsidR="00BB2E82" w:rsidRPr="002D4E99" w:rsidP="00BB2E82" w14:paraId="42820435" w14:textId="77777777">
      <w:pPr>
        <w:spacing w:before="360" w:after="120" w:line="20" w:lineRule="atLeast"/>
        <w:jc w:val="center"/>
        <w:outlineLvl w:val="3"/>
        <w:rPr>
          <w:rFonts w:ascii="Arial" w:hAnsi="Arial" w:cs="Arial"/>
          <w:b/>
        </w:rPr>
      </w:pPr>
      <w:r w:rsidRPr="002D4E99">
        <w:rPr>
          <w:rFonts w:ascii="Arial" w:hAnsi="Arial" w:cs="Arial"/>
          <w:b/>
        </w:rPr>
        <w:t>Článek II.</w:t>
      </w:r>
      <w:r w:rsidRPr="002D4E99">
        <w:rPr>
          <w:rFonts w:ascii="Arial" w:hAnsi="Arial" w:cs="Arial"/>
          <w:b/>
        </w:rPr>
        <w:br/>
        <w:t>Doba a místo plnění, předání zboží</w:t>
      </w:r>
    </w:p>
    <w:p w:rsidR="009E0F92" w:rsidRPr="009E0F92" w:rsidP="006E4299" w14:paraId="10E83C2D" w14:textId="35F29BCC">
      <w:pPr>
        <w:numPr>
          <w:ilvl w:val="0"/>
          <w:numId w:val="6"/>
        </w:numPr>
        <w:spacing w:after="120" w:line="240" w:lineRule="auto"/>
        <w:jc w:val="both"/>
        <w:rPr>
          <w:rFonts w:ascii="Arial" w:hAnsi="Arial" w:cs="Arial"/>
          <w:bCs/>
        </w:rPr>
      </w:pPr>
      <w:r w:rsidRPr="009E0F92">
        <w:rPr>
          <w:rFonts w:ascii="Arial" w:hAnsi="Arial" w:cs="Arial"/>
          <w:bCs/>
        </w:rPr>
        <w:t>Prodávající dodá kupujícímu</w:t>
      </w:r>
      <w:r w:rsidR="005C3D14">
        <w:rPr>
          <w:rFonts w:ascii="Arial" w:hAnsi="Arial" w:cs="Arial"/>
          <w:bCs/>
        </w:rPr>
        <w:t xml:space="preserve"> zboží ve stanoveném množství,</w:t>
      </w:r>
      <w:r w:rsidRPr="009E0F92">
        <w:rPr>
          <w:rFonts w:ascii="Arial" w:hAnsi="Arial" w:cs="Arial"/>
          <w:bCs/>
        </w:rPr>
        <w:t xml:space="preserve"> kvalitě a rozsahu dle přílohy č. 1 této smlouvy </w:t>
      </w:r>
      <w:r w:rsidRPr="009E0F92">
        <w:rPr>
          <w:rFonts w:ascii="Arial" w:hAnsi="Arial" w:cs="Arial"/>
        </w:rPr>
        <w:t>– Technická speci</w:t>
      </w:r>
      <w:r w:rsidRPr="009E0F92" w:rsidR="00AD126C">
        <w:rPr>
          <w:rFonts w:ascii="Arial" w:hAnsi="Arial" w:cs="Arial"/>
        </w:rPr>
        <w:t xml:space="preserve">fikace zboží, a to nejpozději </w:t>
      </w:r>
      <w:r w:rsidR="005C3D14">
        <w:rPr>
          <w:rFonts w:ascii="Arial" w:eastAsia="Calibri" w:hAnsi="Arial" w:cs="Arial"/>
          <w:lang w:eastAsia="cs-CZ"/>
        </w:rPr>
        <w:t xml:space="preserve">do </w:t>
      </w:r>
      <w:r w:rsidRPr="00157A05" w:rsidR="00AB41D0">
        <w:rPr>
          <w:rFonts w:ascii="Arial" w:eastAsia="Calibri" w:hAnsi="Arial" w:cs="Arial"/>
          <w:lang w:eastAsia="cs-CZ"/>
        </w:rPr>
        <w:t xml:space="preserve">60 </w:t>
      </w:r>
      <w:r w:rsidRPr="005C3D14" w:rsidR="005A1443">
        <w:rPr>
          <w:rFonts w:ascii="Arial" w:eastAsia="Calibri" w:hAnsi="Arial" w:cs="Arial"/>
          <w:lang w:eastAsia="cs-CZ"/>
        </w:rPr>
        <w:t>dnů</w:t>
      </w:r>
      <w:r w:rsidRPr="009E0F92" w:rsidR="005A1443">
        <w:rPr>
          <w:rFonts w:ascii="Arial" w:eastAsia="Calibri" w:hAnsi="Arial" w:cs="Arial"/>
          <w:lang w:eastAsia="cs-CZ"/>
        </w:rPr>
        <w:t xml:space="preserve"> ode dne účinnosti této smlouvy</w:t>
      </w:r>
      <w:r w:rsidR="00DD2BD3">
        <w:rPr>
          <w:rFonts w:ascii="Arial" w:eastAsia="Calibri" w:hAnsi="Arial" w:cs="Arial"/>
          <w:lang w:eastAsia="cs-CZ"/>
        </w:rPr>
        <w:t xml:space="preserve">, </w:t>
      </w:r>
      <w:r w:rsidRPr="009E0F92" w:rsidR="005A1443">
        <w:rPr>
          <w:rFonts w:ascii="Arial" w:eastAsia="Calibri" w:hAnsi="Arial" w:cs="Arial"/>
          <w:lang w:eastAsia="cs-CZ"/>
        </w:rPr>
        <w:t>a to včetně dopravy do místa plnění</w:t>
      </w:r>
      <w:r w:rsidR="00B831DB">
        <w:rPr>
          <w:rFonts w:ascii="Arial" w:eastAsia="Calibri" w:hAnsi="Arial" w:cs="Arial"/>
          <w:lang w:eastAsia="cs-CZ"/>
        </w:rPr>
        <w:t xml:space="preserve">, </w:t>
      </w:r>
      <w:r w:rsidRPr="009E0F92">
        <w:rPr>
          <w:rFonts w:ascii="Arial" w:eastAsia="Calibri" w:hAnsi="Arial" w:cs="Arial"/>
          <w:lang w:eastAsia="cs-CZ"/>
        </w:rPr>
        <w:t>jeho</w:t>
      </w:r>
      <w:r w:rsidR="00B831DB">
        <w:rPr>
          <w:rFonts w:ascii="Arial" w:eastAsia="Calibri" w:hAnsi="Arial" w:cs="Arial"/>
          <w:lang w:eastAsia="cs-CZ"/>
        </w:rPr>
        <w:t xml:space="preserve"> instalace a konfigurace</w:t>
      </w:r>
      <w:r w:rsidR="00782EBC">
        <w:rPr>
          <w:rFonts w:ascii="Arial" w:eastAsia="Calibri" w:hAnsi="Arial" w:cs="Arial"/>
          <w:lang w:eastAsia="cs-CZ"/>
        </w:rPr>
        <w:t>.</w:t>
      </w:r>
      <w:r>
        <w:rPr>
          <w:rFonts w:ascii="Arial" w:eastAsia="Calibri" w:hAnsi="Arial" w:cs="Arial"/>
          <w:lang w:eastAsia="cs-CZ"/>
        </w:rPr>
        <w:t xml:space="preserve"> Instalační práce musí být provedeny technikem, který je za tímto účelem vyškolen a oprávněn výrobcem.</w:t>
      </w:r>
      <w:r w:rsidR="00B831DB">
        <w:rPr>
          <w:rFonts w:ascii="Arial" w:eastAsia="Calibri" w:hAnsi="Arial" w:cs="Arial"/>
          <w:lang w:eastAsia="cs-CZ"/>
        </w:rPr>
        <w:t xml:space="preserve"> </w:t>
      </w:r>
      <w:r w:rsidRPr="009E0F92" w:rsidR="005A1443">
        <w:rPr>
          <w:rFonts w:ascii="Arial" w:eastAsia="Calibri" w:hAnsi="Arial" w:cs="Arial"/>
          <w:lang w:eastAsia="cs-CZ"/>
        </w:rPr>
        <w:t xml:space="preserve"> </w:t>
      </w:r>
    </w:p>
    <w:p w:rsidR="00BB2E82" w:rsidRPr="009E0F92" w:rsidP="006E4299" w14:paraId="3859326F" w14:textId="139BE462">
      <w:pPr>
        <w:numPr>
          <w:ilvl w:val="0"/>
          <w:numId w:val="6"/>
        </w:numPr>
        <w:spacing w:after="120" w:line="240" w:lineRule="auto"/>
        <w:jc w:val="both"/>
        <w:rPr>
          <w:rFonts w:ascii="Arial" w:hAnsi="Arial" w:cs="Arial"/>
          <w:bCs/>
        </w:rPr>
      </w:pPr>
      <w:r w:rsidRPr="009E0F92">
        <w:rPr>
          <w:rFonts w:ascii="Arial" w:hAnsi="Arial" w:cs="Arial"/>
        </w:rPr>
        <w:t xml:space="preserve">Místem plnění </w:t>
      </w:r>
      <w:r w:rsidR="005C3D14">
        <w:rPr>
          <w:rFonts w:ascii="Arial" w:hAnsi="Arial" w:cs="Arial"/>
        </w:rPr>
        <w:t>je objekt</w:t>
      </w:r>
      <w:r w:rsidRPr="009E0F92">
        <w:rPr>
          <w:rFonts w:ascii="Arial" w:hAnsi="Arial" w:cs="Arial"/>
        </w:rPr>
        <w:t xml:space="preserve"> kupujícího na adrese</w:t>
      </w:r>
      <w:r w:rsidR="000C2FB7">
        <w:rPr>
          <w:rFonts w:ascii="Arial" w:hAnsi="Arial" w:cs="Arial"/>
        </w:rPr>
        <w:t xml:space="preserve"> </w:t>
      </w:r>
      <w:r w:rsidRPr="00094608" w:rsidR="000C2FB7">
        <w:rPr>
          <w:rFonts w:ascii="Arial" w:hAnsi="Arial" w:cs="Arial"/>
        </w:rPr>
        <w:t>Loretánská 177/9, Praha 1</w:t>
      </w:r>
      <w:r w:rsidR="000C2FB7">
        <w:rPr>
          <w:rFonts w:ascii="Arial" w:hAnsi="Arial" w:cs="Arial"/>
        </w:rPr>
        <w:t xml:space="preserve"> – Hradčany (Hrzánský palác).</w:t>
      </w:r>
    </w:p>
    <w:p w:rsidR="00BB2E82" w:rsidP="00BB2E82" w14:paraId="50F0ACFB" w14:textId="77777777">
      <w:pPr>
        <w:numPr>
          <w:ilvl w:val="0"/>
          <w:numId w:val="6"/>
        </w:numPr>
        <w:spacing w:after="120" w:line="240" w:lineRule="auto"/>
        <w:jc w:val="both"/>
        <w:rPr>
          <w:rFonts w:ascii="Arial" w:hAnsi="Arial" w:cs="Arial"/>
          <w:bCs/>
        </w:rPr>
      </w:pPr>
      <w:r w:rsidRPr="000039A9">
        <w:rPr>
          <w:rFonts w:ascii="Arial" w:hAnsi="Arial" w:cs="Arial"/>
        </w:rPr>
        <w:t>O předání a převzetí zboží bude sepsán protokol o předání a převzetí zboží (dále jen „předávací protokol“) ve 2 vyhotoveních, který bude podepsán kontaktní osobou prodávajícího a kupujícího, a každá ze smluvních stran obdrží po 1 vyhotovení předávacího protokolu. Návrh předávacího protokolu připraví prodávající.</w:t>
      </w:r>
    </w:p>
    <w:p w:rsidR="00BB2E82" w:rsidP="00BB2E82" w14:paraId="3C28FF29" w14:textId="77777777">
      <w:pPr>
        <w:numPr>
          <w:ilvl w:val="0"/>
          <w:numId w:val="6"/>
        </w:numPr>
        <w:spacing w:after="120" w:line="240" w:lineRule="auto"/>
        <w:jc w:val="both"/>
        <w:rPr>
          <w:rFonts w:ascii="Arial" w:hAnsi="Arial" w:cs="Arial"/>
          <w:bCs/>
        </w:rPr>
      </w:pPr>
      <w:r w:rsidRPr="000039A9">
        <w:rPr>
          <w:rFonts w:ascii="Arial" w:hAnsi="Arial" w:cs="Arial"/>
        </w:rPr>
        <w:t>Nebezpečí škody na zboží přechází na kupujícího podpisem předávacího protokolu oběma smluvními stranami. Vlastnické a všechna další práva (např. licenční) ke zboží, případně jeho části, nabývá kupující dnem podpisu předávacího protokolu oběma smluvními stranami.</w:t>
      </w:r>
    </w:p>
    <w:p w:rsidR="00BB2E82" w:rsidRPr="000F51A4" w:rsidP="000F51A4" w14:paraId="056FCCE0" w14:textId="4CA82B6A">
      <w:pPr>
        <w:numPr>
          <w:ilvl w:val="0"/>
          <w:numId w:val="6"/>
        </w:numPr>
        <w:spacing w:after="120" w:line="240" w:lineRule="auto"/>
        <w:jc w:val="both"/>
        <w:rPr>
          <w:rFonts w:ascii="Arial" w:hAnsi="Arial" w:cs="Arial"/>
          <w:bCs/>
        </w:rPr>
      </w:pPr>
      <w:bookmarkStart w:id="1" w:name="_GoBack"/>
      <w:bookmarkEnd w:id="1"/>
      <w:r w:rsidRPr="000039A9">
        <w:rPr>
          <w:rFonts w:ascii="Arial" w:hAnsi="Arial" w:cs="Arial"/>
        </w:rPr>
        <w:t>Kupující není povinen převzít zboží, které vykazuje zjevné vady či odchylky od popisu dle této smlouvy, od dokumentace k němu nebo od nabídky prodávajícího podané v</w:t>
      </w:r>
      <w:r w:rsidR="00832B0A">
        <w:rPr>
          <w:rFonts w:ascii="Arial" w:hAnsi="Arial" w:cs="Arial"/>
        </w:rPr>
        <w:t xml:space="preserve"> zadávacím</w:t>
      </w:r>
      <w:r w:rsidRPr="000039A9">
        <w:rPr>
          <w:rFonts w:ascii="Arial" w:hAnsi="Arial" w:cs="Arial"/>
        </w:rPr>
        <w:t xml:space="preserve"> řízení, v němž byla jeho nabídka vybrána jako nejvýhodnější. V takovém případě je kupující povinen sepsat zápis o zjištěných vadách a předat jej prodávajícímu. Do odstranění vad není kupující povinen podepsat předávací protokol a zaplatit cenu. Vady zjištěné kupujícím</w:t>
      </w:r>
      <w:r w:rsidRPr="000039A9">
        <w:rPr>
          <w:rFonts w:ascii="Arial" w:hAnsi="Arial" w:cs="Arial"/>
        </w:rPr>
        <w:br/>
        <w:t>při převzetí zboží je prodávající povinen odstranit nejpozději do 3 pracovních dnů ode dne doručení (předání) zápisu kupujícího o těchto vadách.</w:t>
      </w:r>
    </w:p>
    <w:p w:rsidR="00BB2E82" w:rsidRPr="000C2FB7" w:rsidP="00BB2E82" w14:paraId="2D136B91" w14:textId="77777777">
      <w:pPr>
        <w:numPr>
          <w:ilvl w:val="0"/>
          <w:numId w:val="6"/>
        </w:numPr>
        <w:spacing w:after="120" w:line="240" w:lineRule="auto"/>
        <w:jc w:val="both"/>
        <w:rPr>
          <w:rFonts w:ascii="Arial" w:hAnsi="Arial" w:cs="Arial"/>
        </w:rPr>
      </w:pPr>
      <w:r w:rsidRPr="000C2FB7">
        <w:rPr>
          <w:rFonts w:ascii="Arial" w:hAnsi="Arial" w:cs="Arial"/>
        </w:rPr>
        <w:t>Servisní podpora ke zboží bude kupujícímu prodávajícím poskytována dle čl. III odst. 6 této smlouvy.</w:t>
      </w:r>
    </w:p>
    <w:p w:rsidR="00BB2E82" w:rsidRPr="002D4E99" w:rsidP="00BB2E82" w14:paraId="5D126A5F" w14:textId="77777777">
      <w:pPr>
        <w:spacing w:before="360" w:after="120" w:line="20" w:lineRule="atLeast"/>
        <w:jc w:val="center"/>
        <w:outlineLvl w:val="3"/>
        <w:rPr>
          <w:rFonts w:ascii="Arial" w:hAnsi="Arial" w:cs="Arial"/>
          <w:b/>
        </w:rPr>
      </w:pPr>
      <w:r w:rsidRPr="002D4E99">
        <w:rPr>
          <w:rFonts w:ascii="Arial" w:hAnsi="Arial" w:cs="Arial"/>
          <w:b/>
        </w:rPr>
        <w:t>Článek III.</w:t>
      </w:r>
      <w:r w:rsidRPr="002D4E99">
        <w:rPr>
          <w:rFonts w:ascii="Arial" w:hAnsi="Arial" w:cs="Arial"/>
          <w:b/>
        </w:rPr>
        <w:br/>
        <w:t>Záruka za jakost, odpovědnost za vady</w:t>
      </w:r>
    </w:p>
    <w:p w:rsidR="00BB2E82" w:rsidRPr="002D4E99" w:rsidP="00BB2E82" w14:paraId="2687B068" w14:textId="50CA1F28">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Prodávající odpovídá za to, že zboží má vlastnosti stanovené touto smlouvou a její přílohou</w:t>
      </w:r>
      <w:r w:rsidRPr="002D4E99">
        <w:rPr>
          <w:rFonts w:ascii="Arial" w:eastAsia="Calibri" w:hAnsi="Arial" w:cs="Arial"/>
          <w:lang w:eastAsia="cs-CZ"/>
        </w:rPr>
        <w:br/>
        <w:t xml:space="preserve">č. 1, dokumentací k němu a nabídkou prodávajícího podanou v </w:t>
      </w:r>
      <w:r w:rsidR="001E3A2C">
        <w:rPr>
          <w:rFonts w:ascii="Arial" w:eastAsia="Calibri" w:hAnsi="Arial" w:cs="Arial"/>
          <w:lang w:eastAsia="cs-CZ"/>
        </w:rPr>
        <w:t xml:space="preserve">zadávacím </w:t>
      </w:r>
      <w:r w:rsidRPr="002D4E99">
        <w:rPr>
          <w:rFonts w:ascii="Arial" w:eastAsia="Calibri" w:hAnsi="Arial" w:cs="Arial"/>
          <w:lang w:eastAsia="cs-CZ"/>
        </w:rPr>
        <w:t>řízení, v němž byla jeho nabídka vybrána jako nejvýhodnější.</w:t>
      </w:r>
    </w:p>
    <w:p w:rsidR="00782EBC" w:rsidP="00017892" w14:paraId="3E873CDB"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782EBC">
        <w:rPr>
          <w:rFonts w:ascii="Arial" w:eastAsia="Calibri" w:hAnsi="Arial" w:cs="Arial"/>
          <w:lang w:eastAsia="cs-CZ"/>
        </w:rPr>
        <w:t>Prodávající odpovídá za vady zboží zjištěné při jeho předání nebo v průběhu záruční doby,</w:t>
      </w:r>
      <w:r w:rsidRPr="00782EBC">
        <w:rPr>
          <w:rFonts w:ascii="Arial" w:eastAsia="Calibri" w:hAnsi="Arial" w:cs="Arial"/>
          <w:lang w:eastAsia="cs-CZ"/>
        </w:rPr>
        <w:br/>
        <w:t>a to za všechny vady zboží existující v době předání i za vady vzniklé později. Prodávající za tímto účelem poskytuje kupujícímu záruku za j</w:t>
      </w:r>
      <w:r w:rsidRPr="00782EBC" w:rsidR="00A85A8D">
        <w:rPr>
          <w:rFonts w:ascii="Arial" w:eastAsia="Calibri" w:hAnsi="Arial" w:cs="Arial"/>
          <w:lang w:eastAsia="cs-CZ"/>
        </w:rPr>
        <w:t xml:space="preserve">akost po záruční dobu v délce </w:t>
      </w:r>
      <w:r w:rsidRPr="000C2FB7" w:rsidR="00A85A8D">
        <w:rPr>
          <w:rFonts w:ascii="Arial" w:eastAsia="Calibri" w:hAnsi="Arial" w:cs="Arial"/>
          <w:lang w:eastAsia="cs-CZ"/>
        </w:rPr>
        <w:t>60</w:t>
      </w:r>
      <w:r w:rsidRPr="000C2FB7">
        <w:rPr>
          <w:rFonts w:ascii="Arial" w:eastAsia="Calibri" w:hAnsi="Arial" w:cs="Arial"/>
          <w:lang w:eastAsia="cs-CZ"/>
        </w:rPr>
        <w:t xml:space="preserve"> měsíců.</w:t>
      </w:r>
      <w:r w:rsidRPr="00782EBC">
        <w:rPr>
          <w:rFonts w:ascii="Arial" w:eastAsia="Calibri" w:hAnsi="Arial" w:cs="Arial"/>
          <w:lang w:eastAsia="cs-CZ"/>
        </w:rPr>
        <w:t xml:space="preserve"> </w:t>
      </w:r>
    </w:p>
    <w:p w:rsidR="00BB2E82" w:rsidRPr="00782EBC" w:rsidP="00017892" w14:paraId="65366470"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782EBC">
        <w:rPr>
          <w:rFonts w:ascii="Arial" w:eastAsia="Calibri" w:hAnsi="Arial" w:cs="Arial"/>
          <w:lang w:eastAsia="cs-CZ"/>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rsidR="00BB2E82" w:rsidRPr="002D4E99" w:rsidP="00BB2E82" w14:paraId="72B81671"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Záruční doba začíná běžet dnem podpisu předávacího protokolu dle čl. II odst. 3 </w:t>
      </w:r>
      <w:r w:rsidRPr="002D4E99">
        <w:rPr>
          <w:rFonts w:ascii="Arial" w:eastAsia="Calibri" w:hAnsi="Arial" w:cs="Arial"/>
          <w:lang w:eastAsia="cs-CZ"/>
        </w:rPr>
        <w:t>této</w:t>
      </w:r>
      <w:r w:rsidRPr="002D4E99">
        <w:rPr>
          <w:rFonts w:ascii="Arial" w:eastAsia="Calibri" w:hAnsi="Arial" w:cs="Arial"/>
          <w:lang w:eastAsia="cs-CZ"/>
        </w:rPr>
        <w:t xml:space="preserve"> smlouvy.</w:t>
      </w:r>
    </w:p>
    <w:p w:rsidR="00BB2E82" w:rsidP="00BB2E82" w14:paraId="1B41F3A0"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Vady zboží se kupující zavazuje v průběhu záruční doby uplatňovat písemně na adrese prodávajícího nebo na jiné adrese (i e-mailové) písemně sdělené prodávajícím kupujícímu</w:t>
      </w:r>
      <w:r w:rsidRPr="002D4E99">
        <w:rPr>
          <w:rFonts w:ascii="Arial" w:eastAsia="Calibri" w:hAnsi="Arial" w:cs="Arial"/>
          <w:lang w:eastAsia="cs-CZ"/>
        </w:rPr>
        <w:br/>
        <w:t>po uzavření smlouvy (dále jen „kontaktní místo“). Kontaktní místo může prodávající určit pouze 1, nikoliv více. V případě, že na takovém kontaktním místě nebude možné vady reklamovat (např. odmítnutí poskytnutí součinnosti), je kupující vždy oprávněn uplatňovat vady přímo v sídle prodávajícího.</w:t>
      </w:r>
    </w:p>
    <w:p w:rsidR="001D2F86" w:rsidP="00BB2E82" w14:paraId="4C2BFD4B"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Pr>
          <w:rFonts w:ascii="Arial" w:eastAsia="Calibri" w:hAnsi="Arial" w:cs="Arial"/>
          <w:lang w:eastAsia="cs-CZ"/>
        </w:rPr>
        <w:t>V rámci záruky za jakost prodávající zajistí poskytování servisní podpory přímo výrobcem v tomto rozsahu:</w:t>
      </w:r>
    </w:p>
    <w:p w:rsidR="001D2F86" w:rsidP="0091224F" w14:paraId="4EA0FA9D" w14:textId="2FBCFFA4">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Pr>
          <w:rFonts w:ascii="Arial" w:eastAsia="Calibri" w:hAnsi="Arial" w:cs="Arial"/>
          <w:lang w:eastAsia="cs-CZ"/>
        </w:rPr>
        <w:t xml:space="preserve">podpora po dobu 60 měsíců se </w:t>
      </w:r>
      <w:r>
        <w:rPr>
          <w:rFonts w:ascii="Arial" w:eastAsia="Calibri" w:hAnsi="Arial" w:cs="Arial"/>
          <w:lang w:eastAsia="cs-CZ"/>
        </w:rPr>
        <w:t>započetí</w:t>
      </w:r>
      <w:r>
        <w:rPr>
          <w:rFonts w:ascii="Arial" w:eastAsia="Calibri" w:hAnsi="Arial" w:cs="Arial"/>
          <w:lang w:eastAsia="cs-CZ"/>
        </w:rPr>
        <w:t>m</w:t>
      </w:r>
      <w:r>
        <w:rPr>
          <w:rFonts w:ascii="Arial" w:eastAsia="Calibri" w:hAnsi="Arial" w:cs="Arial"/>
          <w:lang w:eastAsia="cs-CZ"/>
        </w:rPr>
        <w:t xml:space="preserve"> servisního zásahu nejpozději</w:t>
      </w:r>
      <w:r>
        <w:rPr>
          <w:rFonts w:ascii="Arial" w:eastAsia="Calibri" w:hAnsi="Arial" w:cs="Arial"/>
          <w:lang w:eastAsia="cs-CZ"/>
        </w:rPr>
        <w:t xml:space="preserve"> do 4 hodin po nahlášení závady </w:t>
      </w:r>
      <w:r w:rsidRPr="00FF28C4">
        <w:rPr>
          <w:rFonts w:ascii="Arial" w:eastAsia="Calibri" w:hAnsi="Arial" w:cs="Arial"/>
          <w:lang w:eastAsia="cs-CZ"/>
        </w:rPr>
        <w:t>v </w:t>
      </w:r>
      <w:r w:rsidRPr="00FF28C4" w:rsidR="00AB41D0">
        <w:rPr>
          <w:rFonts w:ascii="Arial" w:eastAsia="Calibri" w:hAnsi="Arial" w:cs="Arial"/>
          <w:lang w:eastAsia="cs-CZ"/>
        </w:rPr>
        <w:t>místě plnění</w:t>
      </w:r>
      <w:r>
        <w:rPr>
          <w:rFonts w:ascii="Arial" w:eastAsia="Calibri" w:hAnsi="Arial" w:cs="Arial"/>
          <w:lang w:eastAsia="cs-CZ"/>
        </w:rPr>
        <w:t xml:space="preserve">, </w:t>
      </w:r>
    </w:p>
    <w:p w:rsidR="001D2F86" w:rsidP="0091224F" w14:paraId="10BB471C" w14:textId="77777777">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Pr>
          <w:rFonts w:ascii="Arial" w:eastAsia="Calibri" w:hAnsi="Arial" w:cs="Arial"/>
          <w:lang w:eastAsia="cs-CZ"/>
        </w:rPr>
        <w:t>dostupnost podpory 24 hodin denně, 365 dní v roce,</w:t>
      </w:r>
    </w:p>
    <w:p w:rsidR="00543DDA" w:rsidRPr="005B03F7" w:rsidP="0091224F" w14:paraId="7BA3AA20" w14:textId="77777777">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sidRPr="005B03F7">
        <w:rPr>
          <w:rFonts w:ascii="Arial" w:hAnsi="Arial" w:cs="Arial"/>
        </w:rPr>
        <w:t>oprava v místě instalace šasi a poskytování servisu výrobcem šasi,</w:t>
      </w:r>
    </w:p>
    <w:p w:rsidR="00543DDA" w:rsidRPr="005B03F7" w:rsidP="0091224F" w14:paraId="50C28D3A" w14:textId="77777777">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sidRPr="005B03F7">
        <w:rPr>
          <w:rFonts w:ascii="Arial" w:hAnsi="Arial" w:cs="Arial"/>
        </w:rPr>
        <w:t>dostupnost ovladačů a management software ke stažení,</w:t>
      </w:r>
    </w:p>
    <w:p w:rsidR="001D2F86" w:rsidP="0091224F" w14:paraId="52B0D0CC" w14:textId="77777777">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Pr>
          <w:rFonts w:ascii="Arial" w:eastAsia="Calibri" w:hAnsi="Arial" w:cs="Arial"/>
          <w:lang w:eastAsia="cs-CZ"/>
        </w:rPr>
        <w:t>podpora automatického hlášení závady a otevření incidentu,</w:t>
      </w:r>
    </w:p>
    <w:p w:rsidR="001D2F86" w:rsidP="0091224F" w14:paraId="6446FD12" w14:textId="77777777">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Pr>
          <w:rFonts w:ascii="Arial" w:eastAsia="Calibri" w:hAnsi="Arial" w:cs="Arial"/>
          <w:lang w:eastAsia="cs-CZ"/>
        </w:rPr>
        <w:t>možnost pr</w:t>
      </w:r>
      <w:r w:rsidR="005F7D20">
        <w:rPr>
          <w:rFonts w:ascii="Arial" w:eastAsia="Calibri" w:hAnsi="Arial" w:cs="Arial"/>
          <w:lang w:eastAsia="cs-CZ"/>
        </w:rPr>
        <w:t>oaktivního monitoringu a návrhů aktualizací SW vybavení šasi,</w:t>
      </w:r>
    </w:p>
    <w:p w:rsidR="005F7D20" w:rsidRPr="001D2F86" w:rsidP="00543DDA" w14:paraId="12678903" w14:textId="77777777">
      <w:pPr>
        <w:pStyle w:val="ListParagraph"/>
        <w:numPr>
          <w:ilvl w:val="0"/>
          <w:numId w:val="22"/>
        </w:numPr>
        <w:suppressAutoHyphens/>
        <w:spacing w:after="120" w:line="20" w:lineRule="atLeast"/>
        <w:jc w:val="both"/>
        <w:rPr>
          <w:rFonts w:ascii="Arial" w:eastAsia="Calibri" w:hAnsi="Arial" w:cs="Arial"/>
          <w:lang w:eastAsia="cs-CZ"/>
        </w:rPr>
      </w:pPr>
      <w:r>
        <w:rPr>
          <w:rFonts w:ascii="Arial" w:eastAsia="Calibri" w:hAnsi="Arial" w:cs="Arial"/>
          <w:lang w:eastAsia="cs-CZ"/>
        </w:rPr>
        <w:t>možnost sledování servisních reportů prostřednictvím internetu.</w:t>
      </w:r>
    </w:p>
    <w:p w:rsidR="00BB2E82" w:rsidRPr="002D4E99" w:rsidP="00BB2E82" w14:paraId="28FFFA07" w14:textId="3B6308D1">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bezplatně odstraní reklamovanou vadu zboží nejdéle </w:t>
      </w:r>
      <w:r w:rsidRPr="005B03F7">
        <w:rPr>
          <w:rFonts w:ascii="Arial" w:eastAsia="Calibri" w:hAnsi="Arial" w:cs="Arial"/>
          <w:lang w:eastAsia="cs-CZ"/>
        </w:rPr>
        <w:t>d</w:t>
      </w:r>
      <w:r w:rsidR="005B03F7">
        <w:rPr>
          <w:rFonts w:ascii="Arial" w:eastAsia="Calibri" w:hAnsi="Arial" w:cs="Arial"/>
          <w:lang w:eastAsia="cs-CZ"/>
        </w:rPr>
        <w:t>o 5</w:t>
      </w:r>
      <w:r w:rsidRPr="005B03F7">
        <w:rPr>
          <w:rFonts w:ascii="Arial" w:eastAsia="Calibri" w:hAnsi="Arial" w:cs="Arial"/>
          <w:lang w:eastAsia="cs-CZ"/>
        </w:rPr>
        <w:t xml:space="preserve"> pracovních dnů</w:t>
      </w:r>
      <w:r w:rsidRPr="002D4E99">
        <w:rPr>
          <w:rFonts w:ascii="Arial" w:eastAsia="Calibri" w:hAnsi="Arial" w:cs="Arial"/>
          <w:lang w:eastAsia="cs-CZ"/>
        </w:rPr>
        <w:br/>
        <w:t xml:space="preserve">ode dne doručení oznámení kupujícího o vadách, pokud kupující vzhledem k povaze vady nestanoví jinak. O dobu odstraňování vady se prodlužuje záruční doba. Případné platby za odstraňování vad zboží jsou zahrnuty v celkové ceně dle </w:t>
      </w:r>
      <w:r w:rsidRPr="002D4E99">
        <w:rPr>
          <w:rFonts w:ascii="Arial" w:hAnsi="Arial" w:cs="Arial"/>
        </w:rPr>
        <w:t>čl. IV odst. 1</w:t>
      </w:r>
      <w:r w:rsidRPr="002D4E99">
        <w:rPr>
          <w:rFonts w:ascii="Arial" w:eastAsia="Calibri" w:hAnsi="Arial" w:cs="Arial"/>
          <w:lang w:eastAsia="cs-CZ"/>
        </w:rPr>
        <w:t xml:space="preserve"> této smlouvy (tj. v kupní ceně jsou zahrnuty i veškeré servisní služby po dobu záruční doby, vč. dopravy, práce, náhradních dílů a podobně</w:t>
      </w:r>
      <w:r>
        <w:rPr>
          <w:rFonts w:ascii="Arial" w:eastAsia="Calibri" w:hAnsi="Arial" w:cs="Arial"/>
          <w:lang w:eastAsia="cs-CZ"/>
        </w:rPr>
        <w:t>)</w:t>
      </w:r>
      <w:r w:rsidRPr="002D4E99">
        <w:rPr>
          <w:rFonts w:ascii="Arial" w:eastAsia="Calibri" w:hAnsi="Arial" w:cs="Arial"/>
          <w:lang w:eastAsia="cs-CZ"/>
        </w:rPr>
        <w:t>.</w:t>
      </w:r>
    </w:p>
    <w:p w:rsidR="00BB2E82" w:rsidRPr="002D4E99" w:rsidP="00BB2E82" w14:paraId="7F27B262"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Písemnou reklamaci lze uplatnit nejpozději do posledního dne záruční lhůty, přičemž reklamace odeslaná kupujícím v poslední den záruční lhůty se považuje za včas uplatněnou.</w:t>
      </w:r>
    </w:p>
    <w:p w:rsidR="005F7D20" w:rsidP="005F7D20" w14:paraId="30F3639F" w14:textId="2A06A54A">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odstraní v záruční době reklamované vady na svůj náklad. Odmítne-li prodávající odstranit reklamované vady, případně neodstraní-li </w:t>
      </w:r>
      <w:r w:rsidRPr="005B03F7" w:rsidR="005B03F7">
        <w:rPr>
          <w:rFonts w:ascii="Arial" w:eastAsia="Calibri" w:hAnsi="Arial" w:cs="Arial"/>
          <w:lang w:eastAsia="cs-CZ"/>
        </w:rPr>
        <w:t>je do 10</w:t>
      </w:r>
      <w:r w:rsidRPr="005B03F7">
        <w:rPr>
          <w:rFonts w:ascii="Arial" w:eastAsia="Calibri" w:hAnsi="Arial" w:cs="Arial"/>
          <w:lang w:eastAsia="cs-CZ"/>
        </w:rPr>
        <w:t xml:space="preserve"> dnů</w:t>
      </w:r>
      <w:r w:rsidRPr="002D4E99">
        <w:rPr>
          <w:rFonts w:ascii="Arial" w:eastAsia="Calibri" w:hAnsi="Arial" w:cs="Arial"/>
          <w:lang w:eastAsia="cs-CZ"/>
        </w:rPr>
        <w:t xml:space="preserve"> od stanoveného termínu, je kupující oprávněn odstranit vady sám nebo prostřednictvím třetího subjektu a náklady s tím spojené vyúčtovat prodávajícímu.</w:t>
      </w:r>
    </w:p>
    <w:p w:rsidR="005F7D20" w:rsidP="005F7D20" w14:paraId="044194B8"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5F7D20">
        <w:rPr>
          <w:rFonts w:ascii="Arial" w:hAnsi="Arial" w:cs="Arial"/>
        </w:rPr>
        <w:t>Prodávající je při poskytování podpory povinen postupovat s odbornou péčí, podle svých nejlepších znalostí a schopností, přičemž je při své činnosti povinen sledovat a chránit zájmy a dobré jméno kupujícího a postupovat v souladu s jeho pokyny. Kupující je povinen poskytovat prodávajícímu součinnost nezbytnou k řádnému plnění povinností prodávajícího dle této smlouvy. V případě nevhodných pokynů kupujícího je prodávající povinen na nevhodnost těchto pokynů kupujícího písemně upozornit, v opačném případě nese prodávající odpovědnost za vady a za škodu, které v důsledku nevhodných pokynů vznikly.</w:t>
      </w:r>
    </w:p>
    <w:p w:rsidR="005F7D20" w:rsidRPr="005F7D20" w:rsidP="005F7D20" w14:paraId="62F31508"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5F7D20">
        <w:rPr>
          <w:rFonts w:ascii="Arial" w:hAnsi="Arial" w:cs="Arial"/>
        </w:rPr>
        <w:t>Kupující si vyhrazuje právo na otevření skříně Blade serveru z důvodu údržby a výměny komponent bez ztráty nároku na reklamaci.</w:t>
      </w:r>
    </w:p>
    <w:p w:rsidR="00BB2E82" w:rsidRPr="002D4E99" w:rsidP="00BB2E82" w14:paraId="227ACAF8"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Uplatněním odpovědnosti za vady nejsou dotčeny nároky na náhradu škody nebo na uplatnění smluvní pokuty.</w:t>
      </w:r>
    </w:p>
    <w:p w:rsidR="00BB2E82" w:rsidRPr="002D4E99" w:rsidP="00BB2E82" w14:paraId="5BC9579F" w14:textId="77777777">
      <w:pPr>
        <w:spacing w:before="360" w:after="120" w:line="20" w:lineRule="atLeast"/>
        <w:jc w:val="center"/>
        <w:outlineLvl w:val="3"/>
        <w:rPr>
          <w:rFonts w:ascii="Arial" w:hAnsi="Arial" w:cs="Arial"/>
          <w:b/>
        </w:rPr>
      </w:pPr>
      <w:r w:rsidRPr="002D4E99">
        <w:rPr>
          <w:rFonts w:ascii="Arial" w:hAnsi="Arial" w:cs="Arial"/>
          <w:b/>
        </w:rPr>
        <w:t>Článek IV.</w:t>
      </w:r>
      <w:r w:rsidRPr="002D4E99">
        <w:rPr>
          <w:rFonts w:ascii="Arial" w:hAnsi="Arial" w:cs="Arial"/>
          <w:b/>
        </w:rPr>
        <w:br/>
        <w:t>Cena a platební podmínky</w:t>
      </w:r>
    </w:p>
    <w:p w:rsidR="00BB2E82" w:rsidP="00BB2E82" w14:paraId="56334C32" w14:textId="77777777">
      <w:pPr>
        <w:numPr>
          <w:ilvl w:val="0"/>
          <w:numId w:val="3"/>
        </w:numPr>
        <w:tabs>
          <w:tab w:val="num" w:pos="426"/>
        </w:tabs>
        <w:spacing w:before="240" w:after="120" w:line="20" w:lineRule="atLeast"/>
        <w:ind w:left="425" w:hanging="425"/>
        <w:jc w:val="both"/>
        <w:rPr>
          <w:rFonts w:ascii="Arial" w:hAnsi="Arial" w:cs="Arial"/>
        </w:rPr>
      </w:pPr>
      <w:r w:rsidRPr="002D4E99">
        <w:rPr>
          <w:rFonts w:ascii="Arial" w:hAnsi="Arial" w:cs="Arial"/>
        </w:rPr>
        <w:t xml:space="preserve">Celková cena zboží dle této smlouvy a její dílčí kalkulace jsou následující: </w:t>
      </w:r>
    </w:p>
    <w:tbl>
      <w:tblPr>
        <w:tblW w:w="9776" w:type="dxa"/>
        <w:tblLayout w:type="fixed"/>
        <w:tblCellMar>
          <w:left w:w="70" w:type="dxa"/>
          <w:right w:w="70" w:type="dxa"/>
        </w:tblCellMar>
        <w:tblLook w:val="04A0"/>
      </w:tblPr>
      <w:tblGrid>
        <w:gridCol w:w="1555"/>
        <w:gridCol w:w="1559"/>
        <w:gridCol w:w="1276"/>
        <w:gridCol w:w="850"/>
        <w:gridCol w:w="1276"/>
        <w:gridCol w:w="1559"/>
        <w:gridCol w:w="1701"/>
      </w:tblGrid>
      <w:tr w14:paraId="5E827392" w14:textId="77777777" w:rsidTr="00FB1FA7">
        <w:tblPrEx>
          <w:tblW w:w="9776" w:type="dxa"/>
          <w:tblLayout w:type="fixed"/>
          <w:tblCellMar>
            <w:left w:w="70" w:type="dxa"/>
            <w:right w:w="70" w:type="dxa"/>
          </w:tblCellMar>
          <w:tblLook w:val="04A0"/>
        </w:tblPrEx>
        <w:trPr>
          <w:trHeight w:val="806"/>
        </w:trPr>
        <w:tc>
          <w:tcPr>
            <w:tcW w:w="155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E82" w:rsidRPr="00FC7A87" w:rsidP="00626E61" w14:paraId="08FF076A" w14:textId="00240196">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Zboží</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2E82" w:rsidRPr="00FC7A87" w:rsidP="00626E61" w14:paraId="3ACC1A8A" w14:textId="77777777">
            <w:pPr>
              <w:spacing w:after="0" w:line="240" w:lineRule="auto"/>
              <w:jc w:val="center"/>
              <w:rPr>
                <w:rFonts w:ascii="Arial" w:eastAsia="Times New Roman" w:hAnsi="Arial" w:cs="Arial"/>
                <w:b/>
                <w:bCs/>
                <w:color w:val="000000"/>
                <w:lang w:eastAsia="cs-CZ"/>
              </w:rPr>
            </w:pPr>
            <w:r w:rsidRPr="00FC7A87">
              <w:rPr>
                <w:rFonts w:ascii="Arial" w:eastAsia="Times New Roman" w:hAnsi="Arial" w:cs="Arial"/>
                <w:b/>
                <w:bCs/>
                <w:color w:val="000000"/>
                <w:lang w:eastAsia="cs-CZ"/>
              </w:rPr>
              <w:t>Požadovaný počet kusů</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B2E82" w:rsidRPr="00FC7A87" w:rsidP="00626E61" w14:paraId="43230057" w14:textId="77777777">
            <w:pPr>
              <w:spacing w:after="0" w:line="240" w:lineRule="auto"/>
              <w:jc w:val="center"/>
              <w:rPr>
                <w:rFonts w:ascii="Arial" w:eastAsia="Times New Roman" w:hAnsi="Arial" w:cs="Arial"/>
                <w:b/>
                <w:bCs/>
                <w:color w:val="000000"/>
                <w:lang w:eastAsia="cs-CZ"/>
              </w:rPr>
            </w:pPr>
            <w:r w:rsidRPr="00FC7A87">
              <w:rPr>
                <w:rFonts w:ascii="Arial" w:eastAsia="Times New Roman" w:hAnsi="Arial" w:cs="Arial"/>
                <w:b/>
                <w:bCs/>
                <w:color w:val="000000"/>
                <w:lang w:eastAsia="cs-CZ"/>
              </w:rPr>
              <w:t>Cena za 1 ks v Kč bez DPH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B2E82" w:rsidRPr="00FC7A87" w:rsidP="00626E61" w14:paraId="30D0EC23" w14:textId="77777777">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Sazba DPH</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B2E82" w:rsidRPr="00FC7A87" w:rsidP="00626E61" w14:paraId="59FFCF15" w14:textId="77777777">
            <w:pPr>
              <w:spacing w:after="0" w:line="240" w:lineRule="auto"/>
              <w:jc w:val="center"/>
              <w:rPr>
                <w:rFonts w:ascii="Arial" w:eastAsia="Times New Roman" w:hAnsi="Arial" w:cs="Arial"/>
                <w:b/>
                <w:bCs/>
                <w:color w:val="000000"/>
                <w:lang w:eastAsia="cs-CZ"/>
              </w:rPr>
            </w:pPr>
            <w:r w:rsidRPr="00FC7A87">
              <w:rPr>
                <w:rFonts w:ascii="Arial" w:eastAsia="Times New Roman" w:hAnsi="Arial" w:cs="Arial"/>
                <w:b/>
                <w:bCs/>
                <w:color w:val="000000"/>
                <w:lang w:eastAsia="cs-CZ"/>
              </w:rPr>
              <w:t>Cena za 1 ks v Kč včetně DPH</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B2E82" w:rsidRPr="00FC7A87" w:rsidP="00626E61" w14:paraId="45B846B3" w14:textId="77777777">
            <w:pPr>
              <w:spacing w:after="0" w:line="240" w:lineRule="auto"/>
              <w:jc w:val="center"/>
              <w:rPr>
                <w:rFonts w:ascii="Arial" w:eastAsia="Times New Roman" w:hAnsi="Arial" w:cs="Arial"/>
                <w:b/>
                <w:bCs/>
                <w:color w:val="000000"/>
                <w:lang w:eastAsia="cs-CZ"/>
              </w:rPr>
            </w:pPr>
            <w:r w:rsidRPr="00FC7A87">
              <w:rPr>
                <w:rFonts w:ascii="Arial" w:eastAsia="Times New Roman" w:hAnsi="Arial" w:cs="Arial"/>
                <w:b/>
                <w:bCs/>
                <w:color w:val="000000"/>
                <w:lang w:eastAsia="cs-CZ"/>
              </w:rPr>
              <w:t>Celková cena v Kč</w:t>
            </w:r>
            <w:r w:rsidRPr="00FC7A87">
              <w:rPr>
                <w:rFonts w:ascii="Arial" w:eastAsia="Times New Roman" w:hAnsi="Arial" w:cs="Arial"/>
                <w:b/>
                <w:bCs/>
                <w:color w:val="000000"/>
                <w:lang w:eastAsia="cs-CZ"/>
              </w:rPr>
              <w:br/>
              <w:t xml:space="preserve">bez DPH za požadovaný počet kusů </w:t>
            </w:r>
          </w:p>
        </w:tc>
        <w:tc>
          <w:tcPr>
            <w:tcW w:w="1701" w:type="dxa"/>
            <w:tcBorders>
              <w:top w:val="single" w:sz="4" w:space="0" w:color="auto"/>
              <w:left w:val="nil"/>
              <w:bottom w:val="single" w:sz="4" w:space="0" w:color="auto"/>
              <w:right w:val="single" w:sz="4" w:space="0" w:color="auto"/>
            </w:tcBorders>
            <w:shd w:val="clear" w:color="000000" w:fill="FFFFFF"/>
          </w:tcPr>
          <w:p w:rsidR="00BB2E82" w:rsidRPr="00FC7A87" w:rsidP="00626E61" w14:paraId="497D1459" w14:textId="77777777">
            <w:pPr>
              <w:spacing w:after="0" w:line="240" w:lineRule="auto"/>
              <w:jc w:val="center"/>
              <w:rPr>
                <w:rFonts w:ascii="Arial" w:eastAsia="Times New Roman" w:hAnsi="Arial" w:cs="Arial"/>
                <w:b/>
                <w:bCs/>
                <w:color w:val="000000"/>
                <w:lang w:eastAsia="cs-CZ"/>
              </w:rPr>
            </w:pPr>
            <w:r w:rsidRPr="00FC7A87">
              <w:rPr>
                <w:rFonts w:ascii="Arial" w:eastAsia="Times New Roman" w:hAnsi="Arial" w:cs="Arial"/>
                <w:b/>
                <w:bCs/>
                <w:color w:val="000000"/>
                <w:lang w:eastAsia="cs-CZ"/>
              </w:rPr>
              <w:t>Celková cena v Kč</w:t>
            </w:r>
            <w:r w:rsidRPr="00FC7A87">
              <w:rPr>
                <w:rFonts w:ascii="Arial" w:eastAsia="Times New Roman" w:hAnsi="Arial" w:cs="Arial"/>
                <w:b/>
                <w:bCs/>
                <w:color w:val="000000"/>
                <w:lang w:eastAsia="cs-CZ"/>
              </w:rPr>
              <w:br/>
              <w:t xml:space="preserve">včetně DPH za požadovaný počet kusů </w:t>
            </w:r>
          </w:p>
        </w:tc>
      </w:tr>
      <w:tr w14:paraId="647FC5B6" w14:textId="77777777" w:rsidTr="00FB1FA7">
        <w:tblPrEx>
          <w:tblW w:w="9776" w:type="dxa"/>
          <w:tblLayout w:type="fixed"/>
          <w:tblCellMar>
            <w:left w:w="70" w:type="dxa"/>
            <w:right w:w="70" w:type="dxa"/>
          </w:tblCellMar>
          <w:tblLook w:val="04A0"/>
        </w:tblPrEx>
        <w:trPr>
          <w:trHeight w:val="667"/>
        </w:trPr>
        <w:tc>
          <w:tcPr>
            <w:tcW w:w="1555" w:type="dxa"/>
            <w:tcBorders>
              <w:top w:val="single" w:sz="4" w:space="0" w:color="auto"/>
              <w:left w:val="single" w:sz="4" w:space="0" w:color="auto"/>
              <w:right w:val="single" w:sz="4" w:space="0" w:color="auto"/>
            </w:tcBorders>
            <w:shd w:val="clear" w:color="auto" w:fill="auto"/>
            <w:vAlign w:val="center"/>
            <w:hideMark/>
          </w:tcPr>
          <w:p w:rsidR="00D4551E" w:rsidRPr="00FC7A87" w:rsidP="00D4551E" w14:paraId="4D988EB1" w14:textId="77777777">
            <w:pPr>
              <w:spacing w:after="0" w:line="240" w:lineRule="auto"/>
              <w:jc w:val="center"/>
              <w:rPr>
                <w:rFonts w:ascii="Arial" w:eastAsia="Times New Roman" w:hAnsi="Arial" w:cs="Arial"/>
                <w:color w:val="000000"/>
                <w:lang w:eastAsia="cs-CZ"/>
              </w:rPr>
            </w:pPr>
            <w:r>
              <w:rPr>
                <w:rFonts w:ascii="Arial" w:hAnsi="Arial" w:cs="Arial"/>
                <w:b/>
                <w:bCs/>
                <w:color w:val="000000"/>
              </w:rPr>
              <w:t>Blade šasi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51E" w:rsidRPr="00FC7A87" w:rsidP="0018475C" w14:paraId="70A6F04B" w14:textId="77777777">
            <w:pPr>
              <w:spacing w:after="0" w:line="240" w:lineRule="auto"/>
              <w:jc w:val="center"/>
              <w:rPr>
                <w:rFonts w:ascii="Arial" w:eastAsia="Times New Roman" w:hAnsi="Arial" w:cs="Arial"/>
                <w:b/>
                <w:color w:val="000000"/>
                <w:lang w:eastAsia="cs-CZ"/>
              </w:rPr>
            </w:pPr>
            <w:r w:rsidRPr="00FC7A87">
              <w:rPr>
                <w:rFonts w:ascii="Arial" w:eastAsia="Times New Roman" w:hAnsi="Arial" w:cs="Arial"/>
                <w:b/>
                <w:color w:val="000000"/>
                <w:lang w:eastAsia="cs-CZ"/>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4551E" w:rsidRPr="00D4551E" w:rsidP="0018475C" w14:paraId="4F5D5ED6" w14:textId="511E8D98">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166 900,00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4551E" w:rsidRPr="00D4551E" w:rsidP="0018475C" w14:paraId="4C0C1FAB" w14:textId="1C2AE214">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D4551E" w:rsidRPr="00D4551E" w:rsidP="0018475C" w14:paraId="0827BA7E" w14:textId="342FD549">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201 949,00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4551E" w:rsidRPr="00D4551E" w:rsidP="0018475C" w14:paraId="772A1F4E" w14:textId="799D796C">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166 900,00</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D4551E" w:rsidRPr="00D4551E" w:rsidP="0018475C" w14:paraId="25FFE1A2" w14:textId="29482E54">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201 949,00</w:t>
            </w:r>
          </w:p>
        </w:tc>
      </w:tr>
      <w:tr w14:paraId="6F7BFD16" w14:textId="77777777" w:rsidTr="00FB1FA7">
        <w:tblPrEx>
          <w:tblW w:w="9776" w:type="dxa"/>
          <w:tblLayout w:type="fixed"/>
          <w:tblCellMar>
            <w:left w:w="70" w:type="dxa"/>
            <w:right w:w="70" w:type="dxa"/>
          </w:tblCellMar>
          <w:tblLook w:val="04A0"/>
        </w:tblPrEx>
        <w:trPr>
          <w:trHeight w:val="862"/>
        </w:trPr>
        <w:tc>
          <w:tcPr>
            <w:tcW w:w="1555" w:type="dxa"/>
            <w:tcBorders>
              <w:top w:val="single" w:sz="4" w:space="0" w:color="auto"/>
              <w:left w:val="single" w:sz="4" w:space="0" w:color="auto"/>
              <w:right w:val="single" w:sz="4" w:space="0" w:color="000000"/>
            </w:tcBorders>
            <w:shd w:val="clear" w:color="auto" w:fill="auto"/>
            <w:vAlign w:val="center"/>
            <w:hideMark/>
          </w:tcPr>
          <w:p w:rsidR="00D4551E" w:rsidRPr="00FC7A87" w:rsidP="00D4551E" w14:paraId="14D0CA5C" w14:textId="77777777">
            <w:pPr>
              <w:spacing w:after="0" w:line="240" w:lineRule="auto"/>
              <w:jc w:val="center"/>
              <w:rPr>
                <w:rFonts w:ascii="Arial" w:eastAsia="Times New Roman" w:hAnsi="Arial" w:cs="Arial"/>
                <w:color w:val="000000"/>
                <w:lang w:eastAsia="cs-CZ"/>
              </w:rPr>
            </w:pPr>
            <w:r>
              <w:rPr>
                <w:rFonts w:ascii="Arial" w:hAnsi="Arial" w:cs="Arial"/>
                <w:b/>
                <w:bCs/>
                <w:color w:val="000000"/>
              </w:rPr>
              <w:t>Servery</w:t>
            </w:r>
          </w:p>
        </w:tc>
        <w:tc>
          <w:tcPr>
            <w:tcW w:w="1559" w:type="dxa"/>
            <w:tcBorders>
              <w:top w:val="single" w:sz="4" w:space="0" w:color="auto"/>
              <w:left w:val="nil"/>
              <w:right w:val="single" w:sz="4" w:space="0" w:color="auto"/>
            </w:tcBorders>
            <w:shd w:val="clear" w:color="auto" w:fill="auto"/>
            <w:noWrap/>
            <w:vAlign w:val="center"/>
            <w:hideMark/>
          </w:tcPr>
          <w:p w:rsidR="00D4551E" w:rsidRPr="00FC7A87" w:rsidP="0018475C" w14:paraId="28EFECD6" w14:textId="77777777">
            <w:pPr>
              <w:spacing w:after="0" w:line="240" w:lineRule="auto"/>
              <w:jc w:val="center"/>
              <w:rPr>
                <w:rFonts w:ascii="Arial" w:eastAsia="Times New Roman" w:hAnsi="Arial" w:cs="Arial"/>
                <w:b/>
                <w:color w:val="000000"/>
                <w:lang w:eastAsia="cs-CZ"/>
              </w:rPr>
            </w:pPr>
            <w:r w:rsidRPr="00FC7A87">
              <w:rPr>
                <w:rFonts w:ascii="Arial" w:eastAsia="Times New Roman" w:hAnsi="Arial" w:cs="Arial"/>
                <w:b/>
                <w:color w:val="000000"/>
                <w:lang w:eastAsia="cs-CZ"/>
              </w:rPr>
              <w:t>3</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4551E" w:rsidRPr="00D4551E" w:rsidP="0018475C" w14:paraId="175D972D" w14:textId="2A1617F4">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218 380,00</w:t>
            </w:r>
          </w:p>
        </w:tc>
        <w:tc>
          <w:tcPr>
            <w:tcW w:w="850" w:type="dxa"/>
            <w:tcBorders>
              <w:top w:val="nil"/>
              <w:left w:val="nil"/>
              <w:bottom w:val="single" w:sz="4" w:space="0" w:color="auto"/>
              <w:right w:val="single" w:sz="4" w:space="0" w:color="auto"/>
            </w:tcBorders>
            <w:shd w:val="clear" w:color="auto" w:fill="FFFFFF" w:themeFill="background1"/>
            <w:vAlign w:val="center"/>
          </w:tcPr>
          <w:p w:rsidR="00D4551E" w:rsidRPr="00D4551E" w:rsidP="0018475C" w14:paraId="7C7D4D1F" w14:textId="2CA1BB97">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21%</w:t>
            </w:r>
          </w:p>
        </w:tc>
        <w:tc>
          <w:tcPr>
            <w:tcW w:w="1276" w:type="dxa"/>
            <w:tcBorders>
              <w:top w:val="nil"/>
              <w:left w:val="nil"/>
              <w:bottom w:val="single" w:sz="4" w:space="0" w:color="auto"/>
              <w:right w:val="single" w:sz="4" w:space="0" w:color="auto"/>
            </w:tcBorders>
            <w:shd w:val="clear" w:color="auto" w:fill="FFFFFF" w:themeFill="background1"/>
            <w:vAlign w:val="center"/>
          </w:tcPr>
          <w:p w:rsidR="00D4551E" w:rsidRPr="00D4551E" w:rsidP="0018475C" w14:paraId="6E048BCE" w14:textId="53A6626D">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264 239,80</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D4551E" w:rsidRPr="00D4551E" w:rsidP="0018475C" w14:paraId="3F744D41" w14:textId="51261D5D">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655 140,00</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D4551E" w:rsidRPr="00D4551E" w:rsidP="0018475C" w14:paraId="6BC49459" w14:textId="3E415240">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792 719,40</w:t>
            </w:r>
          </w:p>
        </w:tc>
      </w:tr>
      <w:tr w14:paraId="2F9B6610" w14:textId="77777777" w:rsidTr="00FB1FA7">
        <w:tblPrEx>
          <w:tblW w:w="9776" w:type="dxa"/>
          <w:tblLayout w:type="fixed"/>
          <w:tblCellMar>
            <w:left w:w="70" w:type="dxa"/>
            <w:right w:w="70" w:type="dxa"/>
          </w:tblCellMar>
          <w:tblLook w:val="04A0"/>
        </w:tblPrEx>
        <w:trPr>
          <w:trHeight w:val="862"/>
        </w:trPr>
        <w:tc>
          <w:tcPr>
            <w:tcW w:w="1555" w:type="dxa"/>
            <w:tcBorders>
              <w:top w:val="single" w:sz="4" w:space="0" w:color="auto"/>
              <w:left w:val="single" w:sz="4" w:space="0" w:color="auto"/>
              <w:right w:val="single" w:sz="4" w:space="0" w:color="000000"/>
            </w:tcBorders>
            <w:shd w:val="clear" w:color="auto" w:fill="auto"/>
            <w:vAlign w:val="center"/>
          </w:tcPr>
          <w:p w:rsidR="00D4551E" w:rsidP="00D4551E" w14:paraId="02A91E6C" w14:textId="77777777">
            <w:pPr>
              <w:spacing w:after="0" w:line="240" w:lineRule="auto"/>
              <w:jc w:val="center"/>
              <w:rPr>
                <w:rFonts w:ascii="Arial" w:hAnsi="Arial" w:cs="Arial"/>
                <w:b/>
                <w:bCs/>
                <w:color w:val="000000"/>
              </w:rPr>
            </w:pPr>
            <w:r>
              <w:rPr>
                <w:rFonts w:ascii="Arial" w:hAnsi="Arial" w:cs="Arial"/>
                <w:b/>
                <w:bCs/>
                <w:color w:val="000000"/>
              </w:rPr>
              <w:t>I/O moduly do blade šasi</w:t>
            </w:r>
          </w:p>
        </w:tc>
        <w:tc>
          <w:tcPr>
            <w:tcW w:w="1559" w:type="dxa"/>
            <w:tcBorders>
              <w:top w:val="single" w:sz="4" w:space="0" w:color="auto"/>
              <w:left w:val="nil"/>
              <w:right w:val="single" w:sz="4" w:space="0" w:color="auto"/>
            </w:tcBorders>
            <w:shd w:val="clear" w:color="auto" w:fill="auto"/>
            <w:noWrap/>
            <w:vAlign w:val="center"/>
          </w:tcPr>
          <w:p w:rsidR="00D4551E" w:rsidRPr="00FC7A87" w:rsidP="0018475C" w14:paraId="2D00B83A" w14:textId="77777777">
            <w:pPr>
              <w:spacing w:after="0" w:line="240" w:lineRule="auto"/>
              <w:jc w:val="center"/>
              <w:rPr>
                <w:rFonts w:ascii="Arial" w:eastAsia="Times New Roman" w:hAnsi="Arial" w:cs="Arial"/>
                <w:b/>
                <w:color w:val="000000"/>
                <w:lang w:eastAsia="cs-CZ"/>
              </w:rPr>
            </w:pPr>
            <w:r>
              <w:rPr>
                <w:rFonts w:ascii="Arial" w:eastAsia="Times New Roman" w:hAnsi="Arial" w:cs="Arial"/>
                <w:b/>
                <w:color w:val="000000"/>
                <w:lang w:eastAsia="cs-CZ"/>
              </w:rPr>
              <w:t>2</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D4551E" w:rsidRPr="00D4551E" w:rsidP="0018475C" w14:paraId="0FA85C3F" w14:textId="311ACFE2">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232 160,00</w:t>
            </w:r>
          </w:p>
        </w:tc>
        <w:tc>
          <w:tcPr>
            <w:tcW w:w="850" w:type="dxa"/>
            <w:tcBorders>
              <w:top w:val="nil"/>
              <w:left w:val="nil"/>
              <w:bottom w:val="single" w:sz="4" w:space="0" w:color="auto"/>
              <w:right w:val="single" w:sz="4" w:space="0" w:color="auto"/>
            </w:tcBorders>
            <w:shd w:val="clear" w:color="auto" w:fill="FFFFFF" w:themeFill="background1"/>
            <w:vAlign w:val="center"/>
          </w:tcPr>
          <w:p w:rsidR="00D4551E" w:rsidRPr="00D4551E" w:rsidP="0018475C" w14:paraId="48E798D4" w14:textId="6CA5D43C">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21%</w:t>
            </w:r>
          </w:p>
        </w:tc>
        <w:tc>
          <w:tcPr>
            <w:tcW w:w="1276" w:type="dxa"/>
            <w:tcBorders>
              <w:top w:val="nil"/>
              <w:left w:val="nil"/>
              <w:bottom w:val="single" w:sz="4" w:space="0" w:color="auto"/>
              <w:right w:val="single" w:sz="4" w:space="0" w:color="auto"/>
            </w:tcBorders>
            <w:shd w:val="clear" w:color="auto" w:fill="FFFFFF" w:themeFill="background1"/>
            <w:vAlign w:val="center"/>
          </w:tcPr>
          <w:p w:rsidR="00D4551E" w:rsidRPr="00D4551E" w:rsidP="0018475C" w14:paraId="77DEE2D7" w14:textId="30CBF869">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280 913,60</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D4551E" w:rsidRPr="00D4551E" w:rsidP="0018475C" w14:paraId="3CB14C8A" w14:textId="6AFD3671">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464 320,00</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D4551E" w:rsidRPr="00D4551E" w:rsidP="0018475C" w14:paraId="78D21C7A" w14:textId="0F1E7B0C">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561 827,20</w:t>
            </w:r>
          </w:p>
        </w:tc>
      </w:tr>
      <w:tr w14:paraId="2386EF5B" w14:textId="77777777" w:rsidTr="00FB1FA7">
        <w:tblPrEx>
          <w:tblW w:w="9776" w:type="dxa"/>
          <w:tblLayout w:type="fixed"/>
          <w:tblCellMar>
            <w:left w:w="70" w:type="dxa"/>
            <w:right w:w="70" w:type="dxa"/>
          </w:tblCellMar>
          <w:tblLook w:val="04A0"/>
        </w:tblPrEx>
        <w:trPr>
          <w:trHeight w:val="862"/>
        </w:trPr>
        <w:tc>
          <w:tcPr>
            <w:tcW w:w="1555" w:type="dxa"/>
            <w:tcBorders>
              <w:top w:val="single" w:sz="4" w:space="0" w:color="auto"/>
              <w:left w:val="single" w:sz="4" w:space="0" w:color="auto"/>
              <w:right w:val="single" w:sz="4" w:space="0" w:color="000000"/>
            </w:tcBorders>
            <w:shd w:val="clear" w:color="auto" w:fill="auto"/>
            <w:vAlign w:val="center"/>
          </w:tcPr>
          <w:p w:rsidR="00D4551E" w:rsidRPr="00157A05" w:rsidP="00D4551E" w14:paraId="13A14DCB" w14:textId="1333076B">
            <w:pPr>
              <w:spacing w:after="25" w:line="271" w:lineRule="auto"/>
              <w:ind w:right="7"/>
              <w:jc w:val="center"/>
              <w:rPr>
                <w:rFonts w:ascii="Arial" w:hAnsi="Arial" w:cs="Arial"/>
                <w:b/>
                <w:bCs/>
                <w:color w:val="000000"/>
              </w:rPr>
            </w:pPr>
            <w:r w:rsidRPr="00157A05">
              <w:rPr>
                <w:rFonts w:ascii="Arial" w:hAnsi="Arial" w:cs="Arial"/>
                <w:b/>
              </w:rPr>
              <w:t xml:space="preserve">Montáž, inicializace, propojení a oživení veškerého dodaného HW, konfigurace LUNů a jejich připojení k serverům, připojení nového pole </w:t>
            </w:r>
            <w:r w:rsidRPr="00157A05">
              <w:rPr>
                <w:rFonts w:ascii="Arial" w:hAnsi="Arial" w:cs="Arial"/>
                <w:b/>
              </w:rPr>
              <w:t>do</w:t>
            </w:r>
            <w:r w:rsidRPr="00157A05">
              <w:rPr>
                <w:rFonts w:ascii="Arial" w:hAnsi="Arial" w:cs="Arial"/>
                <w:b/>
              </w:rPr>
              <w:t xml:space="preserve"> jednotného monitorovacího GUI </w:t>
            </w:r>
            <w:r w:rsidRPr="00157A05">
              <w:rPr>
                <w:rFonts w:ascii="Arial" w:hAnsi="Arial" w:cs="Arial"/>
                <w:b/>
              </w:rPr>
              <w:t>se</w:t>
            </w:r>
            <w:r w:rsidRPr="00157A05">
              <w:rPr>
                <w:rFonts w:ascii="Arial" w:hAnsi="Arial" w:cs="Arial"/>
                <w:b/>
              </w:rPr>
              <w:t xml:space="preserve"> stávajícími diskovými poli</w:t>
            </w:r>
          </w:p>
        </w:tc>
        <w:tc>
          <w:tcPr>
            <w:tcW w:w="1559" w:type="dxa"/>
            <w:tcBorders>
              <w:top w:val="single" w:sz="4" w:space="0" w:color="auto"/>
              <w:left w:val="nil"/>
              <w:right w:val="single" w:sz="4" w:space="0" w:color="auto"/>
            </w:tcBorders>
            <w:shd w:val="clear" w:color="auto" w:fill="auto"/>
            <w:noWrap/>
            <w:vAlign w:val="center"/>
          </w:tcPr>
          <w:p w:rsidR="00D4551E" w:rsidP="0018475C" w14:paraId="2E320F75" w14:textId="7AB6FE94">
            <w:pPr>
              <w:spacing w:after="0" w:line="240" w:lineRule="auto"/>
              <w:jc w:val="center"/>
              <w:rPr>
                <w:rFonts w:ascii="Arial" w:eastAsia="Times New Roman" w:hAnsi="Arial" w:cs="Arial"/>
                <w:b/>
                <w:color w:val="000000"/>
                <w:lang w:eastAsia="cs-CZ"/>
              </w:rPr>
            </w:pPr>
            <w:r>
              <w:rPr>
                <w:rFonts w:ascii="Arial" w:eastAsia="Times New Roman" w:hAnsi="Arial" w:cs="Arial"/>
                <w:b/>
                <w:color w:val="000000"/>
                <w:lang w:eastAsia="cs-CZ"/>
              </w:rPr>
              <w:t>1</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D4551E" w:rsidRPr="00D4551E" w:rsidP="0018475C" w14:paraId="5187C382" w14:textId="1C059C4E">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60 000,00</w:t>
            </w:r>
          </w:p>
        </w:tc>
        <w:tc>
          <w:tcPr>
            <w:tcW w:w="850" w:type="dxa"/>
            <w:tcBorders>
              <w:top w:val="nil"/>
              <w:left w:val="nil"/>
              <w:bottom w:val="single" w:sz="4" w:space="0" w:color="auto"/>
              <w:right w:val="single" w:sz="4" w:space="0" w:color="auto"/>
            </w:tcBorders>
            <w:shd w:val="clear" w:color="auto" w:fill="FFFFFF" w:themeFill="background1"/>
            <w:vAlign w:val="center"/>
          </w:tcPr>
          <w:p w:rsidR="00D4551E" w:rsidRPr="00D4551E" w:rsidP="0018475C" w14:paraId="6064416B" w14:textId="1E4A0CBE">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21%</w:t>
            </w:r>
          </w:p>
        </w:tc>
        <w:tc>
          <w:tcPr>
            <w:tcW w:w="1276" w:type="dxa"/>
            <w:tcBorders>
              <w:top w:val="nil"/>
              <w:left w:val="nil"/>
              <w:bottom w:val="single" w:sz="4" w:space="0" w:color="auto"/>
              <w:right w:val="single" w:sz="4" w:space="0" w:color="auto"/>
            </w:tcBorders>
            <w:shd w:val="clear" w:color="auto" w:fill="FFFFFF" w:themeFill="background1"/>
            <w:vAlign w:val="center"/>
          </w:tcPr>
          <w:p w:rsidR="00D4551E" w:rsidRPr="00D4551E" w:rsidP="0018475C" w14:paraId="012E94FE" w14:textId="19D7958A">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72 600,00</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D4551E" w:rsidRPr="00D4551E" w:rsidP="0018475C" w14:paraId="7316960F" w14:textId="1F6347B7">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60 000,00</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D4551E" w:rsidRPr="00D4551E" w:rsidP="0018475C" w14:paraId="4487A9B9" w14:textId="3EC2EE7A">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72 600,00</w:t>
            </w:r>
          </w:p>
        </w:tc>
      </w:tr>
      <w:tr w14:paraId="27ADBCF1" w14:textId="77777777" w:rsidTr="00FB1FA7">
        <w:tblPrEx>
          <w:tblW w:w="9776" w:type="dxa"/>
          <w:tblLayout w:type="fixed"/>
          <w:tblCellMar>
            <w:left w:w="70" w:type="dxa"/>
            <w:right w:w="70" w:type="dxa"/>
          </w:tblCellMar>
          <w:tblLook w:val="04A0"/>
        </w:tblPrEx>
        <w:trPr>
          <w:trHeight w:val="862"/>
        </w:trPr>
        <w:tc>
          <w:tcPr>
            <w:tcW w:w="1555" w:type="dxa"/>
            <w:tcBorders>
              <w:top w:val="single" w:sz="4" w:space="0" w:color="auto"/>
              <w:left w:val="single" w:sz="4" w:space="0" w:color="auto"/>
              <w:right w:val="single" w:sz="4" w:space="0" w:color="000000"/>
            </w:tcBorders>
            <w:shd w:val="clear" w:color="auto" w:fill="auto"/>
            <w:vAlign w:val="center"/>
          </w:tcPr>
          <w:p w:rsidR="00D4551E" w:rsidP="00D4551E" w14:paraId="0763B852" w14:textId="5233B1ED">
            <w:pPr>
              <w:spacing w:after="0" w:line="240" w:lineRule="auto"/>
              <w:jc w:val="center"/>
              <w:rPr>
                <w:rFonts w:ascii="Arial" w:hAnsi="Arial" w:cs="Arial"/>
                <w:b/>
                <w:bCs/>
                <w:color w:val="000000"/>
              </w:rPr>
            </w:pPr>
            <w:r>
              <w:rPr>
                <w:rFonts w:ascii="Arial" w:hAnsi="Arial" w:cs="Arial"/>
                <w:b/>
                <w:bCs/>
                <w:color w:val="000000"/>
              </w:rPr>
              <w:t>Servisní podpora 60 měsíců</w:t>
            </w:r>
          </w:p>
        </w:tc>
        <w:tc>
          <w:tcPr>
            <w:tcW w:w="1559" w:type="dxa"/>
            <w:tcBorders>
              <w:top w:val="single" w:sz="4" w:space="0" w:color="auto"/>
              <w:left w:val="nil"/>
              <w:right w:val="single" w:sz="4" w:space="0" w:color="auto"/>
            </w:tcBorders>
            <w:shd w:val="clear" w:color="auto" w:fill="auto"/>
            <w:noWrap/>
            <w:vAlign w:val="center"/>
          </w:tcPr>
          <w:p w:rsidR="00D4551E" w:rsidP="0018475C" w14:paraId="17A2E54D" w14:textId="536E7231">
            <w:pPr>
              <w:spacing w:after="0" w:line="240" w:lineRule="auto"/>
              <w:jc w:val="center"/>
              <w:rPr>
                <w:rFonts w:ascii="Arial" w:eastAsia="Times New Roman" w:hAnsi="Arial" w:cs="Arial"/>
                <w:b/>
                <w:color w:val="000000"/>
                <w:lang w:eastAsia="cs-CZ"/>
              </w:rPr>
            </w:pPr>
            <w:r>
              <w:rPr>
                <w:rFonts w:ascii="Arial" w:eastAsia="Times New Roman" w:hAnsi="Arial" w:cs="Arial"/>
                <w:b/>
                <w:color w:val="000000"/>
                <w:lang w:eastAsia="cs-CZ"/>
              </w:rPr>
              <w:t>1</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tcPr>
          <w:p w:rsidR="00D4551E" w:rsidRPr="00D4551E" w:rsidP="0018475C" w14:paraId="5F4387B3" w14:textId="7E9091AA">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445 760,00</w:t>
            </w:r>
          </w:p>
        </w:tc>
        <w:tc>
          <w:tcPr>
            <w:tcW w:w="850" w:type="dxa"/>
            <w:tcBorders>
              <w:top w:val="nil"/>
              <w:left w:val="nil"/>
              <w:bottom w:val="single" w:sz="4" w:space="0" w:color="auto"/>
              <w:right w:val="single" w:sz="4" w:space="0" w:color="auto"/>
            </w:tcBorders>
            <w:shd w:val="clear" w:color="auto" w:fill="FFFFFF" w:themeFill="background1"/>
            <w:vAlign w:val="center"/>
          </w:tcPr>
          <w:p w:rsidR="00D4551E" w:rsidRPr="00D4551E" w:rsidP="0018475C" w14:paraId="3CB9B7DE" w14:textId="0B31325A">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21%</w:t>
            </w:r>
          </w:p>
        </w:tc>
        <w:tc>
          <w:tcPr>
            <w:tcW w:w="1276" w:type="dxa"/>
            <w:tcBorders>
              <w:top w:val="nil"/>
              <w:left w:val="nil"/>
              <w:bottom w:val="single" w:sz="4" w:space="0" w:color="auto"/>
              <w:right w:val="single" w:sz="4" w:space="0" w:color="auto"/>
            </w:tcBorders>
            <w:shd w:val="clear" w:color="auto" w:fill="FFFFFF" w:themeFill="background1"/>
            <w:vAlign w:val="center"/>
          </w:tcPr>
          <w:p w:rsidR="00D4551E" w:rsidRPr="00D4551E" w:rsidP="0018475C" w14:paraId="3BCF9152" w14:textId="79656974">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539 369,60</w:t>
            </w:r>
          </w:p>
        </w:tc>
        <w:tc>
          <w:tcPr>
            <w:tcW w:w="1559"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D4551E" w:rsidRPr="00D4551E" w:rsidP="0018475C" w14:paraId="2506D02E" w14:textId="5743A499">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445 760,00</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D4551E" w:rsidRPr="00D4551E" w:rsidP="0018475C" w14:paraId="116D42F0" w14:textId="590E5919">
            <w:pPr>
              <w:spacing w:after="0" w:line="240" w:lineRule="auto"/>
              <w:jc w:val="center"/>
              <w:rPr>
                <w:rFonts w:ascii="Arial" w:eastAsia="Times New Roman" w:hAnsi="Arial" w:cs="Arial"/>
                <w:b/>
                <w:bCs/>
                <w:color w:val="000000"/>
                <w:lang w:eastAsia="cs-CZ"/>
              </w:rPr>
            </w:pPr>
            <w:r w:rsidRPr="00D4551E">
              <w:rPr>
                <w:rFonts w:ascii="Arial" w:hAnsi="Arial" w:cs="Arial"/>
                <w:b/>
                <w:bCs/>
                <w:color w:val="000000"/>
                <w:sz w:val="20"/>
                <w:szCs w:val="20"/>
              </w:rPr>
              <w:t>539 369,60</w:t>
            </w:r>
          </w:p>
        </w:tc>
      </w:tr>
      <w:tr w14:paraId="753C5C06" w14:textId="77777777" w:rsidTr="0018475C">
        <w:tblPrEx>
          <w:tblW w:w="9776" w:type="dxa"/>
          <w:tblLayout w:type="fixed"/>
          <w:tblCellMar>
            <w:left w:w="70" w:type="dxa"/>
            <w:right w:w="70" w:type="dxa"/>
          </w:tblCellMar>
          <w:tblLook w:val="04A0"/>
        </w:tblPrEx>
        <w:trPr>
          <w:trHeight w:val="806"/>
        </w:trPr>
        <w:tc>
          <w:tcPr>
            <w:tcW w:w="6516"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D4551E" w:rsidRPr="00FC7A87" w:rsidP="0018475C" w14:paraId="77A74375" w14:textId="77777777">
            <w:pPr>
              <w:spacing w:after="0" w:line="240" w:lineRule="auto"/>
              <w:jc w:val="center"/>
              <w:rPr>
                <w:rFonts w:ascii="Arial" w:eastAsia="Times New Roman" w:hAnsi="Arial" w:cs="Arial"/>
                <w:color w:val="000000"/>
                <w:lang w:eastAsia="cs-CZ"/>
              </w:rPr>
            </w:pPr>
            <w:r w:rsidRPr="00FC7A87">
              <w:rPr>
                <w:rFonts w:ascii="Arial" w:eastAsia="Times New Roman" w:hAnsi="Arial" w:cs="Arial"/>
                <w:b/>
                <w:bCs/>
                <w:color w:val="000000"/>
                <w:lang w:eastAsia="cs-CZ"/>
              </w:rPr>
              <w:t>Celková cena</w:t>
            </w:r>
          </w:p>
        </w:tc>
        <w:tc>
          <w:tcPr>
            <w:tcW w:w="1559" w:type="dxa"/>
            <w:tcBorders>
              <w:top w:val="single" w:sz="4" w:space="0" w:color="auto"/>
              <w:left w:val="nil"/>
              <w:bottom w:val="single" w:sz="4" w:space="0" w:color="auto"/>
              <w:right w:val="single" w:sz="4" w:space="0" w:color="auto"/>
            </w:tcBorders>
            <w:shd w:val="clear" w:color="000000" w:fill="BFBFBF"/>
            <w:vAlign w:val="center"/>
          </w:tcPr>
          <w:p w:rsidR="00D4551E" w:rsidRPr="00D4551E" w:rsidP="0018475C" w14:paraId="024FA8EF" w14:textId="77777777">
            <w:pPr>
              <w:spacing w:after="0" w:line="240" w:lineRule="auto"/>
              <w:jc w:val="center"/>
              <w:rPr>
                <w:rFonts w:ascii="Arial" w:eastAsia="Times New Roman" w:hAnsi="Arial" w:cs="Arial"/>
                <w:b/>
                <w:bCs/>
                <w:color w:val="000000"/>
                <w:lang w:eastAsia="cs-CZ"/>
              </w:rPr>
            </w:pPr>
            <w:r w:rsidRPr="00D4551E">
              <w:rPr>
                <w:rFonts w:ascii="Arial" w:eastAsia="Times New Roman" w:hAnsi="Arial" w:cs="Arial"/>
                <w:b/>
                <w:bCs/>
                <w:color w:val="000000"/>
                <w:lang w:eastAsia="cs-CZ"/>
              </w:rPr>
              <w:t>1 792 120,00</w:t>
            </w:r>
          </w:p>
          <w:p w:rsidR="00D4551E" w:rsidRPr="00FC7A87" w:rsidP="0018475C" w14:paraId="66D3E2ED" w14:textId="77777777">
            <w:pPr>
              <w:spacing w:after="0" w:line="240" w:lineRule="auto"/>
              <w:jc w:val="center"/>
              <w:rPr>
                <w:rFonts w:ascii="Arial" w:eastAsia="Times New Roman" w:hAnsi="Arial" w:cs="Arial"/>
                <w:color w:val="000000"/>
                <w:lang w:eastAsia="cs-CZ"/>
              </w:rPr>
            </w:pPr>
          </w:p>
        </w:tc>
        <w:tc>
          <w:tcPr>
            <w:tcW w:w="1701" w:type="dxa"/>
            <w:tcBorders>
              <w:top w:val="single" w:sz="4" w:space="0" w:color="auto"/>
              <w:left w:val="nil"/>
              <w:bottom w:val="single" w:sz="4" w:space="0" w:color="auto"/>
              <w:right w:val="single" w:sz="4" w:space="0" w:color="auto"/>
            </w:tcBorders>
            <w:shd w:val="clear" w:color="000000" w:fill="BFBFBF"/>
            <w:vAlign w:val="center"/>
          </w:tcPr>
          <w:p w:rsidR="00D4551E" w:rsidRPr="00D4551E" w:rsidP="0018475C" w14:paraId="15AF4D41" w14:textId="77777777">
            <w:pPr>
              <w:spacing w:after="0" w:line="240" w:lineRule="auto"/>
              <w:jc w:val="center"/>
              <w:rPr>
                <w:rFonts w:ascii="Arial" w:eastAsia="Times New Roman" w:hAnsi="Arial" w:cs="Arial"/>
                <w:b/>
                <w:bCs/>
                <w:color w:val="000000"/>
                <w:lang w:eastAsia="cs-CZ"/>
              </w:rPr>
            </w:pPr>
            <w:r w:rsidRPr="00D4551E">
              <w:rPr>
                <w:rFonts w:ascii="Arial" w:eastAsia="Times New Roman" w:hAnsi="Arial" w:cs="Arial"/>
                <w:b/>
                <w:bCs/>
                <w:color w:val="000000"/>
                <w:lang w:eastAsia="cs-CZ"/>
              </w:rPr>
              <w:t>2 168 465,20</w:t>
            </w:r>
          </w:p>
          <w:p w:rsidR="00D4551E" w:rsidRPr="00FC7A87" w:rsidP="0018475C" w14:paraId="69B58F03" w14:textId="77777777">
            <w:pPr>
              <w:spacing w:after="0" w:line="240" w:lineRule="auto"/>
              <w:jc w:val="center"/>
              <w:rPr>
                <w:rFonts w:ascii="Arial" w:eastAsia="Times New Roman" w:hAnsi="Arial" w:cs="Arial"/>
                <w:color w:val="000000"/>
                <w:lang w:eastAsia="cs-CZ"/>
              </w:rPr>
            </w:pPr>
          </w:p>
        </w:tc>
      </w:tr>
    </w:tbl>
    <w:p w:rsidR="00BB2E82" w:rsidP="00BB2E82" w14:paraId="27A34EA3" w14:textId="093787BA">
      <w:pPr>
        <w:pStyle w:val="ListParagraph"/>
        <w:numPr>
          <w:ilvl w:val="0"/>
          <w:numId w:val="3"/>
        </w:numPr>
        <w:tabs>
          <w:tab w:val="num" w:pos="426"/>
        </w:tabs>
        <w:suppressAutoHyphens/>
        <w:spacing w:before="240" w:after="120" w:line="20" w:lineRule="atLeast"/>
        <w:ind w:left="357" w:hanging="357"/>
        <w:jc w:val="both"/>
        <w:rPr>
          <w:rFonts w:ascii="Arial" w:eastAsia="Calibri" w:hAnsi="Arial" w:cs="Arial"/>
          <w:lang w:eastAsia="cs-CZ"/>
        </w:rPr>
      </w:pPr>
      <w:r w:rsidRPr="004627C5">
        <w:rPr>
          <w:rFonts w:ascii="Arial" w:eastAsia="Calibri" w:hAnsi="Arial" w:cs="Arial"/>
          <w:lang w:eastAsia="cs-CZ"/>
        </w:rPr>
        <w:t>Celková cena</w:t>
      </w:r>
      <w:r w:rsidR="00EA454B">
        <w:rPr>
          <w:rFonts w:ascii="Arial" w:eastAsia="Calibri" w:hAnsi="Arial" w:cs="Arial"/>
          <w:lang w:eastAsia="cs-CZ"/>
        </w:rPr>
        <w:t xml:space="preserve"> dle odst. 1 tohoto článku</w:t>
      </w:r>
      <w:r w:rsidRPr="004627C5">
        <w:rPr>
          <w:rFonts w:ascii="Arial" w:eastAsia="Calibri" w:hAnsi="Arial" w:cs="Arial"/>
          <w:lang w:eastAsia="cs-CZ"/>
        </w:rPr>
        <w:t xml:space="preserve"> je stanovena jako cena nejvýše přípustná a nepřekročitelná a zahrnuje zejména veškeré náklady prodávajícího spojené s plněním předmětu smlouvy, včetně dopravy </w:t>
      </w:r>
      <w:r>
        <w:rPr>
          <w:rFonts w:ascii="Arial" w:eastAsia="Calibri" w:hAnsi="Arial" w:cs="Arial"/>
          <w:lang w:eastAsia="cs-CZ"/>
        </w:rPr>
        <w:t>z/</w:t>
      </w:r>
      <w:r w:rsidRPr="004627C5">
        <w:rPr>
          <w:rFonts w:ascii="Arial" w:eastAsia="Calibri" w:hAnsi="Arial" w:cs="Arial"/>
          <w:lang w:eastAsia="cs-CZ"/>
        </w:rPr>
        <w:t>do místa plnění. Cenu je možné měnit pouze v případě změny sazby DPH; v takovém případě není třeba uzavírat dodatek k této smlouvě, ale bude aplikována sazba DPH vždy v aktuální výši</w:t>
      </w:r>
      <w:r>
        <w:rPr>
          <w:rFonts w:ascii="Arial" w:eastAsia="Calibri" w:hAnsi="Arial" w:cs="Arial"/>
          <w:lang w:eastAsia="cs-CZ"/>
        </w:rPr>
        <w:t xml:space="preserve"> dle platných právních předpisů.</w:t>
      </w:r>
    </w:p>
    <w:p w:rsidR="00BB2E82" w:rsidRPr="00333F06" w:rsidP="00BB2E82" w14:paraId="3F0C91D1" w14:textId="2AF4ACE6">
      <w:pPr>
        <w:numPr>
          <w:ilvl w:val="0"/>
          <w:numId w:val="3"/>
        </w:numPr>
        <w:spacing w:after="120" w:line="240" w:lineRule="auto"/>
        <w:ind w:left="357" w:hanging="357"/>
        <w:jc w:val="both"/>
        <w:rPr>
          <w:rFonts w:ascii="Arial" w:eastAsia="Calibri" w:hAnsi="Arial" w:cs="Arial"/>
        </w:rPr>
      </w:pPr>
      <w:r>
        <w:rPr>
          <w:rFonts w:ascii="Arial" w:hAnsi="Arial" w:cs="Arial"/>
        </w:rPr>
        <w:t>Poskytovatel</w:t>
      </w:r>
      <w:r w:rsidRPr="00F35E63">
        <w:rPr>
          <w:rFonts w:ascii="Arial" w:hAnsi="Arial" w:cs="Arial"/>
        </w:rPr>
        <w:t xml:space="preserve"> je oprávněn vystavit fakturu po převzetí </w:t>
      </w:r>
      <w:r>
        <w:rPr>
          <w:rFonts w:ascii="Arial" w:hAnsi="Arial" w:cs="Arial"/>
        </w:rPr>
        <w:t xml:space="preserve">zboží kupujícím </w:t>
      </w:r>
      <w:r w:rsidR="00EA454B">
        <w:rPr>
          <w:rFonts w:ascii="Arial" w:hAnsi="Arial" w:cs="Arial"/>
        </w:rPr>
        <w:t xml:space="preserve">a po podpisu předávacího protokolu </w:t>
      </w:r>
      <w:r>
        <w:rPr>
          <w:rFonts w:ascii="Arial" w:hAnsi="Arial" w:cs="Arial"/>
        </w:rPr>
        <w:t xml:space="preserve">dle </w:t>
      </w:r>
      <w:r w:rsidRPr="003B4669">
        <w:rPr>
          <w:rFonts w:ascii="Arial" w:hAnsi="Arial" w:cs="Arial"/>
        </w:rPr>
        <w:t>čl. I</w:t>
      </w:r>
      <w:r>
        <w:rPr>
          <w:rFonts w:ascii="Arial" w:hAnsi="Arial" w:cs="Arial"/>
        </w:rPr>
        <w:t>I</w:t>
      </w:r>
      <w:r w:rsidRPr="003B4669">
        <w:rPr>
          <w:rFonts w:ascii="Arial" w:hAnsi="Arial" w:cs="Arial"/>
        </w:rPr>
        <w:t xml:space="preserve"> odst. </w:t>
      </w:r>
      <w:r>
        <w:rPr>
          <w:rFonts w:ascii="Arial" w:hAnsi="Arial" w:cs="Arial"/>
        </w:rPr>
        <w:t>3</w:t>
      </w:r>
      <w:r w:rsidRPr="003B4669">
        <w:rPr>
          <w:rFonts w:ascii="Arial" w:hAnsi="Arial" w:cs="Arial"/>
        </w:rPr>
        <w:t xml:space="preserve"> </w:t>
      </w:r>
      <w:r w:rsidRPr="003B4669">
        <w:rPr>
          <w:rFonts w:ascii="Arial" w:hAnsi="Arial" w:cs="Arial"/>
        </w:rPr>
        <w:t>této</w:t>
      </w:r>
      <w:r w:rsidRPr="003B4669">
        <w:rPr>
          <w:rFonts w:ascii="Arial" w:hAnsi="Arial" w:cs="Arial"/>
        </w:rPr>
        <w:t xml:space="preserve"> smlouvy</w:t>
      </w:r>
      <w:r w:rsidR="00EA454B">
        <w:rPr>
          <w:rFonts w:ascii="Arial" w:hAnsi="Arial" w:cs="Arial"/>
        </w:rPr>
        <w:t xml:space="preserve"> oběma smluvními stranami</w:t>
      </w:r>
      <w:r w:rsidRPr="00F35E63">
        <w:rPr>
          <w:rFonts w:ascii="Arial" w:hAnsi="Arial" w:cs="Arial"/>
        </w:rPr>
        <w:t xml:space="preserve">. </w:t>
      </w:r>
      <w:r>
        <w:rPr>
          <w:rFonts w:ascii="Arial" w:hAnsi="Arial" w:cs="Arial"/>
        </w:rPr>
        <w:t>C</w:t>
      </w:r>
      <w:r w:rsidRPr="00F35E63">
        <w:rPr>
          <w:rFonts w:ascii="Arial" w:hAnsi="Arial" w:cs="Arial"/>
        </w:rPr>
        <w:t>enu</w:t>
      </w:r>
      <w:r>
        <w:rPr>
          <w:rFonts w:ascii="Arial" w:hAnsi="Arial" w:cs="Arial"/>
        </w:rPr>
        <w:t xml:space="preserve"> za poskytnuté zboží u</w:t>
      </w:r>
      <w:r w:rsidRPr="00F35E63">
        <w:rPr>
          <w:rFonts w:ascii="Arial" w:hAnsi="Arial" w:cs="Arial"/>
        </w:rPr>
        <w:t xml:space="preserve">hradí </w:t>
      </w:r>
      <w:r>
        <w:rPr>
          <w:rFonts w:ascii="Arial" w:hAnsi="Arial" w:cs="Arial"/>
        </w:rPr>
        <w:t xml:space="preserve">kupující </w:t>
      </w:r>
      <w:r w:rsidRPr="00F35E63">
        <w:rPr>
          <w:rFonts w:ascii="Arial" w:hAnsi="Arial" w:cs="Arial"/>
        </w:rPr>
        <w:t xml:space="preserve">na základě faktury </w:t>
      </w:r>
      <w:r>
        <w:rPr>
          <w:rFonts w:ascii="Arial" w:hAnsi="Arial" w:cs="Arial"/>
        </w:rPr>
        <w:t xml:space="preserve">prodávajícího </w:t>
      </w:r>
      <w:r w:rsidRPr="00F35E63">
        <w:rPr>
          <w:rFonts w:ascii="Arial" w:hAnsi="Arial" w:cs="Arial"/>
        </w:rPr>
        <w:t>bezhotovostním převodem, přičemž splatnost faktury je 21 dnů ode dne jejího doručení</w:t>
      </w:r>
      <w:r>
        <w:rPr>
          <w:rFonts w:ascii="Arial" w:hAnsi="Arial" w:cs="Arial"/>
        </w:rPr>
        <w:t xml:space="preserve"> kupujícímu</w:t>
      </w:r>
      <w:r w:rsidRPr="00333F06">
        <w:rPr>
          <w:rFonts w:ascii="Arial" w:eastAsia="Calibri" w:hAnsi="Arial" w:cs="Arial"/>
        </w:rPr>
        <w:t>.</w:t>
      </w:r>
    </w:p>
    <w:p w:rsidR="00BB2E82" w:rsidRPr="00333F06" w:rsidP="00BB2E82" w14:paraId="6042C728" w14:textId="77777777">
      <w:pPr>
        <w:numPr>
          <w:ilvl w:val="0"/>
          <w:numId w:val="3"/>
        </w:numPr>
        <w:spacing w:after="120" w:line="240" w:lineRule="auto"/>
        <w:ind w:left="357" w:hanging="357"/>
        <w:jc w:val="both"/>
        <w:rPr>
          <w:rFonts w:ascii="Arial" w:eastAsia="Calibri" w:hAnsi="Arial" w:cs="Arial"/>
        </w:rPr>
      </w:pPr>
      <w:r w:rsidRPr="008556E0">
        <w:rPr>
          <w:rFonts w:ascii="Arial" w:hAnsi="Arial" w:cs="Arial"/>
        </w:rPr>
        <w:t xml:space="preserve">Faktura </w:t>
      </w:r>
      <w:r>
        <w:rPr>
          <w:rFonts w:ascii="Arial" w:hAnsi="Arial" w:cs="Arial"/>
        </w:rPr>
        <w:t xml:space="preserve">prodávajícího </w:t>
      </w:r>
      <w:r w:rsidRPr="008556E0">
        <w:rPr>
          <w:rFonts w:ascii="Arial" w:hAnsi="Arial" w:cs="Arial"/>
        </w:rPr>
        <w:t xml:space="preserve">musí vždy obsahovat náležitosti obchodní listiny dle § 435 občanského zákoníku a daňového dokladu dle zákona č. 563/1991 Sb., o účetnictví, ve znění pozdějších </w:t>
      </w:r>
      <w:r w:rsidRPr="008556E0">
        <w:rPr>
          <w:rFonts w:ascii="Arial" w:hAnsi="Arial" w:cs="Arial"/>
        </w:rPr>
        <w:t xml:space="preserve">předpisů a dle zákona č. 235/2004 Sb., o dani z přidané hodnoty, ve znění pozdějších předpisů (dále jen „ZDPH“). Na faktuře musí být uvedeno evidenční číslo této smlouvy uvedené </w:t>
      </w:r>
      <w:r>
        <w:rPr>
          <w:rFonts w:ascii="Arial" w:hAnsi="Arial" w:cs="Arial"/>
        </w:rPr>
        <w:t xml:space="preserve">prodávajícím </w:t>
      </w:r>
      <w:r w:rsidRPr="008556E0">
        <w:rPr>
          <w:rFonts w:ascii="Arial" w:hAnsi="Arial" w:cs="Arial"/>
        </w:rPr>
        <w:t xml:space="preserve">v záhlaví této smlouvy a </w:t>
      </w:r>
      <w:r>
        <w:rPr>
          <w:rFonts w:ascii="Arial" w:hAnsi="Arial" w:cs="Arial"/>
        </w:rPr>
        <w:t xml:space="preserve">přílohou faktury musí být kopie </w:t>
      </w:r>
      <w:r w:rsidRPr="008556E0">
        <w:rPr>
          <w:rFonts w:ascii="Arial" w:hAnsi="Arial" w:cs="Arial"/>
        </w:rPr>
        <w:t>předávacího protokolu</w:t>
      </w:r>
      <w:r>
        <w:rPr>
          <w:rFonts w:ascii="Arial" w:hAnsi="Arial" w:cs="Arial"/>
        </w:rPr>
        <w:t xml:space="preserve"> </w:t>
      </w:r>
      <w:r w:rsidRPr="008556E0">
        <w:rPr>
          <w:rFonts w:ascii="Arial" w:hAnsi="Arial" w:cs="Arial"/>
        </w:rPr>
        <w:t xml:space="preserve">dle čl. II odst. </w:t>
      </w:r>
      <w:r>
        <w:rPr>
          <w:rFonts w:ascii="Arial" w:hAnsi="Arial" w:cs="Arial"/>
        </w:rPr>
        <w:t xml:space="preserve">3 </w:t>
      </w:r>
      <w:r w:rsidRPr="008556E0">
        <w:rPr>
          <w:rFonts w:ascii="Arial" w:hAnsi="Arial" w:cs="Arial"/>
        </w:rPr>
        <w:t>této</w:t>
      </w:r>
      <w:r w:rsidRPr="008556E0">
        <w:rPr>
          <w:rFonts w:ascii="Arial" w:hAnsi="Arial" w:cs="Arial"/>
        </w:rPr>
        <w:t xml:space="preserve"> smlouvy.</w:t>
      </w:r>
    </w:p>
    <w:p w:rsidR="00BB2E82" w:rsidRPr="00333F06" w:rsidP="00BB2E82" w14:paraId="7CDF2743" w14:textId="77777777">
      <w:pPr>
        <w:numPr>
          <w:ilvl w:val="0"/>
          <w:numId w:val="3"/>
        </w:numPr>
        <w:spacing w:after="120" w:line="240" w:lineRule="auto"/>
        <w:ind w:left="357" w:hanging="357"/>
        <w:jc w:val="both"/>
        <w:rPr>
          <w:rFonts w:ascii="Arial" w:eastAsia="Calibri" w:hAnsi="Arial" w:cs="Arial"/>
        </w:rPr>
      </w:pPr>
      <w:r w:rsidRPr="00333F06">
        <w:rPr>
          <w:rFonts w:ascii="Arial" w:eastAsia="Calibri" w:hAnsi="Arial" w:cs="Arial"/>
        </w:rPr>
        <w:t>V případě, že faktura nebude mít stanovené náležitosti nebo bude obsahovat chybné údaje, je objednatel oprávněn tuto fakturu ve lhůtě její</w:t>
      </w:r>
      <w:r>
        <w:rPr>
          <w:rFonts w:ascii="Arial" w:eastAsia="Calibri" w:hAnsi="Arial" w:cs="Arial"/>
        </w:rPr>
        <w:t xml:space="preserve"> splatnosti vrátit prodávajícímu</w:t>
      </w:r>
      <w:r w:rsidRPr="00333F06">
        <w:rPr>
          <w:rFonts w:ascii="Arial" w:eastAsia="Calibri" w:hAnsi="Arial" w:cs="Arial"/>
        </w:rPr>
        <w:t xml:space="preserve">, aniž by se tím </w:t>
      </w:r>
      <w:r>
        <w:rPr>
          <w:rFonts w:ascii="Arial" w:eastAsia="Calibri" w:hAnsi="Arial" w:cs="Arial"/>
        </w:rPr>
        <w:t xml:space="preserve">kupující </w:t>
      </w:r>
      <w:r w:rsidRPr="00333F06">
        <w:rPr>
          <w:rFonts w:ascii="Arial" w:eastAsia="Calibri" w:hAnsi="Arial" w:cs="Arial"/>
        </w:rPr>
        <w:t>dostal do prodlení s úhradou faktury. Nová lhůta splatnosti počíná běžet dnem obdržení opravené nebo nově vystavené faktury. Důvod případného vráce</w:t>
      </w:r>
      <w:r>
        <w:rPr>
          <w:rFonts w:ascii="Arial" w:eastAsia="Calibri" w:hAnsi="Arial" w:cs="Arial"/>
        </w:rPr>
        <w:t>ní faktury musí být kupujícím</w:t>
      </w:r>
      <w:r w:rsidRPr="00333F06">
        <w:rPr>
          <w:rFonts w:ascii="Arial" w:eastAsia="Calibri" w:hAnsi="Arial" w:cs="Arial"/>
        </w:rPr>
        <w:t xml:space="preserve"> jednoznačně vymezen.</w:t>
      </w:r>
    </w:p>
    <w:p w:rsidR="00BB2E82" w:rsidRPr="00333F06" w:rsidP="00BB2E82" w14:paraId="17F23E76" w14:textId="54F0B002">
      <w:pPr>
        <w:numPr>
          <w:ilvl w:val="0"/>
          <w:numId w:val="3"/>
        </w:numPr>
        <w:spacing w:after="120" w:line="240" w:lineRule="auto"/>
        <w:ind w:left="357" w:hanging="357"/>
        <w:jc w:val="both"/>
        <w:rPr>
          <w:rFonts w:ascii="Arial" w:eastAsia="Calibri" w:hAnsi="Arial" w:cs="Arial"/>
        </w:rPr>
      </w:pPr>
      <w:r>
        <w:rPr>
          <w:rFonts w:ascii="Arial" w:eastAsia="Calibri" w:hAnsi="Arial" w:cs="Arial"/>
        </w:rPr>
        <w:t xml:space="preserve">Prodávající </w:t>
      </w:r>
      <w:r w:rsidRPr="00333F06">
        <w:rPr>
          <w:rFonts w:ascii="Arial" w:eastAsia="Calibri" w:hAnsi="Arial" w:cs="Arial"/>
        </w:rPr>
        <w:t xml:space="preserve">je oprávněn fakturu včetně všech jejích příloh vystavit v elektronické formě dle § 26 ZDPH, a to ve formátu ISDOC nebo ISDOCX verze 5.2 nebo vyšší. </w:t>
      </w:r>
      <w:r>
        <w:rPr>
          <w:rFonts w:ascii="Arial" w:eastAsia="Calibri" w:hAnsi="Arial" w:cs="Arial"/>
        </w:rPr>
        <w:t>Prodávající</w:t>
      </w:r>
      <w:r w:rsidRPr="00333F06">
        <w:rPr>
          <w:rFonts w:ascii="Arial" w:eastAsia="Calibri"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w:t>
      </w:r>
      <w:r w:rsidR="001E3A2C">
        <w:rPr>
          <w:rFonts w:ascii="Arial" w:eastAsia="Calibri" w:hAnsi="Arial" w:cs="Arial"/>
        </w:rPr>
        <w:t>gov.</w:t>
      </w:r>
      <w:r w:rsidRPr="00333F06">
        <w:rPr>
          <w:rFonts w:ascii="Arial" w:eastAsia="Calibri" w:hAnsi="Arial" w:cs="Arial"/>
        </w:rPr>
        <w:t>cz.</w:t>
      </w:r>
    </w:p>
    <w:p w:rsidR="00BB2E82" w:rsidRPr="00333F06" w:rsidP="00BB2E82" w14:paraId="4352F7EE" w14:textId="77777777">
      <w:pPr>
        <w:numPr>
          <w:ilvl w:val="0"/>
          <w:numId w:val="3"/>
        </w:numPr>
        <w:spacing w:after="120" w:line="240" w:lineRule="auto"/>
        <w:ind w:left="357" w:hanging="357"/>
        <w:jc w:val="both"/>
        <w:rPr>
          <w:rFonts w:ascii="Arial" w:eastAsia="Calibri" w:hAnsi="Arial" w:cs="Arial"/>
        </w:rPr>
      </w:pPr>
      <w:r w:rsidRPr="00333F06">
        <w:rPr>
          <w:rFonts w:ascii="Arial" w:eastAsia="Calibri" w:hAnsi="Arial" w:cs="Arial"/>
        </w:rPr>
        <w:t>V případě, že úhrada má být provedena zcela nebo zčásti bezhotovostním převodem na účet vedený poskytovatelem platebních služeb mimo tuzemsko ve smyslu § 109 odst. 2 písm. b) ZDPH, nebo</w:t>
      </w:r>
      <w:r>
        <w:rPr>
          <w:rFonts w:ascii="Arial" w:eastAsia="Calibri" w:hAnsi="Arial" w:cs="Arial"/>
        </w:rPr>
        <w:t xml:space="preserve"> číslo bankovního účtu prodávajícího</w:t>
      </w:r>
      <w:r w:rsidRPr="00333F06">
        <w:rPr>
          <w:rFonts w:ascii="Arial" w:eastAsia="Calibri" w:hAnsi="Arial" w:cs="Arial"/>
        </w:rPr>
        <w:t xml:space="preserve"> uvedené v této smlouvě nebo na daňovém dokladu vystaveném </w:t>
      </w:r>
      <w:r>
        <w:rPr>
          <w:rFonts w:ascii="Arial" w:eastAsia="Calibri" w:hAnsi="Arial" w:cs="Arial"/>
        </w:rPr>
        <w:t xml:space="preserve">prodávajícím </w:t>
      </w:r>
      <w:r w:rsidRPr="00333F06">
        <w:rPr>
          <w:rFonts w:ascii="Arial" w:eastAsia="Calibri" w:hAnsi="Arial" w:cs="Arial"/>
        </w:rPr>
        <w:t xml:space="preserve">nebude uveřejněno způsobem umožňujícím dálkový přístup ve smyslu § 109 odst. 2 písm. c) ZDPH </w:t>
      </w:r>
      <w:r>
        <w:rPr>
          <w:rFonts w:ascii="Arial" w:eastAsia="Calibri" w:hAnsi="Arial" w:cs="Arial"/>
        </w:rPr>
        <w:t xml:space="preserve">a nebo stane-li se prodávající </w:t>
      </w:r>
      <w:r w:rsidRPr="00333F06">
        <w:rPr>
          <w:rFonts w:ascii="Arial" w:eastAsia="Calibri" w:hAnsi="Arial" w:cs="Arial"/>
        </w:rPr>
        <w:t xml:space="preserve">nespolehlivým plátcem ve smyslu § 106a ZDPH, je </w:t>
      </w:r>
      <w:r>
        <w:rPr>
          <w:rFonts w:ascii="Arial" w:eastAsia="Calibri" w:hAnsi="Arial" w:cs="Arial"/>
        </w:rPr>
        <w:t xml:space="preserve">kupující </w:t>
      </w:r>
      <w:r w:rsidRPr="00333F06">
        <w:rPr>
          <w:rFonts w:ascii="Arial" w:eastAsia="Calibri" w:hAnsi="Arial" w:cs="Arial"/>
        </w:rPr>
        <w:t xml:space="preserve">oprávněn uhradit </w:t>
      </w:r>
      <w:r>
        <w:rPr>
          <w:rFonts w:ascii="Arial" w:eastAsia="Calibri" w:hAnsi="Arial" w:cs="Arial"/>
        </w:rPr>
        <w:t xml:space="preserve">prodávajícímu </w:t>
      </w:r>
      <w:r w:rsidRPr="00333F06">
        <w:rPr>
          <w:rFonts w:ascii="Arial" w:eastAsia="Calibri" w:hAnsi="Arial" w:cs="Arial"/>
        </w:rPr>
        <w:t xml:space="preserve">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rsidR="00BB2E82" w:rsidP="00BB2E82" w14:paraId="60FE2EBD" w14:textId="77777777">
      <w:pPr>
        <w:numPr>
          <w:ilvl w:val="0"/>
          <w:numId w:val="3"/>
        </w:numPr>
        <w:spacing w:after="120" w:line="240" w:lineRule="auto"/>
        <w:ind w:left="357" w:hanging="357"/>
        <w:jc w:val="both"/>
        <w:rPr>
          <w:rFonts w:ascii="Arial" w:eastAsia="Calibri" w:hAnsi="Arial" w:cs="Arial"/>
        </w:rPr>
      </w:pPr>
      <w:r>
        <w:rPr>
          <w:rFonts w:ascii="Arial" w:eastAsia="Calibri" w:hAnsi="Arial" w:cs="Arial"/>
        </w:rPr>
        <w:t>Povinnost kupujícího</w:t>
      </w:r>
      <w:r w:rsidRPr="00333F06">
        <w:rPr>
          <w:rFonts w:ascii="Arial" w:eastAsia="Calibri" w:hAnsi="Arial" w:cs="Arial"/>
        </w:rPr>
        <w:t xml:space="preserve"> zaplatit fakturovanou částku dle této smlouvy je splněna odepsáním pří</w:t>
      </w:r>
      <w:r>
        <w:rPr>
          <w:rFonts w:ascii="Arial" w:eastAsia="Calibri" w:hAnsi="Arial" w:cs="Arial"/>
        </w:rPr>
        <w:t>slušné částky z účtu kupujícího</w:t>
      </w:r>
      <w:r w:rsidRPr="00333F06">
        <w:rPr>
          <w:rFonts w:ascii="Arial" w:eastAsia="Calibri" w:hAnsi="Arial" w:cs="Arial"/>
        </w:rPr>
        <w:t xml:space="preserve"> ve prospěch účtu p</w:t>
      </w:r>
      <w:r>
        <w:rPr>
          <w:rFonts w:ascii="Arial" w:eastAsia="Calibri" w:hAnsi="Arial" w:cs="Arial"/>
        </w:rPr>
        <w:t>rodávajícího</w:t>
      </w:r>
      <w:r w:rsidRPr="00333F06">
        <w:rPr>
          <w:rFonts w:ascii="Arial" w:eastAsia="Calibri" w:hAnsi="Arial" w:cs="Arial"/>
        </w:rPr>
        <w:t>.</w:t>
      </w:r>
    </w:p>
    <w:p w:rsidR="00543DDA" w:rsidRPr="00543DDA" w:rsidP="00543DDA" w14:paraId="1253FB3B" w14:textId="77777777">
      <w:pPr>
        <w:pStyle w:val="ListParagraph"/>
        <w:numPr>
          <w:ilvl w:val="0"/>
          <w:numId w:val="3"/>
        </w:numPr>
        <w:spacing w:after="240" w:line="260" w:lineRule="atLeast"/>
        <w:contextualSpacing w:val="0"/>
        <w:jc w:val="both"/>
        <w:rPr>
          <w:rFonts w:ascii="Arial" w:hAnsi="Arial" w:cs="Arial"/>
        </w:rPr>
      </w:pPr>
      <w:r w:rsidRPr="00A12547">
        <w:rPr>
          <w:rFonts w:ascii="Arial" w:hAnsi="Arial" w:cs="Arial"/>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rsidR="00BB2E82" w:rsidRPr="002D4E99" w:rsidP="00BB2E82" w14:paraId="3AD9AF7F" w14:textId="77777777">
      <w:pPr>
        <w:spacing w:before="360" w:after="120" w:line="20" w:lineRule="atLeast"/>
        <w:jc w:val="center"/>
        <w:outlineLvl w:val="3"/>
        <w:rPr>
          <w:rFonts w:ascii="Arial" w:hAnsi="Arial" w:cs="Arial"/>
          <w:b/>
        </w:rPr>
      </w:pPr>
      <w:r w:rsidRPr="002D4E99">
        <w:rPr>
          <w:rFonts w:ascii="Arial" w:hAnsi="Arial" w:cs="Arial"/>
          <w:b/>
        </w:rPr>
        <w:t>Článek V.</w:t>
      </w:r>
      <w:r w:rsidRPr="002D4E99">
        <w:rPr>
          <w:rFonts w:ascii="Arial" w:hAnsi="Arial" w:cs="Arial"/>
          <w:b/>
        </w:rPr>
        <w:br/>
        <w:t>Ochrana informací</w:t>
      </w:r>
    </w:p>
    <w:p w:rsidR="00BB2E82" w:rsidRPr="002D4E99" w:rsidP="0091224F" w14:paraId="4C2E634B" w14:textId="77777777">
      <w:pPr>
        <w:numPr>
          <w:ilvl w:val="0"/>
          <w:numId w:val="12"/>
        </w:numPr>
        <w:tabs>
          <w:tab w:val="num" w:pos="426"/>
          <w:tab w:val="left" w:pos="720"/>
        </w:tabs>
        <w:spacing w:before="120" w:after="120" w:line="20" w:lineRule="atLeast"/>
        <w:ind w:left="426" w:hanging="426"/>
        <w:jc w:val="both"/>
        <w:rPr>
          <w:rFonts w:ascii="Arial" w:hAnsi="Arial" w:cs="Arial"/>
        </w:rPr>
      </w:pPr>
      <w:r w:rsidRPr="002D4E99">
        <w:rPr>
          <w:rFonts w:ascii="Arial" w:hAnsi="Arial" w:cs="Arial"/>
        </w:rPr>
        <w:t>Smluvní strany jsou si vědomy toho, že v rámci plnění závazků z této smlouvy</w:t>
      </w:r>
    </w:p>
    <w:p w:rsidR="00BB2E82" w:rsidRPr="002D4E99" w:rsidP="0091224F" w14:paraId="2AA40B04" w14:textId="77777777">
      <w:pPr>
        <w:numPr>
          <w:ilvl w:val="1"/>
          <w:numId w:val="13"/>
        </w:numPr>
        <w:spacing w:before="120" w:after="120" w:line="20" w:lineRule="atLeast"/>
        <w:ind w:left="851" w:hanging="425"/>
        <w:jc w:val="both"/>
        <w:rPr>
          <w:rFonts w:ascii="Arial" w:hAnsi="Arial" w:cs="Arial"/>
        </w:rPr>
      </w:pPr>
      <w:r w:rsidRPr="002D4E99">
        <w:rPr>
          <w:rFonts w:ascii="Arial" w:hAnsi="Arial" w:cs="Arial"/>
        </w:rPr>
        <w:t>si</w:t>
      </w:r>
      <w:r w:rsidRPr="002D4E99">
        <w:rPr>
          <w:rFonts w:ascii="Arial" w:hAnsi="Arial" w:cs="Arial"/>
        </w:rPr>
        <w:t xml:space="preserve"> mohou vzájemně vědomě nebo opomenutím poskytnout informace, které budou považovány za důvěrné (dále jen „důvěrné informace“),</w:t>
      </w:r>
    </w:p>
    <w:p w:rsidR="00BB2E82" w:rsidRPr="002D4E99" w:rsidP="0091224F" w14:paraId="724758F7" w14:textId="77777777">
      <w:pPr>
        <w:numPr>
          <w:ilvl w:val="1"/>
          <w:numId w:val="13"/>
        </w:numPr>
        <w:tabs>
          <w:tab w:val="num" w:pos="426"/>
        </w:tabs>
        <w:spacing w:before="120" w:after="120" w:line="20" w:lineRule="atLeast"/>
        <w:ind w:left="851" w:hanging="425"/>
        <w:jc w:val="both"/>
        <w:rPr>
          <w:rFonts w:ascii="Arial" w:hAnsi="Arial" w:cs="Arial"/>
        </w:rPr>
      </w:pPr>
      <w:r w:rsidRPr="002D4E99">
        <w:rPr>
          <w:rFonts w:ascii="Arial" w:hAnsi="Arial" w:cs="Arial"/>
        </w:rPr>
        <w:t>mohou jejich zaměstnanci či osoby v obdobném postavení získat vědomou činností druhé smluvní strany nebo i jejím opomenutím přístup k důvěrným informacím druhé smluvní strany.</w:t>
      </w:r>
    </w:p>
    <w:p w:rsidR="00BB2E82" w:rsidRPr="002D4E99" w:rsidP="0091224F" w14:paraId="362CE4A2"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Smluvní strany se zavazují, že žádná z nich nezpřístupní třetí osobě důvěrné informace</w:t>
      </w:r>
      <w:r w:rsidRPr="002D4E99">
        <w:rPr>
          <w:rFonts w:ascii="Arial" w:hAnsi="Arial" w:cs="Arial"/>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BB2E82" w:rsidRPr="002D4E99" w:rsidP="0091224F" w14:paraId="734BD9B7"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Za třetí osoby dle odst. 2 tohoto článku se nepovažují:</w:t>
      </w:r>
    </w:p>
    <w:p w:rsidR="00BB2E82" w:rsidRPr="002D4E99" w:rsidP="0091224F" w14:paraId="3FEC2A88"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zaměstnanci smluvních stran a osoby v obdobném postavení,</w:t>
      </w:r>
    </w:p>
    <w:p w:rsidR="00BB2E82" w:rsidRPr="002D4E99" w:rsidP="0091224F" w14:paraId="6228705B"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orgány smluvních stran a jejich členové,</w:t>
      </w:r>
    </w:p>
    <w:p w:rsidR="00BB2E82" w:rsidRPr="002D4E99" w:rsidP="0091224F" w14:paraId="446B41CD" w14:textId="21D4BE25">
      <w:pPr>
        <w:numPr>
          <w:ilvl w:val="0"/>
          <w:numId w:val="14"/>
        </w:numPr>
        <w:spacing w:before="120" w:after="120" w:line="240" w:lineRule="auto"/>
        <w:ind w:left="850" w:hanging="425"/>
        <w:jc w:val="both"/>
        <w:rPr>
          <w:rFonts w:ascii="Arial" w:hAnsi="Arial" w:cs="Arial"/>
        </w:rPr>
      </w:pPr>
      <w:r w:rsidRPr="002D4E99">
        <w:rPr>
          <w:rFonts w:ascii="Arial" w:hAnsi="Arial" w:cs="Arial"/>
        </w:rPr>
        <w:t xml:space="preserve">ve vztahu k důvěrným informacím kupujícího </w:t>
      </w:r>
      <w:r w:rsidR="001E3A2C">
        <w:rPr>
          <w:rFonts w:ascii="Arial" w:hAnsi="Arial" w:cs="Arial"/>
        </w:rPr>
        <w:t>pod</w:t>
      </w:r>
      <w:r w:rsidRPr="002D4E99">
        <w:rPr>
          <w:rFonts w:ascii="Arial" w:hAnsi="Arial" w:cs="Arial"/>
        </w:rPr>
        <w:t>dodavatelé prodávajícího,</w:t>
      </w:r>
    </w:p>
    <w:p w:rsidR="00BB2E82" w:rsidRPr="002D4E99" w:rsidP="0091224F" w14:paraId="61C84125"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ve vztahu k důvěrným informacím prodávajícího externí dodavatelé kupujícího,</w:t>
      </w:r>
      <w:r w:rsidRPr="002D4E99">
        <w:rPr>
          <w:rFonts w:ascii="Arial" w:hAnsi="Arial" w:cs="Arial"/>
        </w:rPr>
        <w:br/>
        <w:t>a to i potenciální,</w:t>
      </w:r>
    </w:p>
    <w:p w:rsidR="00BB2E82" w:rsidP="0091224F" w14:paraId="5A7802F4" w14:textId="77777777">
      <w:pPr>
        <w:tabs>
          <w:tab w:val="left" w:pos="720"/>
        </w:tabs>
        <w:spacing w:before="120" w:after="120" w:line="240" w:lineRule="auto"/>
        <w:ind w:left="426"/>
        <w:jc w:val="both"/>
        <w:rPr>
          <w:rFonts w:ascii="Arial" w:hAnsi="Arial" w:cs="Arial"/>
        </w:rPr>
      </w:pPr>
      <w:r w:rsidRPr="002D4E99">
        <w:rPr>
          <w:rFonts w:ascii="Arial" w:hAnsi="Arial" w:cs="Arial"/>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w:t>
      </w:r>
      <w:r>
        <w:rPr>
          <w:rFonts w:ascii="Arial" w:hAnsi="Arial" w:cs="Arial"/>
        </w:rPr>
        <w:t>mluvním stranám v této smlouvě.</w:t>
      </w:r>
    </w:p>
    <w:p w:rsidR="00BB2E82" w:rsidP="0091224F" w14:paraId="491634AA"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BB2E82" w:rsidP="0091224F" w14:paraId="73EF386B"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BB2E82" w:rsidP="0091224F" w14:paraId="3B5458D5"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BB2E82" w:rsidP="0091224F" w14:paraId="2DE0B5E0"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BB2E82" w:rsidRPr="004627C5" w:rsidP="0091224F" w14:paraId="20AE2BB1"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BB2E82" w:rsidRPr="002D4E99" w:rsidP="0091224F" w14:paraId="54CEEC8F"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BB2E82" w:rsidRPr="002D4E99" w:rsidP="0091224F" w14:paraId="2155F9D3"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Bez ohledu na výše uvedená ustanovení se za důvěrné nepovažují informace, které:</w:t>
      </w:r>
    </w:p>
    <w:p w:rsidR="00BB2E82" w:rsidRPr="002D4E99" w:rsidP="0091224F" w14:paraId="7A5DDF40"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se staly</w:t>
      </w:r>
      <w:r w:rsidRPr="002D4E99">
        <w:rPr>
          <w:rFonts w:ascii="Arial" w:eastAsia="@Arial Unicode MS" w:hAnsi="Arial" w:cs="Arial"/>
          <w:color w:val="000000"/>
          <w:lang w:eastAsia="cs-CZ"/>
        </w:rPr>
        <w:t xml:space="preserve"> veřejně známými, aniž by jejich zveřejněním došlo k porušení závazků přijímající smluvní strany či právních předpisů,</w:t>
      </w:r>
    </w:p>
    <w:p w:rsidR="00BB2E82" w:rsidRPr="002D4E99" w:rsidP="0091224F" w14:paraId="7E4AA504"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 o ochraně informací,</w:t>
      </w:r>
    </w:p>
    <w:p w:rsidR="00BB2E82" w:rsidRPr="002D4E99" w:rsidP="0091224F" w14:paraId="10A97395"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BB2E82" w:rsidRPr="002D4E99" w:rsidP="0091224F" w14:paraId="4FC3C89C"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po podpisu této smlouvy poskytne přijímající straně třetí osoba, jež není omezena v takovém nakládání s informacemi,</w:t>
      </w:r>
    </w:p>
    <w:p w:rsidR="00BB2E82" w:rsidRPr="002D4E99" w:rsidP="0091224F" w14:paraId="24F3EC54"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BB2E82" w:rsidRPr="002D4E99" w:rsidP="0091224F" w14:paraId="3CBE1C52"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 a o registru smluv, ve znění pozdějších předpisů (dále jen „Registr smluv“).</w:t>
      </w:r>
    </w:p>
    <w:p w:rsidR="00BB2E82" w:rsidRPr="002D4E99" w:rsidP="0091224F" w14:paraId="64514C67"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BB2E82" w:rsidRPr="002D4E99" w:rsidP="0091224F" w14:paraId="1DED0AB9"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rsidR="00BB2E82" w:rsidRPr="002D4E99" w:rsidP="0091224F" w14:paraId="29C125FD"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Za porušení povinnosti mlčenlivosti osobami, které se budou podílet na plnění předmětu smlouvy, odpovídá prodávající, jako by povinnost porušil sám.</w:t>
      </w:r>
    </w:p>
    <w:p w:rsidR="00BB2E82" w:rsidRPr="002D4E99" w:rsidP="0091224F" w14:paraId="71DB1906"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Ukončení účinnosti této smlouvy z jakéhokoliv důvodu se nedotkne ustanovení tohoto článku a jeho účinnost přetrvá i po ukončení účinnosti této smlouvy.</w:t>
      </w:r>
    </w:p>
    <w:p w:rsidR="00BB2E82" w:rsidRPr="002D4E99" w:rsidP="00BB2E82" w14:paraId="7D5BEB45" w14:textId="77777777">
      <w:pPr>
        <w:spacing w:before="360" w:after="120" w:line="20" w:lineRule="atLeast"/>
        <w:jc w:val="center"/>
        <w:outlineLvl w:val="3"/>
        <w:rPr>
          <w:rFonts w:ascii="Arial" w:hAnsi="Arial" w:cs="Arial"/>
          <w:b/>
        </w:rPr>
      </w:pPr>
      <w:r w:rsidRPr="002D4E99">
        <w:rPr>
          <w:rFonts w:ascii="Arial" w:hAnsi="Arial" w:cs="Arial"/>
          <w:b/>
        </w:rPr>
        <w:t>Článek VI.</w:t>
      </w:r>
      <w:r w:rsidRPr="002D4E99">
        <w:rPr>
          <w:rFonts w:ascii="Arial" w:hAnsi="Arial" w:cs="Arial"/>
          <w:b/>
        </w:rPr>
        <w:br/>
        <w:t>Práva duševního vlastnictví</w:t>
      </w:r>
    </w:p>
    <w:p w:rsidR="00BB2E82" w:rsidRPr="002D4E99" w:rsidP="0091224F" w14:paraId="4A5DAC14"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w:t>
      </w:r>
      <w:r>
        <w:rPr>
          <w:rFonts w:ascii="Arial" w:eastAsia="Calibri" w:hAnsi="Arial" w:cs="Arial"/>
          <w:lang w:eastAsia="cs-CZ"/>
        </w:rPr>
        <w:t xml:space="preserve">ichž užití poskytuje kupujícímu </w:t>
      </w:r>
      <w:r w:rsidRPr="002D4E99">
        <w:rPr>
          <w:rFonts w:ascii="Arial" w:eastAsia="Calibri" w:hAnsi="Arial" w:cs="Arial"/>
          <w:lang w:eastAsia="cs-CZ"/>
        </w:rPr>
        <w:t>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w:t>
      </w:r>
      <w:r>
        <w:rPr>
          <w:rFonts w:ascii="Arial" w:eastAsia="Calibri" w:hAnsi="Arial" w:cs="Arial"/>
          <w:lang w:eastAsia="cs-CZ"/>
        </w:rPr>
        <w:t xml:space="preserve">ady, výdaje, škody a majetkovou </w:t>
      </w:r>
      <w:r w:rsidRPr="002D4E99">
        <w:rPr>
          <w:rFonts w:ascii="Arial" w:eastAsia="Calibri" w:hAnsi="Arial" w:cs="Arial"/>
          <w:lang w:eastAsia="cs-CZ"/>
        </w:rPr>
        <w:t>i nemajetkovou újmu, které kupujícímu vzniknou v důsledku porušení povinností dle předchozí věty.</w:t>
      </w:r>
    </w:p>
    <w:p w:rsidR="00BB2E82" w:rsidRPr="002D4E99" w:rsidP="0091224F" w14:paraId="069F5868" w14:textId="3B921E99">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w:t>
      </w:r>
      <w:r w:rsidR="00C91A6E">
        <w:rPr>
          <w:rFonts w:ascii="Arial" w:eastAsia="Calibri" w:hAnsi="Arial" w:cs="Arial"/>
          <w:lang w:eastAsia="cs-CZ"/>
        </w:rPr>
        <w:t>ne</w:t>
      </w:r>
      <w:r w:rsidRPr="002D4E99">
        <w:rPr>
          <w:rFonts w:ascii="Arial" w:eastAsia="Calibri" w:hAnsi="Arial" w:cs="Arial"/>
          <w:lang w:eastAsia="cs-CZ"/>
        </w:rPr>
        <w:t xml:space="preserve">výhradní právo k užití těchto Předmětů ochrany podle autorského zákona, a to na dobu trvání práva k Předmětům ochrany podle autorského zákona, resp. na zákonnou dobu ochrany. Prodávající touto smlouvou poskytuje kupujícímu oprávnění k výkonu uvedeného </w:t>
      </w:r>
      <w:r w:rsidR="00C91A6E">
        <w:rPr>
          <w:rFonts w:ascii="Arial" w:eastAsia="Calibri" w:hAnsi="Arial" w:cs="Arial"/>
          <w:lang w:eastAsia="cs-CZ"/>
        </w:rPr>
        <w:t>ne</w:t>
      </w:r>
      <w:r w:rsidRPr="002D4E99">
        <w:rPr>
          <w:rFonts w:ascii="Arial" w:eastAsia="Calibri" w:hAnsi="Arial" w:cs="Arial"/>
          <w:lang w:eastAsia="cs-CZ"/>
        </w:rPr>
        <w:t xml:space="preserve">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w:t>
      </w:r>
      <w:r w:rsidRPr="002D4E99">
        <w:rPr>
          <w:rFonts w:ascii="Arial" w:hAnsi="Arial" w:cs="Arial"/>
        </w:rPr>
        <w:t>čl. IV odst. 1</w:t>
      </w:r>
      <w:r w:rsidRPr="002D4E99">
        <w:rPr>
          <w:rFonts w:ascii="Arial" w:eastAsia="Calibri" w:hAnsi="Arial" w:cs="Arial"/>
          <w:lang w:eastAsia="cs-CZ"/>
        </w:rPr>
        <w:t xml:space="preserve"> této smlouvy. </w:t>
      </w:r>
    </w:p>
    <w:p w:rsidR="00BB2E82" w:rsidRPr="002D4E99" w:rsidP="0091224F" w14:paraId="2A0F38CB"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předmětem práv průmyslového vlastnictví, avšak dosud nebyl k ochraně nebo </w:t>
      </w:r>
      <w:r w:rsidRPr="002D4E99">
        <w:rPr>
          <w:rFonts w:ascii="Arial" w:eastAsia="Calibri" w:hAnsi="Arial" w:cs="Arial"/>
          <w:lang w:eastAsia="cs-CZ"/>
        </w:rPr>
        <w:t>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w:t>
      </w:r>
      <w:r w:rsidRPr="002D4E99">
        <w:rPr>
          <w:rFonts w:ascii="Arial" w:eastAsia="Calibri" w:hAnsi="Arial" w:cs="Arial"/>
          <w:lang w:eastAsia="cs-CZ"/>
        </w:rPr>
        <w:br/>
        <w:t>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w:t>
      </w:r>
      <w:r>
        <w:rPr>
          <w:rFonts w:ascii="Arial" w:eastAsia="Calibri" w:hAnsi="Arial" w:cs="Arial"/>
          <w:lang w:eastAsia="cs-CZ"/>
        </w:rPr>
        <w:t xml:space="preserve">rmovat. Dohodou smluvních stran </w:t>
      </w:r>
      <w:r w:rsidRPr="002D4E99">
        <w:rPr>
          <w:rFonts w:ascii="Arial" w:eastAsia="Calibri" w:hAnsi="Arial" w:cs="Arial"/>
          <w:lang w:eastAsia="cs-CZ"/>
        </w:rPr>
        <w:t>se stanoví, že cena za převod práv k Nezapsaným předmětům průmyslových práv je součástí ceny dle </w:t>
      </w:r>
      <w:r w:rsidRPr="002D4E99">
        <w:rPr>
          <w:rFonts w:ascii="Arial" w:hAnsi="Arial" w:cs="Arial"/>
        </w:rPr>
        <w:t>čl. IV odst. 1 této smlouvy</w:t>
      </w:r>
      <w:r w:rsidRPr="002D4E99">
        <w:rPr>
          <w:rFonts w:ascii="Arial" w:eastAsia="Calibri" w:hAnsi="Arial" w:cs="Arial"/>
          <w:lang w:eastAsia="cs-CZ"/>
        </w:rPr>
        <w:t>.</w:t>
      </w:r>
    </w:p>
    <w:p w:rsidR="00BB2E82" w:rsidRPr="002D4E99" w:rsidP="0091224F" w14:paraId="25028144" w14:textId="2E7003C1">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 okamžiku předání díla podle této smlouvy k Zapsaným předmětům průmyslových práv </w:t>
      </w:r>
      <w:r w:rsidR="00C91A6E">
        <w:rPr>
          <w:rFonts w:ascii="Arial" w:eastAsia="Calibri" w:hAnsi="Arial" w:cs="Arial"/>
          <w:lang w:eastAsia="cs-CZ"/>
        </w:rPr>
        <w:t>ne</w:t>
      </w:r>
      <w:r w:rsidRPr="002D4E99">
        <w:rPr>
          <w:rFonts w:ascii="Arial" w:eastAsia="Calibri" w:hAnsi="Arial" w:cs="Arial"/>
          <w:lang w:eastAsia="cs-CZ"/>
        </w:rPr>
        <w:t xml:space="preserve">výhradní  právo k užití těchto Zapsaných předmětů průmyslových práv, a to pro území celého světa včetně České republiky. Prodávající touto smlouvou opravňuje kupujícího k výkonu uvedených </w:t>
      </w:r>
      <w:r w:rsidR="00C91A6E">
        <w:rPr>
          <w:rFonts w:ascii="Arial" w:eastAsia="Calibri" w:hAnsi="Arial" w:cs="Arial"/>
          <w:lang w:eastAsia="cs-CZ"/>
        </w:rPr>
        <w:t>ne</w:t>
      </w:r>
      <w:r w:rsidRPr="002D4E99">
        <w:rPr>
          <w:rFonts w:ascii="Arial" w:eastAsia="Calibri" w:hAnsi="Arial" w:cs="Arial"/>
          <w:lang w:eastAsia="cs-CZ"/>
        </w:rPr>
        <w:t xml:space="preserve">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 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w:t>
      </w:r>
      <w:r w:rsidRPr="002D4E99">
        <w:rPr>
          <w:rFonts w:ascii="Arial" w:hAnsi="Arial" w:cs="Arial"/>
        </w:rPr>
        <w:t>dle čl. IV odst. 1 této smlouvy</w:t>
      </w:r>
      <w:r w:rsidRPr="002D4E99">
        <w:rPr>
          <w:rFonts w:ascii="Arial" w:eastAsia="Calibri" w:hAnsi="Arial" w:cs="Arial"/>
          <w:lang w:eastAsia="cs-CZ"/>
        </w:rPr>
        <w:t>.</w:t>
      </w:r>
    </w:p>
    <w:p w:rsidR="00BB2E82" w:rsidRPr="002D4E99" w:rsidP="0091224F" w14:paraId="6C25C60C"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 oprávněn zejména Ostatní předměty duševního vlastnictví neomezeně využívat na území celého světa včetně České republiky. Toto právo kupujícího k Ostatním </w:t>
      </w:r>
      <w:r>
        <w:rPr>
          <w:rFonts w:ascii="Arial" w:eastAsia="Calibri" w:hAnsi="Arial" w:cs="Arial"/>
          <w:lang w:eastAsia="cs-CZ"/>
        </w:rPr>
        <w:t xml:space="preserve">předmětům duševního vlastnictví </w:t>
      </w:r>
      <w:r w:rsidRPr="002D4E99">
        <w:rPr>
          <w:rFonts w:ascii="Arial" w:eastAsia="Calibri" w:hAnsi="Arial" w:cs="Arial"/>
          <w:lang w:eastAsia="cs-CZ"/>
        </w:rPr>
        <w:t xml:space="preserve">se automaticky vztahuje i na všechny nové verze a úpravy Ostatních předmětů duševního vlastnictví dodaných prodávajícím. Prodávající je o takovémto výtvoru povinen kupujícího neprodleně informovat. Dohodou smluvních stran se stanoví, že cena za užití Ostatních předmětů duševního vlastnictví dle tohoto odstavce je součástí ceny dle </w:t>
      </w:r>
      <w:r w:rsidRPr="002D4E99">
        <w:rPr>
          <w:rFonts w:ascii="Arial" w:hAnsi="Arial" w:cs="Arial"/>
        </w:rPr>
        <w:t>čl. IV odst. 1</w:t>
      </w:r>
      <w:r w:rsidRPr="002D4E99">
        <w:rPr>
          <w:rFonts w:ascii="Arial" w:eastAsia="Calibri" w:hAnsi="Arial" w:cs="Arial"/>
          <w:lang w:eastAsia="cs-CZ"/>
        </w:rPr>
        <w:t xml:space="preserve"> této smlouvy.</w:t>
      </w:r>
    </w:p>
    <w:p w:rsidR="00BB2E82" w:rsidRPr="002D4E99" w:rsidP="0091224F" w14:paraId="002BAAFB"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na kupujícího, přičemž výše odměny za postoupení je již zahrnuta v ceně </w:t>
      </w:r>
      <w:r w:rsidRPr="002D4E99">
        <w:rPr>
          <w:rFonts w:ascii="Arial" w:hAnsi="Arial" w:cs="Arial"/>
        </w:rPr>
        <w:t>dle čl. IV odst. 1 této smlouvy</w:t>
      </w:r>
      <w:r w:rsidRPr="002D4E99">
        <w:rPr>
          <w:rFonts w:ascii="Arial" w:eastAsia="Calibri" w:hAnsi="Arial" w:cs="Arial"/>
          <w:lang w:eastAsia="cs-CZ"/>
        </w:rPr>
        <w:t xml:space="preserve">.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kupující jako dále postupitelné. Kupující je tak především oprávněn dílo i jeho části bez dalšího sám jakýmkoli způsobem užít v původní, </w:t>
      </w:r>
      <w:r w:rsidRPr="002D4E99">
        <w:rPr>
          <w:rFonts w:ascii="Arial" w:eastAsia="Calibri" w:hAnsi="Arial" w:cs="Arial"/>
          <w:lang w:eastAsia="cs-CZ"/>
        </w:rPr>
        <w:t>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BB2E82" w:rsidP="0091224F" w14:paraId="264B12F6" w14:textId="64C71391">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je povinen předat kupujícímu bezodkladně veškeré informace, doklady </w:t>
      </w:r>
      <w:r w:rsidRPr="002D4E99">
        <w:rPr>
          <w:rFonts w:ascii="Arial" w:eastAsia="Calibri" w:hAnsi="Arial" w:cs="Arial"/>
          <w:lang w:eastAsia="cs-CZ"/>
        </w:rPr>
        <w:br/>
        <w:t>a dokumentaci potřebné pro výkon práv dle tohoto článku.</w:t>
      </w:r>
    </w:p>
    <w:p w:rsidR="00BB2E82" w:rsidRPr="002D4E99" w:rsidP="00157A05" w14:paraId="29232E8D" w14:textId="30D55DE7">
      <w:pPr>
        <w:spacing w:before="360" w:after="120" w:line="20" w:lineRule="atLeast"/>
        <w:jc w:val="center"/>
        <w:outlineLvl w:val="3"/>
        <w:rPr>
          <w:rFonts w:ascii="Arial" w:hAnsi="Arial" w:cs="Arial"/>
          <w:b/>
        </w:rPr>
      </w:pPr>
      <w:r w:rsidRPr="002D4E99">
        <w:rPr>
          <w:rFonts w:ascii="Arial" w:hAnsi="Arial" w:cs="Arial"/>
          <w:b/>
        </w:rPr>
        <w:t>Článek VII.</w:t>
      </w:r>
      <w:r w:rsidRPr="002D4E99">
        <w:rPr>
          <w:rFonts w:ascii="Arial" w:hAnsi="Arial" w:cs="Arial"/>
          <w:b/>
        </w:rPr>
        <w:br/>
        <w:t>S</w:t>
      </w:r>
      <w:r w:rsidR="00CC4099">
        <w:rPr>
          <w:rFonts w:ascii="Arial" w:hAnsi="Arial" w:cs="Arial"/>
          <w:b/>
        </w:rPr>
        <w:t>leva, s</w:t>
      </w:r>
      <w:r w:rsidRPr="002D4E99">
        <w:rPr>
          <w:rFonts w:ascii="Arial" w:hAnsi="Arial" w:cs="Arial"/>
          <w:b/>
        </w:rPr>
        <w:t>mluvní pokuta, úrok z prodlení</w:t>
      </w:r>
    </w:p>
    <w:p w:rsidR="00543DDA" w:rsidP="00CC4099" w14:paraId="45BDAE84" w14:textId="21286313">
      <w:pPr>
        <w:numPr>
          <w:ilvl w:val="0"/>
          <w:numId w:val="9"/>
        </w:numPr>
        <w:tabs>
          <w:tab w:val="clear" w:pos="720"/>
        </w:tabs>
        <w:spacing w:before="120" w:after="120" w:line="20" w:lineRule="atLeast"/>
        <w:ind w:left="426" w:hanging="426"/>
        <w:jc w:val="both"/>
        <w:rPr>
          <w:rFonts w:ascii="Arial" w:hAnsi="Arial" w:cs="Arial"/>
        </w:rPr>
      </w:pPr>
      <w:r w:rsidRPr="00543DDA">
        <w:rPr>
          <w:rFonts w:ascii="Arial" w:hAnsi="Arial" w:cs="Arial"/>
        </w:rPr>
        <w:t xml:space="preserve">V případě prodlení prodávajícího s předáním plnění, a to i v případě jeho nepřevzetí kupujícím z titulu jeho vad je kupující oprávněn účtovat prodávajícímu slevu ve výši </w:t>
      </w:r>
      <w:r w:rsidR="00773A68">
        <w:rPr>
          <w:rFonts w:ascii="Arial" w:hAnsi="Arial" w:cs="Arial"/>
        </w:rPr>
        <w:t>0,5</w:t>
      </w:r>
      <w:r w:rsidRPr="00543DDA">
        <w:rPr>
          <w:rFonts w:ascii="Arial" w:hAnsi="Arial" w:cs="Arial"/>
        </w:rPr>
        <w:t xml:space="preserve"> % z celkové ceny vč. DPH dle čl. IV odst. 1 této smlouvy za každý započatý den prodlení, max. však do celkové výše 10 % z ceny plnění.</w:t>
      </w:r>
    </w:p>
    <w:p w:rsidR="00543DDA" w:rsidP="00CC4099" w14:paraId="18DCC8E2" w14:textId="7EFCECEA">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nedodrží lhůtu pro odstranění vad zboží dle č</w:t>
      </w:r>
      <w:r w:rsidR="00057B46">
        <w:rPr>
          <w:rFonts w:ascii="Arial" w:hAnsi="Arial" w:cs="Arial"/>
        </w:rPr>
        <w:t>l. III odst. 7</w:t>
      </w:r>
      <w:r w:rsidRPr="002D4E99">
        <w:rPr>
          <w:rFonts w:ascii="Arial" w:hAnsi="Arial" w:cs="Arial"/>
        </w:rPr>
        <w:t xml:space="preserve"> této smlouvy je povinen zaplatit kupujícímu smluvní pokutu ve výši 0,05 % z celkové ceny vč. DPH dle čl. IV odst. 1 této smlouvy za každý započatý den prodlení.</w:t>
      </w:r>
    </w:p>
    <w:p w:rsidR="00543DDA" w:rsidP="00CC4099" w14:paraId="69135227" w14:textId="47C4E00D">
      <w:pPr>
        <w:numPr>
          <w:ilvl w:val="0"/>
          <w:numId w:val="9"/>
        </w:numPr>
        <w:tabs>
          <w:tab w:val="num" w:pos="426"/>
        </w:tabs>
        <w:spacing w:before="120" w:after="120" w:line="20" w:lineRule="atLeast"/>
        <w:ind w:left="426" w:hanging="426"/>
        <w:jc w:val="both"/>
        <w:rPr>
          <w:rFonts w:ascii="Arial" w:hAnsi="Arial" w:cs="Arial"/>
        </w:rPr>
      </w:pPr>
      <w:r w:rsidRPr="00543DDA">
        <w:rPr>
          <w:rFonts w:ascii="Arial" w:hAnsi="Arial" w:cs="Arial"/>
        </w:rPr>
        <w:t>V případě, že prodávající nedodrží lhůty p</w:t>
      </w:r>
      <w:r w:rsidR="00577E69">
        <w:rPr>
          <w:rFonts w:ascii="Arial" w:hAnsi="Arial" w:cs="Arial"/>
        </w:rPr>
        <w:t xml:space="preserve">ro poskytování servisní podpory </w:t>
      </w:r>
      <w:r w:rsidRPr="00543DDA">
        <w:rPr>
          <w:rFonts w:ascii="Arial" w:hAnsi="Arial" w:cs="Arial"/>
        </w:rPr>
        <w:t>dle čl. III odst. 6 písm. a) této smlouvy, je povinen zaplatit kupujícímu smluvní pokutu ve výši 0,05 % z celkové ceny za poskytování servisní podpory vč. DPH dle čl. IV odst. 1 této smlouvy za každý započatý den prodlení.</w:t>
      </w:r>
    </w:p>
    <w:p w:rsidR="00543DDA" w:rsidRPr="00543DDA" w:rsidP="00CC4099" w14:paraId="25438A05" w14:textId="77777777">
      <w:pPr>
        <w:numPr>
          <w:ilvl w:val="0"/>
          <w:numId w:val="9"/>
        </w:numPr>
        <w:tabs>
          <w:tab w:val="num" w:pos="426"/>
        </w:tabs>
        <w:spacing w:before="120" w:after="120" w:line="20" w:lineRule="atLeast"/>
        <w:ind w:left="426" w:hanging="426"/>
        <w:jc w:val="both"/>
        <w:rPr>
          <w:rFonts w:ascii="Arial" w:hAnsi="Arial" w:cs="Arial"/>
        </w:rPr>
      </w:pPr>
      <w:r w:rsidRPr="00543DDA">
        <w:rPr>
          <w:rFonts w:ascii="Arial" w:hAnsi="Arial" w:cs="Arial"/>
        </w:rPr>
        <w:t xml:space="preserve">V případě, že prodávající poruší jakoukoliv povinnost při poskytování servisní podpory dle čl. III odst. 6 písm. </w:t>
      </w:r>
      <w:r w:rsidRPr="00534518">
        <w:rPr>
          <w:rFonts w:ascii="Arial" w:hAnsi="Arial" w:cs="Arial"/>
        </w:rPr>
        <w:t>b), c) nebo d)</w:t>
      </w:r>
      <w:r w:rsidRPr="00543DDA">
        <w:rPr>
          <w:rFonts w:ascii="Arial" w:hAnsi="Arial" w:cs="Arial"/>
        </w:rPr>
        <w:t xml:space="preserve"> této smlouvy, je povinen zaplatit kupujícímu smluvní pokutu ve výši 1000 Kč za každé jednotlivé porušení.</w:t>
      </w:r>
    </w:p>
    <w:p w:rsidR="00BB2E82" w:rsidRPr="002D4E99" w:rsidP="00CC4099" w14:paraId="2B12B237"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poruší jakoukoliv povinnost uvedenou v čl. V této smlouvy, je povinen zaplatit kupujícímu smluvní pokutu ve výši 5.000 Kč za každý jednotlivý případ.</w:t>
      </w:r>
    </w:p>
    <w:p w:rsidR="00BB2E82" w:rsidRPr="002D4E99" w:rsidP="00CC4099" w14:paraId="074BBE00"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poruší jakoukoliv povinnost uvedenou v čl. VI této smlouvy, je povinen zaplatit kupujícímu smluvní pokutu ve výši 2.000 Kč za každý jednotlivý případ.</w:t>
      </w:r>
    </w:p>
    <w:p w:rsidR="00BB2E82" w:rsidRPr="002D4E99" w:rsidP="00CC4099" w14:paraId="7FC4CD8E"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prodlení kupujícího se zaplacením faktury prodávajícího je prodávající oprávněn účtovat mu úroky z prodlení v zákonné výši z dlužné částky za každý započatý den prodlení.</w:t>
      </w:r>
    </w:p>
    <w:p w:rsidR="00BB2E82" w:rsidRPr="002D4E99" w:rsidP="0091224F" w14:paraId="3C0EAC55" w14:textId="77777777">
      <w:pPr>
        <w:numPr>
          <w:ilvl w:val="0"/>
          <w:numId w:val="9"/>
        </w:numPr>
        <w:tabs>
          <w:tab w:val="num" w:pos="426"/>
        </w:tabs>
        <w:spacing w:before="120" w:after="120" w:line="20" w:lineRule="atLeast"/>
        <w:ind w:left="425" w:hanging="425"/>
        <w:jc w:val="both"/>
        <w:rPr>
          <w:rFonts w:ascii="Arial" w:hAnsi="Arial" w:cs="Arial"/>
        </w:rPr>
      </w:pPr>
      <w:r w:rsidRPr="002D4E99">
        <w:rPr>
          <w:rFonts w:ascii="Arial" w:hAnsi="Arial" w:cs="Arial"/>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BB2E82" w:rsidRPr="002D4E99" w:rsidP="0091224F" w14:paraId="19F61A83" w14:textId="77777777">
      <w:pPr>
        <w:numPr>
          <w:ilvl w:val="0"/>
          <w:numId w:val="9"/>
        </w:numPr>
        <w:tabs>
          <w:tab w:val="num" w:pos="426"/>
        </w:tabs>
        <w:spacing w:before="120" w:after="120" w:line="20" w:lineRule="atLeast"/>
        <w:ind w:left="425" w:hanging="425"/>
        <w:jc w:val="both"/>
        <w:rPr>
          <w:rFonts w:ascii="Arial" w:hAnsi="Arial" w:cs="Arial"/>
        </w:rPr>
      </w:pPr>
      <w:r w:rsidRPr="002D4E99">
        <w:rPr>
          <w:rFonts w:ascii="Arial" w:hAnsi="Arial" w:cs="Arial"/>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BB2E82" w:rsidRPr="002D4E99" w:rsidP="0091224F" w14:paraId="1163E112" w14:textId="77777777">
      <w:pPr>
        <w:numPr>
          <w:ilvl w:val="0"/>
          <w:numId w:val="9"/>
        </w:numPr>
        <w:tabs>
          <w:tab w:val="num" w:pos="0"/>
        </w:tabs>
        <w:spacing w:before="120" w:after="120" w:line="240" w:lineRule="auto"/>
        <w:ind w:left="426" w:hanging="426"/>
        <w:jc w:val="both"/>
        <w:rPr>
          <w:rFonts w:ascii="Arial" w:eastAsia="Calibri" w:hAnsi="Arial" w:cs="Arial"/>
        </w:rPr>
      </w:pPr>
      <w:r w:rsidRPr="002D4E99">
        <w:rPr>
          <w:rFonts w:ascii="Arial" w:eastAsia="Calibri" w:hAnsi="Arial" w:cs="Arial"/>
        </w:rPr>
        <w:t xml:space="preserve">Celková výše smluvních pokut není omezena jakýmkoliv limitem a smluvní pokuty mohou být kombinovány (tzn., že uplatnění jedné smluvní pokuty nevylučuje souběžné uplatnění jakékoliv jiné smluvní pokuty). </w:t>
      </w:r>
    </w:p>
    <w:p w:rsidR="00BB2E82" w:rsidP="007A59FE" w14:paraId="3FBE1BF9" w14:textId="1D3CC62D">
      <w:pPr>
        <w:pStyle w:val="ListParagraph"/>
        <w:numPr>
          <w:ilvl w:val="0"/>
          <w:numId w:val="9"/>
        </w:numPr>
        <w:tabs>
          <w:tab w:val="num" w:pos="284"/>
          <w:tab w:val="clear" w:pos="720"/>
        </w:tabs>
        <w:spacing w:line="240" w:lineRule="auto"/>
        <w:ind w:left="426" w:hanging="426"/>
        <w:contextualSpacing w:val="0"/>
        <w:jc w:val="both"/>
        <w:rPr>
          <w:rFonts w:ascii="Arial" w:hAnsi="Arial" w:cs="Arial"/>
        </w:rPr>
      </w:pPr>
      <w:r w:rsidRPr="0091224F">
        <w:rPr>
          <w:rFonts w:ascii="Arial" w:hAnsi="Arial" w:cs="Arial"/>
        </w:rPr>
        <w:t>Zaplacením smluvní pokuty, resp. poskytnutí slevy z ceny není j</w:t>
      </w:r>
      <w:r>
        <w:rPr>
          <w:rFonts w:ascii="Arial" w:hAnsi="Arial" w:cs="Arial"/>
        </w:rPr>
        <w:t>akkoliv dotčen nárok kupujícího</w:t>
      </w:r>
      <w:r w:rsidRPr="0091224F">
        <w:rPr>
          <w:rFonts w:ascii="Arial" w:hAnsi="Arial" w:cs="Arial"/>
        </w:rPr>
        <w:t xml:space="preserve"> na náhradu škody a nemajetkové újmy přesahující výši smluvní pokuty, případně výši poskytnuté slevy z ceny plnění. Zaplacením smluvní pokuty za porušení smluvní</w:t>
      </w:r>
      <w:r w:rsidR="007A59FE">
        <w:rPr>
          <w:rFonts w:ascii="Arial" w:hAnsi="Arial" w:cs="Arial"/>
        </w:rPr>
        <w:t>ho závazku není prodávající</w:t>
      </w:r>
      <w:r w:rsidRPr="0091224F">
        <w:rPr>
          <w:rFonts w:ascii="Arial" w:hAnsi="Arial" w:cs="Arial"/>
        </w:rPr>
        <w:t xml:space="preserve"> zbaven povinnosti svůj závazek splnit. </w:t>
      </w:r>
    </w:p>
    <w:p w:rsidR="0018475C" w:rsidRPr="007A59FE" w:rsidP="0018475C" w14:paraId="3F8B5D47" w14:textId="77777777">
      <w:pPr>
        <w:pStyle w:val="ListParagraph"/>
        <w:spacing w:line="240" w:lineRule="auto"/>
        <w:ind w:left="426"/>
        <w:contextualSpacing w:val="0"/>
        <w:jc w:val="both"/>
        <w:rPr>
          <w:rFonts w:ascii="Arial" w:hAnsi="Arial" w:cs="Arial"/>
        </w:rPr>
      </w:pPr>
    </w:p>
    <w:p w:rsidR="00BB2E82" w:rsidRPr="002D4E99" w:rsidP="00BB2E82" w14:paraId="78191D4A" w14:textId="77777777">
      <w:pPr>
        <w:spacing w:before="360" w:after="120" w:line="20" w:lineRule="atLeast"/>
        <w:jc w:val="center"/>
        <w:outlineLvl w:val="3"/>
        <w:rPr>
          <w:rFonts w:ascii="Arial" w:hAnsi="Arial" w:cs="Arial"/>
          <w:b/>
        </w:rPr>
      </w:pPr>
      <w:r w:rsidRPr="002D4E99">
        <w:rPr>
          <w:rFonts w:ascii="Arial" w:hAnsi="Arial" w:cs="Arial"/>
          <w:b/>
        </w:rPr>
        <w:t>Článek VIII.</w:t>
      </w:r>
      <w:r w:rsidRPr="002D4E99">
        <w:rPr>
          <w:rFonts w:ascii="Arial" w:hAnsi="Arial" w:cs="Arial"/>
          <w:b/>
        </w:rPr>
        <w:br/>
        <w:t>Ukončení smluvního vztahu</w:t>
      </w:r>
    </w:p>
    <w:p w:rsidR="00BB2E82" w:rsidRPr="002D4E99" w:rsidP="00BB2E82" w14:paraId="768597B1"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Smluvní vztah vzniklý na základě této smlouvy lze ukončit těmito způsoby:</w:t>
      </w:r>
    </w:p>
    <w:p w:rsidR="00BB2E82" w:rsidRPr="002D4E99" w:rsidP="00BB2E82" w14:paraId="7E194C38" w14:textId="77777777">
      <w:pPr>
        <w:numPr>
          <w:ilvl w:val="0"/>
          <w:numId w:val="4"/>
        </w:numPr>
        <w:tabs>
          <w:tab w:val="num" w:pos="851"/>
          <w:tab w:val="num" w:pos="9716"/>
        </w:tabs>
        <w:spacing w:after="12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odstoupením od smlouvy </w:t>
      </w:r>
    </w:p>
    <w:p w:rsidR="00BB2E82" w:rsidRPr="002D4E99" w:rsidP="0091224F" w14:paraId="2B8E0857" w14:textId="77777777">
      <w:pPr>
        <w:numPr>
          <w:ilvl w:val="2"/>
          <w:numId w:val="4"/>
        </w:numPr>
        <w:tabs>
          <w:tab w:val="left" w:pos="1276"/>
          <w:tab w:val="num" w:pos="2160"/>
        </w:tabs>
        <w:spacing w:after="60" w:line="20" w:lineRule="atLeast"/>
        <w:ind w:left="1276" w:hanging="283"/>
        <w:jc w:val="both"/>
        <w:rPr>
          <w:rFonts w:ascii="Arial" w:eastAsia="Calibri" w:hAnsi="Arial" w:cs="Arial"/>
          <w:lang w:eastAsia="cs-CZ"/>
        </w:rPr>
      </w:pPr>
      <w:r w:rsidRPr="002D4E99">
        <w:rPr>
          <w:rFonts w:ascii="Arial" w:eastAsia="Calibri" w:hAnsi="Arial" w:cs="Arial"/>
          <w:lang w:eastAsia="cs-CZ"/>
        </w:rPr>
        <w:t>za podmínek uvedených v § 2002 a násl. občanského zákoníku v případě porušení smlouvy druhou smluvní stranou podstatným způsobem;</w:t>
      </w:r>
    </w:p>
    <w:p w:rsidR="00BB2E82" w:rsidRPr="002D4E99" w:rsidP="00CC4099" w14:paraId="02E2BF29" w14:textId="77777777">
      <w:pPr>
        <w:numPr>
          <w:ilvl w:val="2"/>
          <w:numId w:val="4"/>
        </w:numPr>
        <w:tabs>
          <w:tab w:val="left" w:pos="1276"/>
          <w:tab w:val="num" w:pos="2160"/>
        </w:tabs>
        <w:spacing w:after="120" w:line="20" w:lineRule="atLeast"/>
        <w:ind w:left="1276" w:hanging="284"/>
        <w:jc w:val="both"/>
        <w:rPr>
          <w:rFonts w:ascii="Arial" w:eastAsia="Calibri" w:hAnsi="Arial" w:cs="Arial"/>
          <w:lang w:eastAsia="cs-CZ"/>
        </w:rPr>
      </w:pPr>
      <w:r w:rsidRPr="002D4E99">
        <w:rPr>
          <w:rFonts w:ascii="Arial" w:eastAsia="Calibri" w:hAnsi="Arial" w:cs="Arial"/>
          <w:lang w:eastAsia="cs-CZ"/>
        </w:rPr>
        <w:t>v případech, které si smluvní strany ujednaly v této smlouvě;</w:t>
      </w:r>
    </w:p>
    <w:p w:rsidR="00BB2E82" w:rsidRPr="002D4E99" w:rsidP="00BB2E82" w14:paraId="4FCC3B4B" w14:textId="77777777">
      <w:pPr>
        <w:numPr>
          <w:ilvl w:val="0"/>
          <w:numId w:val="4"/>
        </w:numPr>
        <w:tabs>
          <w:tab w:val="num" w:pos="851"/>
          <w:tab w:val="num" w:pos="9716"/>
        </w:tabs>
        <w:spacing w:after="240" w:line="20" w:lineRule="atLeast"/>
        <w:ind w:left="850" w:hanging="425"/>
        <w:jc w:val="both"/>
        <w:rPr>
          <w:rFonts w:ascii="Arial" w:eastAsia="Calibri" w:hAnsi="Arial" w:cs="Arial"/>
          <w:lang w:eastAsia="cs-CZ"/>
        </w:rPr>
      </w:pPr>
      <w:r w:rsidRPr="002D4E99">
        <w:rPr>
          <w:rFonts w:ascii="Arial" w:eastAsia="Calibri" w:hAnsi="Arial" w:cs="Arial"/>
          <w:lang w:eastAsia="cs-CZ"/>
        </w:rPr>
        <w:t>dohodou smluvních stran.</w:t>
      </w:r>
    </w:p>
    <w:p w:rsidR="00BB2E82" w:rsidRPr="002D4E99" w:rsidP="00BB2E82" w14:paraId="690B9D50"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Kupující je oprávněn od smlouvy odstoupit v případě:</w:t>
      </w:r>
    </w:p>
    <w:p w:rsidR="00BB2E82" w:rsidRPr="002D4E99" w:rsidP="00BB2E82" w14:paraId="7D9EFA93" w14:textId="77777777">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prodlení prodávajícího s předáním zboží delšího než 15 dnů, a to i v případě nepřevzetí zboží kupujícím z titulu jeho vad, </w:t>
      </w:r>
    </w:p>
    <w:p w:rsidR="00BB2E82" w:rsidRPr="002D4E99" w:rsidP="00BB2E82" w14:paraId="56FFC48C" w14:textId="5643D6E4">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prodlení prodávajícího s odstraněním vad zboží dle čl. III odst. </w:t>
      </w:r>
      <w:r w:rsidR="001E3A2C">
        <w:rPr>
          <w:rFonts w:ascii="Arial" w:eastAsia="Calibri" w:hAnsi="Arial" w:cs="Arial"/>
          <w:lang w:eastAsia="cs-CZ"/>
        </w:rPr>
        <w:t xml:space="preserve">7 </w:t>
      </w:r>
      <w:r w:rsidRPr="002D4E99">
        <w:rPr>
          <w:rFonts w:ascii="Arial" w:eastAsia="Calibri" w:hAnsi="Arial" w:cs="Arial"/>
          <w:lang w:eastAsia="cs-CZ"/>
        </w:rPr>
        <w:t>této smlouvy, delšího než 10 dnů,</w:t>
      </w:r>
    </w:p>
    <w:p w:rsidR="00BB2E82" w:rsidRPr="002D4E99" w:rsidP="00BB2E82" w14:paraId="2D242579" w14:textId="77777777">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uplatní-li řádně a včas u prodávajícího své požadavky nebo připomínky související s plnění předmětu smlouvy a prodávající je bez vážného důvodu neakceptuje nebo podle nich nepostupuje,</w:t>
      </w:r>
    </w:p>
    <w:p w:rsidR="00BB2E82" w:rsidRPr="002D4E99" w:rsidP="00BB2E82" w14:paraId="5EBE5B09" w14:textId="518CDB72">
      <w:pPr>
        <w:numPr>
          <w:ilvl w:val="0"/>
          <w:numId w:val="11"/>
        </w:numPr>
        <w:tabs>
          <w:tab w:val="clear" w:pos="720"/>
          <w:tab w:val="num" w:pos="851"/>
          <w:tab w:val="num" w:pos="993"/>
        </w:tabs>
        <w:spacing w:after="120" w:line="20" w:lineRule="atLeast"/>
        <w:ind w:left="850" w:hanging="425"/>
        <w:jc w:val="both"/>
        <w:rPr>
          <w:rFonts w:ascii="Arial" w:eastAsia="Calibri" w:hAnsi="Arial" w:cs="Arial"/>
          <w:lang w:eastAsia="cs-CZ"/>
        </w:rPr>
      </w:pPr>
      <w:r w:rsidRPr="002D4E99">
        <w:rPr>
          <w:rFonts w:ascii="Arial" w:eastAsia="Calibri" w:hAnsi="Arial" w:cs="Arial"/>
          <w:lang w:eastAsia="cs-CZ"/>
        </w:rPr>
        <w:t>zjistí-li po předání zboží, že nemá vlastnosti uvedené v nabídce prodávajícího podané v</w:t>
      </w:r>
      <w:r w:rsidR="001E3A2C">
        <w:rPr>
          <w:rFonts w:ascii="Arial" w:eastAsia="Calibri" w:hAnsi="Arial" w:cs="Arial"/>
          <w:lang w:eastAsia="cs-CZ"/>
        </w:rPr>
        <w:t xml:space="preserve">  zadávacím</w:t>
      </w:r>
      <w:r w:rsidRPr="002D4E99">
        <w:rPr>
          <w:rFonts w:ascii="Arial" w:eastAsia="Calibri" w:hAnsi="Arial" w:cs="Arial"/>
          <w:lang w:eastAsia="cs-CZ"/>
        </w:rPr>
        <w:t xml:space="preserve"> řízení, v němž byla jeho nabídka vybrána jako nejvýhodnější, nebo že nemá vlastnosti požadované dle této smlouvy a její přílohy č. 1.</w:t>
      </w:r>
    </w:p>
    <w:p w:rsidR="00BB2E82" w:rsidRPr="002D4E99" w:rsidP="00BB2E82" w14:paraId="47B75E6E"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je oprávněn od smlouvy odstoupit v případě prodlení kupujícího se zaplacením kupní ceny delšího 15 dnů po splatnosti. </w:t>
      </w:r>
    </w:p>
    <w:p w:rsidR="00BB2E82" w:rsidRPr="002D4E99" w:rsidP="00BB2E82" w14:paraId="60AE8CF5"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Účinky odstoupení od smlouvy nastávají okamžikem doručení písemného projevu vůle odstoupit od této smlouvy druhé smluvní straně. </w:t>
      </w:r>
      <w:r w:rsidRPr="002D4E99">
        <w:rPr>
          <w:rFonts w:ascii="Arial" w:hAnsi="Arial" w:cs="Arial"/>
        </w:rPr>
        <w:t>Pro případ pochybností o doručení odstoupení se sjednává, že se odstoupení považuje za doručené druhé straně třetím dnem od podání zásilky k poštovní přepravě.</w:t>
      </w:r>
    </w:p>
    <w:p w:rsidR="00BB2E82" w:rsidRPr="002D4E99" w:rsidP="00BB2E82" w14:paraId="23627B88"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Odstoupením od smlouvy není dotčen nárok na zaplacení sjednaných smluvních pokut nebo úroku z prodlení ani případný nárok na náhradu škody.</w:t>
      </w:r>
    </w:p>
    <w:p w:rsidR="00BB2E82" w:rsidRPr="002D4E99" w:rsidP="00BB2E82" w14:paraId="1429D2CC"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Práva a povinnosti smluvních stran, z jejichž povahy je zřejmé, že mají být zachována i po splnění závazků z této smlouvy vyplývajících, zůstávají zachována i po zániku těchto závazků.</w:t>
      </w:r>
    </w:p>
    <w:p w:rsidR="00BB2E82" w:rsidRPr="00014394" w:rsidP="00BB2E82" w14:paraId="23888D0A" w14:textId="77777777">
      <w:pPr>
        <w:tabs>
          <w:tab w:val="left" w:pos="426"/>
        </w:tabs>
        <w:spacing w:before="360" w:after="120" w:line="20" w:lineRule="atLeast"/>
        <w:jc w:val="center"/>
        <w:outlineLvl w:val="3"/>
        <w:rPr>
          <w:rFonts w:ascii="Arial" w:hAnsi="Arial" w:cs="Arial"/>
          <w:b/>
        </w:rPr>
      </w:pPr>
      <w:r w:rsidRPr="002D4E99">
        <w:rPr>
          <w:rFonts w:ascii="Arial" w:hAnsi="Arial" w:cs="Arial"/>
          <w:b/>
        </w:rPr>
        <w:t>Článek VIII.</w:t>
      </w:r>
      <w:r w:rsidRPr="002D4E99">
        <w:rPr>
          <w:rFonts w:ascii="Arial" w:hAnsi="Arial" w:cs="Arial"/>
          <w:b/>
        </w:rPr>
        <w:br/>
      </w:r>
      <w:r w:rsidRPr="00014394">
        <w:rPr>
          <w:rFonts w:ascii="Arial" w:hAnsi="Arial" w:cs="Arial"/>
          <w:b/>
        </w:rPr>
        <w:t>Vyšší moc</w:t>
      </w:r>
    </w:p>
    <w:p w:rsidR="00BB2E82" w:rsidRPr="00EB6205" w:rsidP="00BB2E82" w14:paraId="48978390" w14:textId="77777777">
      <w:pPr>
        <w:numPr>
          <w:ilvl w:val="0"/>
          <w:numId w:val="15"/>
        </w:numPr>
        <w:tabs>
          <w:tab w:val="clear" w:pos="720"/>
        </w:tabs>
        <w:spacing w:after="120" w:line="20" w:lineRule="atLeast"/>
        <w:ind w:left="426" w:hanging="426"/>
        <w:jc w:val="both"/>
        <w:rPr>
          <w:rFonts w:ascii="Arial" w:eastAsia="Calibri" w:hAnsi="Arial" w:cs="Arial"/>
          <w:lang w:eastAsia="cs-CZ"/>
        </w:rPr>
      </w:pPr>
      <w:r w:rsidRPr="00EB6205">
        <w:rPr>
          <w:rFonts w:ascii="Arial" w:eastAsia="Calibri" w:hAnsi="Arial" w:cs="Arial"/>
          <w:lang w:eastAsia="cs-CZ"/>
        </w:rPr>
        <w:t>Smluvní strany jsou zproštěny odpovědnosti za částečné nebo úplné neplnění smluvních závazků, jestliže k němu došlo v důsledku vyšší moci. Za vyšší moc se pro účely této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w:t>
      </w:r>
    </w:p>
    <w:p w:rsidR="00BB2E82" w:rsidRPr="00EB6205" w:rsidP="00BB2E82" w14:paraId="779EF75D"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BB2E82" w:rsidP="00BB2E82" w14:paraId="288492A3"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Výslovně se stanovuje, že vyšší mocí není stávka zaměstnanců prodávajícího nebo jeho poddodavatelů, nebo zaměstnanců kupujícího ani hospodářské poměry smluvních stran.  </w:t>
      </w:r>
    </w:p>
    <w:p w:rsidR="00BB2E82" w:rsidRPr="00EB6205" w:rsidP="00BB2E82" w14:paraId="00FA47C4"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nastane vyšší moc, neuplatní se sankce dle čl. VI</w:t>
      </w:r>
      <w:r>
        <w:rPr>
          <w:rFonts w:ascii="Arial" w:eastAsia="Calibri" w:hAnsi="Arial" w:cs="Arial"/>
          <w:lang w:eastAsia="cs-CZ"/>
        </w:rPr>
        <w:t>I</w:t>
      </w:r>
      <w:r w:rsidRPr="00EB6205">
        <w:rPr>
          <w:rFonts w:ascii="Arial" w:eastAsia="Calibri" w:hAnsi="Arial" w:cs="Arial"/>
          <w:lang w:eastAsia="cs-CZ"/>
        </w:rPr>
        <w:t xml:space="preserve"> odst. 1 a 2 této smlouvy. </w:t>
      </w:r>
    </w:p>
    <w:p w:rsidR="00BB2E82" w:rsidRPr="00EB6205" w:rsidP="00BB2E82" w14:paraId="1C9FE7CC"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některá smluvní strana nebude schopna plnit své závazky z této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BB2E82" w:rsidRPr="00014394" w:rsidP="00BB2E82" w14:paraId="3D8C3C6D" w14:textId="77777777">
      <w:pPr>
        <w:keepNext/>
        <w:spacing w:before="360" w:after="120" w:line="20" w:lineRule="atLeast"/>
        <w:jc w:val="center"/>
        <w:outlineLvl w:val="3"/>
        <w:rPr>
          <w:rFonts w:ascii="Arial" w:hAnsi="Arial" w:cs="Arial"/>
          <w:b/>
        </w:rPr>
      </w:pPr>
      <w:r w:rsidRPr="00014394">
        <w:rPr>
          <w:rFonts w:ascii="Arial" w:hAnsi="Arial" w:cs="Arial"/>
          <w:b/>
        </w:rPr>
        <w:t>Článek IX.</w:t>
      </w:r>
      <w:r w:rsidRPr="00014394">
        <w:rPr>
          <w:rFonts w:ascii="Arial" w:hAnsi="Arial" w:cs="Arial"/>
          <w:b/>
        </w:rPr>
        <w:br/>
        <w:t>Závěrečná ustanovení</w:t>
      </w:r>
    </w:p>
    <w:p w:rsidR="00BB2E82" w:rsidRPr="00EB6205" w:rsidP="00BB2E82" w14:paraId="47F6F33B" w14:textId="77777777">
      <w:pPr>
        <w:numPr>
          <w:ilvl w:val="0"/>
          <w:numId w:val="16"/>
        </w:numPr>
        <w:tabs>
          <w:tab w:val="clear" w:pos="720"/>
        </w:tabs>
        <w:spacing w:after="120" w:line="20" w:lineRule="atLeast"/>
        <w:ind w:left="426" w:hanging="426"/>
        <w:jc w:val="both"/>
        <w:rPr>
          <w:rFonts w:ascii="Arial" w:eastAsia="Calibri" w:hAnsi="Arial" w:cs="Arial"/>
          <w:lang w:eastAsia="cs-CZ"/>
        </w:rPr>
      </w:pPr>
      <w:r w:rsidRPr="00EB6205">
        <w:rPr>
          <w:rFonts w:ascii="Arial" w:eastAsia="Calibri" w:hAnsi="Arial" w:cs="Arial"/>
          <w:lang w:eastAsia="cs-CZ"/>
        </w:rPr>
        <w:t>Vztahy mezi smluvními stranami se řídí českým právním řádem. Práva a povinnosti smluvních stran vyplývající z této smlouvy a jí výslovně neupravené se řídí obecně závaznými právními předpisy, zejména občanským zákoníkem.</w:t>
      </w:r>
    </w:p>
    <w:p w:rsidR="00BB2E82" w:rsidRPr="00EB6205" w:rsidP="00BB2E82" w14:paraId="67DE077B"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EB6205">
        <w:rPr>
          <w:rFonts w:ascii="Arial" w:eastAsia="Calibri" w:hAnsi="Arial" w:cs="Arial"/>
          <w:lang w:eastAsia="cs-CZ"/>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BB2E82" w:rsidRPr="00EB6205" w:rsidP="00BB2E82" w14:paraId="4BD1ECD9"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Pokud by se v důsledku změny právní úpravy některé ustanovení smlouvy dostalo do rozporu</w:t>
      </w:r>
      <w:r w:rsidRPr="00EB6205">
        <w:rPr>
          <w:rFonts w:ascii="Arial" w:eastAsia="Calibri" w:hAnsi="Arial" w:cs="Arial"/>
          <w:lang w:eastAsia="cs-CZ"/>
        </w:rPr>
        <w:br/>
        <w:t>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rsidR="00BB2E82" w:rsidRPr="00EB6205" w:rsidP="00BB2E82" w14:paraId="4F7821A4"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Prodávající převzal na sebe nebezpečí změny okolností po uzavření této smlouvy, a proto mu nepřísluší domáhat se práv uvedených v § 1765 odst. 1 občanského zákoníku.</w:t>
      </w:r>
    </w:p>
    <w:p w:rsidR="00BB2E82" w:rsidRPr="00EB6205" w:rsidP="00BB2E82" w14:paraId="4EAF5E21"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BB2E82" w:rsidRPr="00EB6205" w:rsidP="00BB2E82" w14:paraId="38BAF1C1" w14:textId="3DD43894">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Tato smlouva v případě jejího listinného sepsání je vyhotovena ve </w:t>
      </w:r>
      <w:r w:rsidR="004218B5">
        <w:rPr>
          <w:rFonts w:ascii="Arial" w:eastAsia="Calibri" w:hAnsi="Arial" w:cs="Arial"/>
          <w:lang w:eastAsia="cs-CZ"/>
        </w:rPr>
        <w:t>3</w:t>
      </w:r>
      <w:r w:rsidRPr="00EB6205">
        <w:rPr>
          <w:rFonts w:ascii="Arial" w:eastAsia="Calibri" w:hAnsi="Arial" w:cs="Arial"/>
          <w:lang w:eastAsia="cs-CZ"/>
        </w:rPr>
        <w:t xml:space="preserve"> vyhotoveních s platností originálu, z nichž </w:t>
      </w:r>
      <w:r w:rsidR="004218B5">
        <w:rPr>
          <w:rFonts w:ascii="Arial" w:eastAsia="Calibri" w:hAnsi="Arial" w:cs="Arial"/>
          <w:lang w:eastAsia="cs-CZ"/>
        </w:rPr>
        <w:t>2</w:t>
      </w:r>
      <w:r w:rsidRPr="00EB6205">
        <w:rPr>
          <w:rFonts w:ascii="Arial" w:eastAsia="Calibri" w:hAnsi="Arial" w:cs="Arial"/>
          <w:lang w:eastAsia="cs-CZ"/>
        </w:rPr>
        <w:t xml:space="preserve"> vyhotovení obdrží kupující a 1 vyhotovení obdrží prodávající.</w:t>
      </w:r>
    </w:p>
    <w:p w:rsidR="00BB2E82" w:rsidRPr="00EB6205" w:rsidP="00BB2E82" w14:paraId="76D943D0"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Uzavřenou smlouvu lze měnit nebo zrušit pouze po dohodě smluvních stran, která musí mít formu písemných, číslovaných a datovaných dodatků, které musí být podepsány oběma smluvními stranami.</w:t>
      </w:r>
    </w:p>
    <w:p w:rsidR="00BB2E82" w:rsidRPr="00EB6205" w:rsidP="00BB2E82" w14:paraId="080B8671"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Obě smluvní strany podpisem této smlouvy vylučují, aby nad rámec jejích výslovných ustanovení a ustanovení jejích příloh byla jakákoliv jejich práva či povinnosti dovozovány</w:t>
      </w:r>
      <w:r w:rsidRPr="00EB6205">
        <w:rPr>
          <w:rFonts w:ascii="Arial" w:eastAsia="Calibri" w:hAnsi="Arial" w:cs="Arial"/>
          <w:lang w:eastAsia="cs-CZ"/>
        </w:rPr>
        <w:br/>
        <w:t>z dosavadní či budoucí praxe zavedené mezi smluvními stranami, resp. ze zvyklostí zachovávaných obecně či v odvětví týkajícím se předmětu této smlouvy.</w:t>
      </w:r>
    </w:p>
    <w:p w:rsidR="00BB2E82" w:rsidRPr="00EB6205" w:rsidP="00BB2E82" w14:paraId="3D31448A"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je ke správnému použití a funkčnosti zboží potřeba při jeho instalaci</w:t>
      </w:r>
      <w:r w:rsidRPr="00EB6205">
        <w:rPr>
          <w:rFonts w:ascii="Arial" w:eastAsia="Calibri" w:hAnsi="Arial" w:cs="Arial"/>
          <w:lang w:eastAsia="cs-CZ"/>
        </w:rPr>
        <w:br/>
        <w:t>a zprovoznění přijetí licenčních podmínek, bez ohledu na to, zda takové přijetí licenčních podmínek provede prodávající nebo kupující, má vždy v případě jakéhokoliv rozporu přednost znění smlouvy před zněním takto přijatých licenčních podmínek.</w:t>
      </w:r>
    </w:p>
    <w:p w:rsidR="00BB2E82" w:rsidRPr="00EB6205" w:rsidP="00BB2E82" w14:paraId="261F3169"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Prodávající je povinným subjektem ve smyslu zákona o registru smluv. Prodávající bere na vědomí, že tato smlouva bude uveřejněna, včetně všech jejích případných dodatků, na profilu zadavatele a v Registru smluv. Splnění této zákonné povinnosti není porušením důvěrnosti informací. Prodávající bere na vědomí, že uveřejněno bude úplné znění této smlouvy, včetně všech identifikačních a kontaktních údajů osob, které prodávající uvedl v textu této smlouvy. Je-li podle obecného nařízení k uveřejnění těchto údajů potřebný souhlas dotčených osob, prodávající výslovně prohlašuje, že takový souhlas všech dotčených osob zajistil. Smluvní strany se dohodly, že smlouvu zašle správci Registru smluv k uveřejnění kupující a bude </w:t>
      </w:r>
      <w:r w:rsidRPr="00EB6205">
        <w:rPr>
          <w:rFonts w:ascii="Arial" w:eastAsia="Calibri" w:hAnsi="Arial" w:cs="Arial"/>
          <w:lang w:eastAsia="cs-CZ"/>
        </w:rPr>
        <w:t>prodávajícího písemně informovat o uveřejnění smlouvy v Registru smluv. Prodávající je povinen zkontrolovat, že smlouva byla v Registru smluv řádně uveřejněna. V případě, že prodávající zjistí jakékoliv nepřesnosti či nedostatky, je povinen bez zbytečného odkladu o nich kupujícího informovat. Kupující je dále v souladu se ZZVZ povinen na profilu zadavatele uveřejnit skutečně uhrazenou cenu.</w:t>
      </w:r>
    </w:p>
    <w:p w:rsidR="00BB2E82" w:rsidRPr="00EB6205" w:rsidP="00BB2E82" w14:paraId="15B7435E"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Tato smlouva nabývá platnosti dnem podpisu poslední ze smluvních stran a účinnosti dnem uveřejnění v Registru smluv.</w:t>
      </w:r>
    </w:p>
    <w:p w:rsidR="00BB2E82" w:rsidRPr="00EB6205" w:rsidP="00BB2E82" w14:paraId="32A025CC" w14:textId="77777777">
      <w:pPr>
        <w:numPr>
          <w:ilvl w:val="0"/>
          <w:numId w:val="16"/>
        </w:numPr>
        <w:tabs>
          <w:tab w:val="num" w:pos="426"/>
          <w:tab w:val="clear" w:pos="720"/>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Každá ze smluvních stran prohlašuje, že tuto smlouvu uzavírá svobodně a vážně, že považuje obsah této smlouvy za určitý, srozumitelný, a že jsou jí známy veškeré skutečnosti, jež jsou pro uzavření této smlouvy rozhodující, na důkaz čehož připojují smluvní strany k této smlouvě své podpisy.   </w:t>
      </w:r>
    </w:p>
    <w:p w:rsidR="00BB2E82" w:rsidRPr="00014394" w:rsidP="00BB2E82" w14:paraId="44D6C2E0" w14:textId="77777777">
      <w:pPr>
        <w:numPr>
          <w:ilvl w:val="0"/>
          <w:numId w:val="16"/>
        </w:numPr>
        <w:tabs>
          <w:tab w:val="num" w:pos="426"/>
        </w:tabs>
        <w:spacing w:after="120" w:line="20" w:lineRule="atLeast"/>
        <w:ind w:left="425" w:hanging="425"/>
        <w:jc w:val="both"/>
        <w:rPr>
          <w:rFonts w:ascii="Arial" w:hAnsi="Arial" w:cs="Arial"/>
        </w:rPr>
      </w:pPr>
      <w:r w:rsidRPr="00EB6205">
        <w:rPr>
          <w:rFonts w:ascii="Arial" w:eastAsia="Calibri" w:hAnsi="Arial" w:cs="Arial"/>
          <w:lang w:eastAsia="cs-CZ"/>
        </w:rPr>
        <w:t>Nedílnou součástí této smlouvy</w:t>
      </w:r>
      <w:r w:rsidRPr="00014394">
        <w:rPr>
          <w:rFonts w:ascii="Arial" w:hAnsi="Arial" w:cs="Arial"/>
        </w:rPr>
        <w:t xml:space="preserve"> je příloha č. 1 – Technická specifikace zboží.</w:t>
      </w:r>
    </w:p>
    <w:p w:rsidR="00BB2E82" w:rsidRPr="002D4E99" w:rsidP="00BB2E82" w14:paraId="7DFED4F3" w14:textId="509CFF5E">
      <w:pPr>
        <w:tabs>
          <w:tab w:val="left" w:pos="0"/>
          <w:tab w:val="left" w:pos="5103"/>
        </w:tabs>
        <w:spacing w:before="360" w:after="240" w:line="240" w:lineRule="auto"/>
        <w:jc w:val="both"/>
        <w:rPr>
          <w:rFonts w:ascii="Arial" w:hAnsi="Arial" w:cs="Arial"/>
          <w:lang w:eastAsia="cs-CZ"/>
        </w:rPr>
      </w:pPr>
      <w:r w:rsidRPr="002D4E99">
        <w:rPr>
          <w:rFonts w:ascii="Arial" w:hAnsi="Arial" w:cs="Arial"/>
          <w:lang w:eastAsia="cs-CZ"/>
        </w:rPr>
        <w:t>V </w:t>
      </w:r>
      <w:r w:rsidR="00F350E4">
        <w:rPr>
          <w:rFonts w:ascii="Arial" w:hAnsi="Arial" w:cs="Arial"/>
          <w:lang w:eastAsia="cs-CZ"/>
        </w:rPr>
        <w:t>Praze</w:t>
      </w:r>
      <w:r w:rsidRPr="002D4E99">
        <w:rPr>
          <w:rFonts w:ascii="Arial" w:hAnsi="Arial" w:cs="Arial"/>
          <w:lang w:eastAsia="cs-CZ"/>
        </w:rPr>
        <w:t xml:space="preserve"> dne</w:t>
      </w:r>
      <w:r w:rsidR="00474FEF">
        <w:rPr>
          <w:rFonts w:ascii="Arial" w:hAnsi="Arial" w:cs="Arial"/>
          <w:lang w:eastAsia="cs-CZ"/>
        </w:rPr>
        <w:t xml:space="preserve"> 23</w:t>
      </w:r>
      <w:r w:rsidR="00886222">
        <w:rPr>
          <w:rFonts w:ascii="Arial" w:hAnsi="Arial" w:cs="Arial"/>
          <w:lang w:eastAsia="cs-CZ"/>
        </w:rPr>
        <w:t>. 08. 2024</w:t>
      </w:r>
      <w:r w:rsidRPr="002D4E99">
        <w:rPr>
          <w:rFonts w:ascii="Arial" w:hAnsi="Arial" w:cs="Arial"/>
          <w:lang w:eastAsia="cs-CZ"/>
        </w:rPr>
        <w:tab/>
        <w:t>V Praze dne</w:t>
      </w:r>
      <w:r w:rsidR="00886222">
        <w:rPr>
          <w:rFonts w:ascii="Arial" w:hAnsi="Arial" w:cs="Arial"/>
          <w:lang w:eastAsia="cs-CZ"/>
        </w:rPr>
        <w:t xml:space="preserve"> 26. 08. 2024</w:t>
      </w:r>
    </w:p>
    <w:p w:rsidR="00BB2E82" w:rsidRPr="002D4E99" w:rsidP="00BB2E82" w14:paraId="343C7CB8" w14:textId="1D37C4F8">
      <w:pPr>
        <w:tabs>
          <w:tab w:val="left" w:pos="0"/>
          <w:tab w:val="left" w:pos="5103"/>
        </w:tabs>
        <w:spacing w:after="240" w:line="240" w:lineRule="auto"/>
        <w:jc w:val="both"/>
        <w:rPr>
          <w:rFonts w:ascii="Arial" w:hAnsi="Arial" w:cs="Arial"/>
          <w:lang w:eastAsia="cs-CZ"/>
        </w:rPr>
      </w:pPr>
      <w:r w:rsidRPr="002D4E99">
        <w:rPr>
          <w:rFonts w:ascii="Arial" w:hAnsi="Arial" w:cs="Arial"/>
          <w:lang w:eastAsia="cs-CZ"/>
        </w:rPr>
        <w:t>za prodávajícího</w:t>
      </w:r>
      <w:r w:rsidRPr="002D4E99">
        <w:rPr>
          <w:rFonts w:ascii="Arial" w:hAnsi="Arial" w:cs="Arial"/>
          <w:lang w:eastAsia="cs-CZ"/>
        </w:rPr>
        <w:tab/>
        <w:t>za kupujícího</w:t>
      </w:r>
    </w:p>
    <w:p w:rsidR="00BB2E82" w:rsidRPr="002D4E99" w:rsidP="00BB2E82" w14:paraId="0F895DDD" w14:textId="77777777">
      <w:pPr>
        <w:tabs>
          <w:tab w:val="left" w:pos="0"/>
          <w:tab w:val="left" w:leader="underscore" w:pos="3686"/>
          <w:tab w:val="left" w:pos="5103"/>
          <w:tab w:val="left" w:leader="underscore" w:pos="9072"/>
        </w:tabs>
        <w:spacing w:before="480" w:after="240" w:line="240" w:lineRule="auto"/>
        <w:jc w:val="both"/>
        <w:rPr>
          <w:rFonts w:ascii="Arial" w:hAnsi="Arial" w:cs="Arial"/>
          <w:lang w:eastAsia="cs-CZ"/>
        </w:rPr>
      </w:pPr>
      <w:r w:rsidRPr="002D4E99">
        <w:rPr>
          <w:rFonts w:ascii="Arial" w:hAnsi="Arial" w:cs="Arial"/>
          <w:lang w:eastAsia="cs-CZ"/>
        </w:rPr>
        <w:tab/>
      </w:r>
      <w:r w:rsidRPr="002D4E99">
        <w:rPr>
          <w:rFonts w:ascii="Arial" w:hAnsi="Arial" w:cs="Arial"/>
          <w:lang w:eastAsia="cs-CZ"/>
        </w:rPr>
        <w:tab/>
      </w:r>
      <w:r w:rsidRPr="002D4E99">
        <w:rPr>
          <w:rFonts w:ascii="Arial" w:hAnsi="Arial" w:cs="Arial"/>
          <w:lang w:eastAsia="cs-CZ"/>
        </w:rPr>
        <w:tab/>
      </w:r>
    </w:p>
    <w:p w:rsidR="00BB2E82" w:rsidRPr="002D4E99" w:rsidP="00BB2E82" w14:paraId="23E2918C" w14:textId="41B17374">
      <w:pPr>
        <w:tabs>
          <w:tab w:val="left" w:pos="0"/>
          <w:tab w:val="left" w:pos="5103"/>
        </w:tabs>
        <w:spacing w:after="0" w:line="240" w:lineRule="auto"/>
        <w:jc w:val="both"/>
        <w:rPr>
          <w:rFonts w:ascii="Arial" w:hAnsi="Arial" w:cs="Arial"/>
          <w:lang w:eastAsia="cs-CZ"/>
        </w:rPr>
      </w:pPr>
      <w:bookmarkStart w:id="2" w:name="_Hlk174094138"/>
      <w:r>
        <w:rPr>
          <w:rFonts w:ascii="Arial" w:hAnsi="Arial" w:cs="Arial"/>
          <w:lang w:eastAsia="cs-CZ"/>
        </w:rPr>
        <w:t>Vlastimil Srna, jednatel</w:t>
      </w:r>
      <w:bookmarkEnd w:id="2"/>
      <w:r w:rsidR="00886222">
        <w:rPr>
          <w:rFonts w:ascii="Arial" w:hAnsi="Arial" w:cs="Arial"/>
          <w:lang w:eastAsia="cs-CZ"/>
        </w:rPr>
        <w:t xml:space="preserve"> v. r. </w:t>
      </w:r>
      <w:r w:rsidRPr="002D4E99">
        <w:rPr>
          <w:rFonts w:ascii="Arial" w:hAnsi="Arial" w:cs="Arial"/>
          <w:lang w:eastAsia="cs-CZ"/>
        </w:rPr>
        <w:tab/>
        <w:t xml:space="preserve">Ing. </w:t>
      </w:r>
      <w:r w:rsidR="00A85A8D">
        <w:rPr>
          <w:rFonts w:ascii="Arial" w:hAnsi="Arial" w:cs="Arial"/>
          <w:lang w:eastAsia="cs-CZ"/>
        </w:rPr>
        <w:t>Jitka Křupková</w:t>
      </w:r>
      <w:r w:rsidR="00886222">
        <w:rPr>
          <w:rFonts w:ascii="Arial" w:hAnsi="Arial" w:cs="Arial"/>
          <w:lang w:eastAsia="cs-CZ"/>
        </w:rPr>
        <w:t xml:space="preserve"> v. r.</w:t>
      </w:r>
    </w:p>
    <w:p w:rsidR="00BB2E82" w:rsidRPr="002D4E99" w:rsidP="00BB2E82" w14:paraId="45F66C6B" w14:textId="1BC4B535">
      <w:pPr>
        <w:tabs>
          <w:tab w:val="left" w:pos="5103"/>
        </w:tabs>
        <w:spacing w:after="120" w:line="240" w:lineRule="auto"/>
        <w:ind w:left="5103" w:hanging="5103"/>
        <w:jc w:val="both"/>
        <w:rPr>
          <w:rFonts w:ascii="Arial" w:hAnsi="Arial" w:cs="Arial"/>
          <w:lang w:eastAsia="cs-CZ"/>
        </w:rPr>
      </w:pPr>
      <w:bookmarkStart w:id="3" w:name="_Hlk174094146"/>
      <w:r>
        <w:rPr>
          <w:rFonts w:ascii="Arial" w:hAnsi="Arial" w:cs="Arial"/>
          <w:lang w:eastAsia="cs-CZ"/>
        </w:rPr>
        <w:t>Data Force, s.r.o</w:t>
      </w:r>
      <w:bookmarkEnd w:id="3"/>
      <w:r>
        <w:rPr>
          <w:rFonts w:ascii="Arial" w:hAnsi="Arial" w:cs="Arial"/>
          <w:lang w:eastAsia="cs-CZ"/>
        </w:rPr>
        <w:t>.</w:t>
      </w:r>
      <w:r w:rsidR="00A85A8D">
        <w:rPr>
          <w:rFonts w:ascii="Arial" w:hAnsi="Arial" w:cs="Arial"/>
          <w:lang w:eastAsia="cs-CZ"/>
        </w:rPr>
        <w:tab/>
        <w:t xml:space="preserve">ředitelka </w:t>
      </w:r>
      <w:r w:rsidRPr="002D4E99">
        <w:rPr>
          <w:rFonts w:ascii="Arial" w:hAnsi="Arial" w:cs="Arial"/>
          <w:lang w:eastAsia="cs-CZ"/>
        </w:rPr>
        <w:t xml:space="preserve">Odboru </w:t>
      </w:r>
      <w:r>
        <w:rPr>
          <w:rFonts w:ascii="Arial" w:hAnsi="Arial" w:cs="Arial"/>
          <w:lang w:eastAsia="cs-CZ"/>
        </w:rPr>
        <w:t>informatiky</w:t>
      </w:r>
    </w:p>
    <w:p w:rsidR="00577E69" w:rsidP="00BB2E82" w14:paraId="1AC205B2" w14:textId="77777777">
      <w:pPr>
        <w:spacing w:after="240" w:line="240" w:lineRule="auto"/>
        <w:jc w:val="both"/>
        <w:rPr>
          <w:rFonts w:ascii="Arial" w:hAnsi="Arial" w:cs="Arial"/>
          <w:lang w:eastAsia="cs-CZ"/>
        </w:rPr>
        <w:sectPr w:rsidSect="0018475C">
          <w:headerReference w:type="even" r:id="rId4"/>
          <w:headerReference w:type="default" r:id="rId5"/>
          <w:footerReference w:type="even" r:id="rId6"/>
          <w:footerReference w:type="default" r:id="rId7"/>
          <w:headerReference w:type="first" r:id="rId8"/>
          <w:footnotePr>
            <w:numFmt w:val="chicago"/>
          </w:footnotePr>
          <w:pgSz w:w="11920" w:h="16860"/>
          <w:pgMar w:top="1134" w:right="1134" w:bottom="1134" w:left="1134" w:header="709" w:footer="425" w:gutter="0"/>
          <w:pgNumType w:start="1"/>
          <w:cols w:space="708"/>
          <w:titlePg/>
          <w:docGrid w:linePitch="299"/>
        </w:sectPr>
      </w:pPr>
    </w:p>
    <w:p w:rsidR="00BB2E82" w:rsidRPr="002D4E99" w:rsidP="00577E69" w14:paraId="2F911078" w14:textId="77777777">
      <w:pPr>
        <w:keepNext/>
        <w:spacing w:before="360" w:after="240" w:line="240" w:lineRule="auto"/>
        <w:jc w:val="center"/>
        <w:outlineLvl w:val="0"/>
        <w:rPr>
          <w:rFonts w:ascii="Arial" w:eastAsia="Calibri" w:hAnsi="Arial" w:cs="Arial"/>
          <w:b/>
          <w:bCs/>
          <w:kern w:val="32"/>
          <w:sz w:val="28"/>
          <w:szCs w:val="28"/>
          <w:lang w:eastAsia="cs-CZ"/>
        </w:rPr>
      </w:pPr>
      <w:r w:rsidRPr="002D4E99">
        <w:rPr>
          <w:rFonts w:ascii="Arial" w:eastAsia="Calibri" w:hAnsi="Arial" w:cs="Arial"/>
          <w:b/>
          <w:bCs/>
          <w:kern w:val="32"/>
          <w:sz w:val="28"/>
          <w:szCs w:val="28"/>
          <w:lang w:eastAsia="cs-CZ"/>
        </w:rPr>
        <w:t>Technická specifikace</w:t>
      </w:r>
      <w:r>
        <w:rPr>
          <w:rFonts w:ascii="Arial" w:eastAsia="Calibri" w:hAnsi="Arial" w:cs="Arial"/>
          <w:b/>
          <w:bCs/>
          <w:kern w:val="32"/>
          <w:sz w:val="28"/>
          <w:szCs w:val="28"/>
          <w:lang w:eastAsia="cs-CZ"/>
        </w:rPr>
        <w:t xml:space="preserve"> zboží</w:t>
      </w:r>
    </w:p>
    <w:tbl>
      <w:tblPr>
        <w:tblpPr w:leftFromText="142" w:rightFromText="142" w:vertAnchor="text" w:tblpX="69" w:tblpY="1"/>
        <w:tblOverlap w:val="never"/>
        <w:tblW w:w="9650" w:type="dxa"/>
        <w:tblLayout w:type="fixed"/>
        <w:tblCellMar>
          <w:left w:w="70" w:type="dxa"/>
          <w:right w:w="70" w:type="dxa"/>
        </w:tblCellMar>
        <w:tblLook w:val="04A0"/>
      </w:tblPr>
      <w:tblGrid>
        <w:gridCol w:w="5602"/>
        <w:gridCol w:w="1210"/>
        <w:gridCol w:w="2838"/>
      </w:tblGrid>
      <w:tr w14:paraId="2761304D" w14:textId="77777777" w:rsidTr="00C01AC0">
        <w:tblPrEx>
          <w:tblW w:w="9650" w:type="dxa"/>
          <w:tblLayout w:type="fixed"/>
          <w:tblCellMar>
            <w:left w:w="70" w:type="dxa"/>
            <w:right w:w="70" w:type="dxa"/>
          </w:tblCellMar>
          <w:tblLook w:val="04A0"/>
        </w:tblPrEx>
        <w:trPr>
          <w:trHeight w:val="630"/>
        </w:trPr>
        <w:tc>
          <w:tcPr>
            <w:tcW w:w="5602" w:type="dxa"/>
            <w:tcBorders>
              <w:top w:val="single" w:sz="4" w:space="0" w:color="auto"/>
              <w:left w:val="single" w:sz="4" w:space="0" w:color="auto"/>
              <w:bottom w:val="single" w:sz="4" w:space="0" w:color="auto"/>
              <w:right w:val="single" w:sz="4" w:space="0" w:color="000000"/>
            </w:tcBorders>
            <w:shd w:val="clear" w:color="auto" w:fill="E5DFEC"/>
            <w:vAlign w:val="center"/>
            <w:hideMark/>
          </w:tcPr>
          <w:p w:rsidR="00577E69" w:rsidRPr="00824E3C" w:rsidP="00C01AC0" w14:paraId="0CD49BE5" w14:textId="77777777">
            <w:pPr>
              <w:spacing w:after="0" w:line="240" w:lineRule="auto"/>
              <w:jc w:val="both"/>
              <w:rPr>
                <w:rFonts w:ascii="Arial" w:eastAsia="Calibri" w:hAnsi="Arial" w:cs="Arial"/>
                <w:b/>
                <w:sz w:val="20"/>
                <w:szCs w:val="20"/>
                <w:lang w:eastAsia="cs-CZ"/>
              </w:rPr>
            </w:pPr>
            <w:r w:rsidRPr="00824E3C">
              <w:rPr>
                <w:rFonts w:ascii="Arial" w:eastAsia="Calibri" w:hAnsi="Arial" w:cs="Arial"/>
                <w:b/>
                <w:sz w:val="20"/>
                <w:szCs w:val="20"/>
                <w:lang w:eastAsia="cs-CZ"/>
              </w:rPr>
              <w:t>Požadovaná funkcionalita/vlastnost</w:t>
            </w:r>
          </w:p>
        </w:tc>
        <w:tc>
          <w:tcPr>
            <w:tcW w:w="1210" w:type="dxa"/>
            <w:tcBorders>
              <w:top w:val="single" w:sz="4" w:space="0" w:color="auto"/>
              <w:left w:val="nil"/>
              <w:bottom w:val="single" w:sz="4" w:space="0" w:color="auto"/>
              <w:right w:val="single" w:sz="4" w:space="0" w:color="auto"/>
            </w:tcBorders>
            <w:shd w:val="clear" w:color="auto" w:fill="E5DFEC"/>
            <w:vAlign w:val="center"/>
            <w:hideMark/>
          </w:tcPr>
          <w:p w:rsidR="00577E69" w:rsidRPr="00824E3C" w:rsidP="00C01AC0" w14:paraId="536D5F35" w14:textId="77777777">
            <w:pPr>
              <w:spacing w:after="0" w:line="240" w:lineRule="auto"/>
              <w:jc w:val="center"/>
              <w:rPr>
                <w:rFonts w:ascii="Arial" w:eastAsia="Calibri" w:hAnsi="Arial" w:cs="Arial"/>
                <w:b/>
                <w:sz w:val="20"/>
                <w:szCs w:val="20"/>
                <w:lang w:eastAsia="cs-CZ"/>
              </w:rPr>
            </w:pPr>
            <w:r w:rsidRPr="00824E3C">
              <w:rPr>
                <w:rFonts w:ascii="Arial" w:eastAsia="Calibri" w:hAnsi="Arial" w:cs="Arial"/>
                <w:b/>
                <w:sz w:val="20"/>
                <w:szCs w:val="20"/>
                <w:lang w:eastAsia="cs-CZ"/>
              </w:rPr>
              <w:t>Splňuje (ANO/NE)</w:t>
            </w:r>
          </w:p>
        </w:tc>
        <w:tc>
          <w:tcPr>
            <w:tcW w:w="2838" w:type="dxa"/>
            <w:tcBorders>
              <w:top w:val="single" w:sz="4" w:space="0" w:color="auto"/>
              <w:left w:val="nil"/>
              <w:bottom w:val="single" w:sz="4" w:space="0" w:color="auto"/>
              <w:right w:val="single" w:sz="4" w:space="0" w:color="auto"/>
            </w:tcBorders>
            <w:shd w:val="clear" w:color="auto" w:fill="E5DFEC"/>
            <w:vAlign w:val="center"/>
            <w:hideMark/>
          </w:tcPr>
          <w:p w:rsidR="00577E69" w:rsidRPr="00824E3C" w:rsidP="00C01AC0" w14:paraId="25EA44E1" w14:textId="77777777">
            <w:pPr>
              <w:spacing w:after="0" w:line="240" w:lineRule="auto"/>
              <w:jc w:val="center"/>
              <w:rPr>
                <w:rFonts w:ascii="Arial" w:eastAsia="Calibri" w:hAnsi="Arial" w:cs="Arial"/>
                <w:b/>
                <w:sz w:val="20"/>
                <w:szCs w:val="20"/>
                <w:lang w:eastAsia="cs-CZ"/>
              </w:rPr>
            </w:pPr>
            <w:r w:rsidRPr="00824E3C">
              <w:rPr>
                <w:rFonts w:ascii="Arial" w:eastAsia="Calibri" w:hAnsi="Arial" w:cs="Arial"/>
                <w:b/>
                <w:sz w:val="20"/>
                <w:szCs w:val="20"/>
                <w:lang w:eastAsia="cs-CZ"/>
              </w:rPr>
              <w:t>Uveďte hodnotu daného parametru</w:t>
            </w:r>
          </w:p>
        </w:tc>
      </w:tr>
      <w:tr w14:paraId="08E0F922" w14:textId="77777777" w:rsidTr="00C01AC0">
        <w:tblPrEx>
          <w:tblW w:w="9650" w:type="dxa"/>
          <w:tblLayout w:type="fixed"/>
          <w:tblCellMar>
            <w:left w:w="70" w:type="dxa"/>
            <w:right w:w="70" w:type="dxa"/>
          </w:tblCellMar>
          <w:tblLook w:val="04A0"/>
        </w:tblPrEx>
        <w:trPr>
          <w:trHeight w:val="428"/>
        </w:trPr>
        <w:tc>
          <w:tcPr>
            <w:tcW w:w="9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5686B52A" w14:textId="77777777">
            <w:pPr>
              <w:spacing w:before="240" w:after="240" w:line="240" w:lineRule="auto"/>
              <w:jc w:val="both"/>
              <w:rPr>
                <w:rFonts w:ascii="Arial" w:eastAsia="Calibri" w:hAnsi="Arial" w:cs="Arial"/>
                <w:b/>
                <w:sz w:val="20"/>
                <w:szCs w:val="20"/>
                <w:lang w:eastAsia="cs-CZ"/>
              </w:rPr>
            </w:pPr>
            <w:r w:rsidRPr="00577E69">
              <w:rPr>
                <w:rFonts w:ascii="Arial" w:eastAsia="Calibri" w:hAnsi="Arial" w:cs="Arial"/>
                <w:b/>
                <w:sz w:val="20"/>
                <w:szCs w:val="20"/>
                <w:lang w:eastAsia="cs-CZ"/>
              </w:rPr>
              <w:t>Obecné požadavky:</w:t>
            </w:r>
          </w:p>
        </w:tc>
      </w:tr>
      <w:tr w14:paraId="17B9E7FC"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39C23DE8"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Nabízené řešení a jeho komponenty bude postaveno na blade architektuře.</w:t>
            </w:r>
          </w:p>
        </w:tc>
        <w:tc>
          <w:tcPr>
            <w:tcW w:w="1210" w:type="dxa"/>
            <w:tcBorders>
              <w:top w:val="nil"/>
              <w:left w:val="nil"/>
              <w:bottom w:val="single" w:sz="4" w:space="0" w:color="auto"/>
              <w:right w:val="single" w:sz="4" w:space="0" w:color="auto"/>
            </w:tcBorders>
            <w:shd w:val="clear" w:color="auto" w:fill="auto"/>
            <w:vAlign w:val="center"/>
          </w:tcPr>
          <w:p w:rsidR="00577E69" w:rsidRPr="00577E69" w:rsidP="00C01AC0" w14:paraId="6BCDBBBB"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EA7D597"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Nabízené řešení je postaveno na Blade šasí MX7000 od výrobce Dell.</w:t>
            </w:r>
          </w:p>
        </w:tc>
      </w:tr>
      <w:tr w14:paraId="04BF418A"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52057820"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Dodaný HW musí být nový, nesmí se jednat o použité či repasované produkty.</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36DE4BB4"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090AF756"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Jedná se o nové zboží, s evidencí koncového uživatele v systémech výrobce.</w:t>
            </w:r>
          </w:p>
        </w:tc>
      </w:tr>
      <w:tr w14:paraId="35B15637"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3841ED73"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Instalační práce musí být provedeny technikem, který je za tímto účelem vyškolen a oprávněn výrobcem.</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543F35F5"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1805E866"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Proškolený technik, certifikát Proven Professional</w:t>
            </w:r>
          </w:p>
        </w:tc>
      </w:tr>
      <w:tr w14:paraId="79E964AE"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6F45488E"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Doprava dodaného HW a jeho implementace v místě sídla zadavatele.</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FFD61DA"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69FC22F"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Dodávka a instalace v místě Zadavatele.</w:t>
            </w:r>
          </w:p>
        </w:tc>
      </w:tr>
      <w:tr w14:paraId="3726CA77"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09C85EBA"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Záruka a technická podpora - na nabízené řešení a veškeré jeho komponenty požadujeme záruku a technickou podporu na 60 měsíců poskytovanou přímo výrobcem zařízení v tomto rozsahu:</w:t>
            </w:r>
          </w:p>
          <w:p w:rsidR="00577E69" w:rsidRPr="00577E69" w:rsidP="00577E69" w14:paraId="66E6AE41" w14:textId="77777777">
            <w:pPr>
              <w:numPr>
                <w:ilvl w:val="0"/>
                <w:numId w:val="24"/>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započetí servisního zásahu nejpozději do 4 hodin po nahlášení závady v místě plnění,</w:t>
            </w:r>
          </w:p>
          <w:p w:rsidR="00577E69" w:rsidRPr="00577E69" w:rsidP="00577E69" w14:paraId="3AB7E5A8" w14:textId="77777777">
            <w:pPr>
              <w:numPr>
                <w:ilvl w:val="0"/>
                <w:numId w:val="24"/>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dostupnost podpory 24 hodin denně, 365 dní v roce,</w:t>
            </w:r>
          </w:p>
          <w:p w:rsidR="00577E69" w:rsidRPr="00577E69" w:rsidP="00577E69" w14:paraId="3BF2230A" w14:textId="77777777">
            <w:pPr>
              <w:numPr>
                <w:ilvl w:val="0"/>
                <w:numId w:val="24"/>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podpora automatického hlášení závady a otevření incidentu,</w:t>
            </w:r>
          </w:p>
          <w:p w:rsidR="00577E69" w:rsidRPr="00577E69" w:rsidP="00577E69" w14:paraId="53371BA3" w14:textId="77777777">
            <w:pPr>
              <w:numPr>
                <w:ilvl w:val="0"/>
                <w:numId w:val="24"/>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možnost proaktivního monitoringu a návrhů aktualizací SW vybavení šasi,</w:t>
            </w:r>
          </w:p>
          <w:p w:rsidR="00577E69" w:rsidRPr="00577E69" w:rsidP="00577E69" w14:paraId="042C105D" w14:textId="77777777">
            <w:pPr>
              <w:numPr>
                <w:ilvl w:val="0"/>
                <w:numId w:val="24"/>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možnost sledování servisních reportů prostřednictvím internetu.</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297C7297"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2644C42D"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Nabídka obsahuje též servisní podporu výrobce na úrovni ProSupport 24/7 se 4 hod odezvou na kritické závady,   která je dostupná 365 dní v roce s proaktivním monitoringem, automatickým hlášením závad a sledováním servisních reportů</w:t>
            </w:r>
          </w:p>
        </w:tc>
      </w:tr>
      <w:tr w14:paraId="792983DF" w14:textId="77777777" w:rsidTr="00577E69">
        <w:tblPrEx>
          <w:tblW w:w="9650" w:type="dxa"/>
          <w:tblLayout w:type="fixed"/>
          <w:tblCellMar>
            <w:left w:w="70" w:type="dxa"/>
            <w:right w:w="70" w:type="dxa"/>
          </w:tblCellMar>
          <w:tblLook w:val="04A0"/>
        </w:tblPrEx>
        <w:trPr>
          <w:trHeight w:val="322"/>
        </w:trPr>
        <w:tc>
          <w:tcPr>
            <w:tcW w:w="9650" w:type="dxa"/>
            <w:gridSpan w:val="3"/>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66320215" w14:textId="77777777">
            <w:pPr>
              <w:spacing w:before="240" w:after="0" w:line="240" w:lineRule="auto"/>
              <w:jc w:val="both"/>
              <w:rPr>
                <w:rFonts w:ascii="Arial" w:eastAsia="Calibri" w:hAnsi="Arial" w:cs="Arial"/>
                <w:b/>
                <w:sz w:val="24"/>
                <w:szCs w:val="24"/>
                <w:lang w:eastAsia="cs-CZ"/>
              </w:rPr>
            </w:pPr>
            <w:r w:rsidRPr="00577E69">
              <w:rPr>
                <w:rFonts w:ascii="Arial" w:eastAsia="Calibri" w:hAnsi="Arial" w:cs="Arial"/>
                <w:b/>
                <w:sz w:val="24"/>
                <w:szCs w:val="24"/>
                <w:lang w:eastAsia="cs-CZ"/>
              </w:rPr>
              <w:t>Blade šasi</w:t>
            </w:r>
          </w:p>
          <w:p w:rsidR="00577E69" w:rsidRPr="00577E69" w:rsidP="00C01AC0" w14:paraId="2786CB14" w14:textId="77777777">
            <w:pPr>
              <w:spacing w:after="240" w:line="240" w:lineRule="auto"/>
              <w:jc w:val="both"/>
              <w:rPr>
                <w:rFonts w:ascii="Arial" w:eastAsia="Calibri" w:hAnsi="Arial" w:cs="Arial"/>
                <w:b/>
                <w:sz w:val="20"/>
                <w:szCs w:val="20"/>
                <w:lang w:eastAsia="cs-CZ"/>
              </w:rPr>
            </w:pPr>
            <w:r w:rsidRPr="00577E69">
              <w:rPr>
                <w:rFonts w:ascii="Arial" w:eastAsia="Calibri" w:hAnsi="Arial" w:cs="Arial"/>
                <w:b/>
                <w:sz w:val="24"/>
                <w:szCs w:val="24"/>
                <w:lang w:eastAsia="cs-CZ"/>
              </w:rPr>
              <w:t>1 ks</w:t>
            </w:r>
          </w:p>
        </w:tc>
      </w:tr>
      <w:tr w14:paraId="5A96B561"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48B4F866" w14:textId="77777777">
            <w:pPr>
              <w:spacing w:before="60" w:after="60" w:line="240" w:lineRule="auto"/>
              <w:jc w:val="both"/>
              <w:rPr>
                <w:rFonts w:ascii="Arial" w:eastAsia="MS Mincho" w:hAnsi="Arial" w:cs="Arial"/>
                <w:sz w:val="20"/>
                <w:szCs w:val="20"/>
                <w:lang w:eastAsia="cs-CZ"/>
              </w:rPr>
            </w:pPr>
            <w:r w:rsidRPr="00577E69">
              <w:rPr>
                <w:rFonts w:ascii="Arial" w:eastAsia="Calibri" w:hAnsi="Arial" w:cs="Arial"/>
                <w:b/>
                <w:sz w:val="20"/>
                <w:szCs w:val="20"/>
                <w:lang w:eastAsia="cs-CZ"/>
              </w:rPr>
              <w:t xml:space="preserve">Značka/typ </w:t>
            </w:r>
            <w:r w:rsidRPr="00577E69">
              <w:rPr>
                <w:rFonts w:ascii="Arial" w:eastAsia="Calibri" w:hAnsi="Arial" w:cs="Arial"/>
                <w:sz w:val="20"/>
                <w:szCs w:val="20"/>
                <w:lang w:eastAsia="cs-CZ"/>
              </w:rPr>
              <w:t>(doplní uchazeč)</w:t>
            </w:r>
            <w:r w:rsidRPr="00577E69">
              <w:rPr>
                <w:rFonts w:ascii="Arial" w:eastAsia="Calibri" w:hAnsi="Arial" w:cs="Arial"/>
                <w:b/>
                <w:sz w:val="20"/>
                <w:szCs w:val="20"/>
                <w:lang w:eastAsia="cs-CZ"/>
              </w:rPr>
              <w:t>:</w:t>
            </w:r>
          </w:p>
        </w:tc>
        <w:tc>
          <w:tcPr>
            <w:tcW w:w="4048" w:type="dxa"/>
            <w:gridSpan w:val="2"/>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61AA3A98" w14:textId="77777777">
            <w:pPr>
              <w:spacing w:after="0" w:line="240" w:lineRule="auto"/>
              <w:jc w:val="both"/>
              <w:rPr>
                <w:rFonts w:ascii="Arial" w:eastAsia="Calibri" w:hAnsi="Arial" w:cs="Arial"/>
                <w:b/>
                <w:bCs/>
                <w:color w:val="000000"/>
                <w:sz w:val="20"/>
                <w:szCs w:val="20"/>
                <w:lang w:eastAsia="cs-CZ"/>
              </w:rPr>
            </w:pPr>
            <w:r w:rsidRPr="00577E69">
              <w:rPr>
                <w:rFonts w:ascii="Arial" w:eastAsia="Calibri" w:hAnsi="Arial" w:cs="Arial"/>
                <w:b/>
                <w:bCs/>
                <w:color w:val="000000"/>
                <w:sz w:val="20"/>
                <w:szCs w:val="20"/>
              </w:rPr>
              <w:t>Dell PowerEdge MX7000</w:t>
            </w:r>
          </w:p>
        </w:tc>
      </w:tr>
      <w:tr w14:paraId="56419B75"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62B9341C" w14:textId="77777777">
            <w:pPr>
              <w:spacing w:before="60" w:after="60" w:line="240" w:lineRule="auto"/>
              <w:jc w:val="both"/>
              <w:rPr>
                <w:rFonts w:ascii="Arial" w:eastAsia="SimSun" w:hAnsi="Arial" w:cs="Arial"/>
                <w:bCs/>
                <w:sz w:val="20"/>
                <w:szCs w:val="20"/>
                <w:lang w:eastAsia="cs-CZ"/>
              </w:rPr>
            </w:pPr>
            <w:r w:rsidRPr="00577E69">
              <w:rPr>
                <w:rFonts w:ascii="Arial" w:eastAsia="MS Mincho" w:hAnsi="Arial" w:cs="Arial"/>
                <w:sz w:val="20"/>
                <w:szCs w:val="20"/>
                <w:lang w:eastAsia="cs-CZ"/>
              </w:rPr>
              <w:t>Velikost šasi maximálně 10U.</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76110942"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069D292F"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7U</w:t>
            </w:r>
          </w:p>
        </w:tc>
      </w:tr>
      <w:tr w14:paraId="18FDB3F6"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2DF5B7DD" w14:textId="77777777">
            <w:pPr>
              <w:spacing w:before="60" w:after="60" w:line="240" w:lineRule="auto"/>
              <w:jc w:val="both"/>
              <w:rPr>
                <w:rFonts w:ascii="Arial" w:eastAsia="SimSun" w:hAnsi="Arial" w:cs="Arial"/>
                <w:bCs/>
                <w:sz w:val="20"/>
                <w:szCs w:val="20"/>
                <w:lang w:eastAsia="cs-CZ"/>
              </w:rPr>
            </w:pPr>
            <w:r w:rsidRPr="00577E69">
              <w:rPr>
                <w:rFonts w:ascii="Arial" w:eastAsia="MS Mincho" w:hAnsi="Arial" w:cs="Arial"/>
                <w:sz w:val="20"/>
                <w:szCs w:val="20"/>
                <w:lang w:eastAsia="cs-CZ"/>
              </w:rPr>
              <w:t>Možnost osazení šasi servery – minimálně 8x dvouprocesorový server.</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69B6364"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5240BF74"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Šasí umožňuje osadit až 8 compute sledů (serverů), které mohou být osazeny  až 2xCPU</w:t>
            </w:r>
          </w:p>
        </w:tc>
      </w:tr>
      <w:tr w14:paraId="3725A5EF"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57EDB0A5" w14:textId="77777777">
            <w:pPr>
              <w:spacing w:before="60" w:after="60" w:line="240" w:lineRule="auto"/>
              <w:jc w:val="both"/>
              <w:rPr>
                <w:rFonts w:ascii="Arial" w:eastAsia="SimSun" w:hAnsi="Arial" w:cs="Arial"/>
                <w:bCs/>
                <w:sz w:val="20"/>
                <w:szCs w:val="20"/>
                <w:lang w:eastAsia="cs-CZ"/>
              </w:rPr>
            </w:pPr>
            <w:r w:rsidRPr="00577E69">
              <w:rPr>
                <w:rFonts w:ascii="Arial" w:eastAsia="MS Mincho" w:hAnsi="Arial" w:cs="Arial"/>
                <w:sz w:val="20"/>
                <w:szCs w:val="20"/>
                <w:lang w:eastAsia="cs-CZ"/>
              </w:rPr>
              <w:t>Možnost osazení šasi diskovými moduly – minimálně 6x diskový modul.</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549E8055"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5FAE2747"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Šasí umožňuje osadit až 7 storage sledů (diskových modulů).</w:t>
            </w:r>
          </w:p>
        </w:tc>
      </w:tr>
      <w:tr w14:paraId="738DDFAB"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3A5BA52E" w14:textId="77777777">
            <w:pPr>
              <w:spacing w:before="60" w:after="60" w:line="240" w:lineRule="auto"/>
              <w:jc w:val="both"/>
              <w:rPr>
                <w:rFonts w:ascii="Arial" w:eastAsia="SimSun" w:hAnsi="Arial" w:cs="Arial"/>
                <w:bCs/>
                <w:sz w:val="20"/>
                <w:szCs w:val="20"/>
                <w:lang w:eastAsia="cs-CZ"/>
              </w:rPr>
            </w:pPr>
            <w:r w:rsidRPr="00577E69">
              <w:rPr>
                <w:rFonts w:ascii="Arial" w:eastAsia="MS Mincho" w:hAnsi="Arial" w:cs="Arial"/>
                <w:sz w:val="20"/>
                <w:szCs w:val="20"/>
                <w:lang w:eastAsia="cs-CZ"/>
              </w:rPr>
              <w:t>Možnost osazení šasi I/O moduly – minimálně 4x I/O modul s možností volby mezi průchozím modulem nebo plnohodnotným I/O přepínačem.</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68DCAA01"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7472CF76"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Šasí umožňuje osadit až 6 IO moduly nebo Pass- Throug moduly.</w:t>
            </w:r>
          </w:p>
        </w:tc>
      </w:tr>
      <w:tr w14:paraId="69DCAC67"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24CAA26D"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Pro nabízené řešení musí být dostupné minimálně I/O moduly tohoto typu:</w:t>
            </w:r>
          </w:p>
          <w:p w:rsidR="00577E69" w:rsidRPr="00577E69" w:rsidP="00577E69" w14:paraId="0CC5FA74" w14:textId="77777777">
            <w:pPr>
              <w:numPr>
                <w:ilvl w:val="0"/>
                <w:numId w:val="25"/>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LAN,</w:t>
            </w:r>
          </w:p>
          <w:p w:rsidR="00577E69" w:rsidRPr="00577E69" w:rsidP="00577E69" w14:paraId="2225F93A" w14:textId="77777777">
            <w:pPr>
              <w:numPr>
                <w:ilvl w:val="0"/>
                <w:numId w:val="25"/>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FC,</w:t>
            </w:r>
          </w:p>
          <w:p w:rsidR="00577E69" w:rsidRPr="00577E69" w:rsidP="00577E69" w14:paraId="25D6EBAE" w14:textId="77777777">
            <w:pPr>
              <w:numPr>
                <w:ilvl w:val="0"/>
                <w:numId w:val="25"/>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SAS.</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11C423C"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7425D155"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Všechny uvedené IO moduly jsou k dispozici pro toto šasí.</w:t>
            </w:r>
          </w:p>
        </w:tc>
      </w:tr>
      <w:tr w14:paraId="7B24B776" w14:textId="77777777" w:rsidTr="00577E69">
        <w:tblPrEx>
          <w:tblW w:w="9650" w:type="dxa"/>
          <w:tblLayout w:type="fixed"/>
          <w:tblCellMar>
            <w:left w:w="70" w:type="dxa"/>
            <w:right w:w="70" w:type="dxa"/>
          </w:tblCellMar>
          <w:tblLook w:val="04A0"/>
        </w:tblPrEx>
        <w:trPr>
          <w:trHeight w:val="322"/>
        </w:trPr>
        <w:tc>
          <w:tcPr>
            <w:tcW w:w="5602"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51CED571"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Management šasi:</w:t>
            </w:r>
          </w:p>
          <w:p w:rsidR="00577E69" w:rsidRPr="00577E69" w:rsidP="00577E69" w14:paraId="06DF2AB8" w14:textId="77777777">
            <w:pPr>
              <w:numPr>
                <w:ilvl w:val="0"/>
                <w:numId w:val="26"/>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 xml:space="preserve">Blade šasi musí být osazené alespoň 2x řídícím management modulem pro vzdálenou správu v redundantním režimu, každý modul s dedikovanými ethernet porty do </w:t>
            </w:r>
            <w:r w:rsidRPr="00577E69">
              <w:rPr>
                <w:rFonts w:ascii="Arial" w:eastAsia="SimSun" w:hAnsi="Arial" w:cs="Arial"/>
                <w:bCs/>
                <w:sz w:val="20"/>
                <w:szCs w:val="20"/>
              </w:rPr>
              <w:t>management</w:t>
            </w:r>
            <w:r w:rsidRPr="00577E69">
              <w:rPr>
                <w:rFonts w:ascii="Arial" w:eastAsia="SimSun" w:hAnsi="Arial" w:cs="Arial"/>
                <w:bCs/>
                <w:sz w:val="20"/>
                <w:szCs w:val="20"/>
              </w:rPr>
              <w:t xml:space="preserve"> LAN a portem pro kaskádování managementu  (min 2x 1GBase-T) při nasazení vice blade šasi, </w:t>
            </w:r>
          </w:p>
          <w:p w:rsidR="00577E69" w:rsidRPr="00577E69" w:rsidP="00577E69" w14:paraId="3A768014" w14:textId="77777777">
            <w:pPr>
              <w:numPr>
                <w:ilvl w:val="0"/>
                <w:numId w:val="26"/>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Management musí být vybaven vlastním HTML5 GUI, dostupný přes SSH/CLI,</w:t>
            </w:r>
          </w:p>
          <w:p w:rsidR="00577E69" w:rsidRPr="00577E69" w:rsidP="00577E69" w14:paraId="6F1C51AF" w14:textId="77777777">
            <w:pPr>
              <w:numPr>
                <w:ilvl w:val="0"/>
                <w:numId w:val="26"/>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Management šasi musí obsahovat potřebný (HW, SW) aby bylo možné vzájemně propojit, v případě nasazení více blade šasi stejného typu, do jednoho funkčního celku,</w:t>
            </w:r>
          </w:p>
          <w:p w:rsidR="00577E69" w:rsidRPr="00577E69" w:rsidP="00577E69" w14:paraId="2C769F49" w14:textId="77777777">
            <w:pPr>
              <w:numPr>
                <w:ilvl w:val="0"/>
                <w:numId w:val="26"/>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Součástí vestavěného managementu musí být řešení pro správu, dohled,  deployment a provisioning HW (včetně potřebného HW, SW vybavení),</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5DC97EF9"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1618ECED" w14:textId="77777777">
            <w:pPr>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 xml:space="preserve">Blade šasí MX7000 obsahuje 2x redundatntní mgmt modul </w:t>
            </w:r>
            <w:r w:rsidRPr="00577E69">
              <w:rPr>
                <w:rFonts w:ascii="Arial" w:eastAsia="Calibri" w:hAnsi="Arial" w:cs="Arial"/>
                <w:color w:val="000000"/>
                <w:sz w:val="20"/>
                <w:szCs w:val="20"/>
                <w:lang w:eastAsia="cs-CZ"/>
              </w:rPr>
              <w:t>s připojením 1GBase-T) s HTML5 GUI se SW Open Manage Modular a SSH/CLI.</w:t>
            </w:r>
          </w:p>
          <w:p w:rsidR="00577E69" w:rsidRPr="00577E69" w:rsidP="00C01AC0" w14:paraId="55460B1A" w14:textId="77777777">
            <w:pPr>
              <w:spacing w:after="0" w:line="240" w:lineRule="auto"/>
              <w:jc w:val="both"/>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Management umožňuje kompletní správu HW a jednotlivých sledů, včetně možností deploymentu porfilů, OS, HW provisioning a dalších v jednom celku.</w:t>
            </w:r>
            <w:r w:rsidRPr="00577E69">
              <w:rPr>
                <w:rFonts w:ascii="Arial" w:eastAsia="Calibri" w:hAnsi="Arial" w:cs="Arial"/>
                <w:color w:val="000000"/>
              </w:rPr>
              <w:t xml:space="preserve"> </w:t>
            </w:r>
          </w:p>
        </w:tc>
      </w:tr>
      <w:tr w14:paraId="3A001B60" w14:textId="77777777" w:rsidTr="00577E69">
        <w:tblPrEx>
          <w:tblW w:w="9650" w:type="dxa"/>
          <w:tblLayout w:type="fixed"/>
          <w:tblCellMar>
            <w:left w:w="70" w:type="dxa"/>
            <w:right w:w="70" w:type="dxa"/>
          </w:tblCellMar>
          <w:tblLook w:val="04A0"/>
        </w:tblPrEx>
        <w:trPr>
          <w:trHeight w:val="322"/>
        </w:trPr>
        <w:tc>
          <w:tcPr>
            <w:tcW w:w="5602"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4A9F33F6"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Napájení a chlazení:</w:t>
            </w:r>
          </w:p>
          <w:p w:rsidR="00577E69" w:rsidRPr="00577E69" w:rsidP="00577E69" w14:paraId="58993537" w14:textId="77777777">
            <w:pPr>
              <w:numPr>
                <w:ilvl w:val="0"/>
                <w:numId w:val="27"/>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Šasi musí být vybaveno redundantními komponentami chlazení a napájení</w:t>
            </w:r>
          </w:p>
          <w:p w:rsidR="00577E69" w:rsidRPr="00577E69" w:rsidP="00577E69" w14:paraId="089B5873" w14:textId="77777777">
            <w:pPr>
              <w:numPr>
                <w:ilvl w:val="0"/>
                <w:numId w:val="27"/>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 xml:space="preserve">Šasi musí být osazeno minimálně 6x napájecími zdroji, které musí umožňovat nastavení rozložení zátěže na </w:t>
            </w:r>
            <w:r w:rsidRPr="00577E69">
              <w:rPr>
                <w:rFonts w:ascii="Arial" w:eastAsia="SimSun" w:hAnsi="Arial" w:cs="Arial"/>
                <w:bCs/>
                <w:sz w:val="20"/>
                <w:szCs w:val="20"/>
              </w:rPr>
              <w:t>tří</w:t>
            </w:r>
            <w:r w:rsidRPr="00577E69">
              <w:rPr>
                <w:rFonts w:ascii="Arial" w:eastAsia="SimSun" w:hAnsi="Arial" w:cs="Arial"/>
                <w:bCs/>
                <w:sz w:val="20"/>
                <w:szCs w:val="20"/>
              </w:rPr>
              <w:t xml:space="preserve"> fázové </w:t>
            </w:r>
            <w:r w:rsidRPr="00577E69">
              <w:rPr>
                <w:rFonts w:ascii="Arial" w:eastAsia="SimSun" w:hAnsi="Arial" w:cs="Arial"/>
                <w:bCs/>
                <w:sz w:val="20"/>
                <w:szCs w:val="20"/>
              </w:rPr>
              <w:t>napájení</w:t>
            </w:r>
            <w:r w:rsidRPr="00577E69">
              <w:rPr>
                <w:rFonts w:ascii="Arial" w:eastAsia="SimSun" w:hAnsi="Arial" w:cs="Arial"/>
                <w:bCs/>
                <w:sz w:val="20"/>
                <w:szCs w:val="20"/>
              </w:rPr>
              <w:t xml:space="preserve"> po dvou zdrojích na každou fázi</w:t>
            </w:r>
          </w:p>
          <w:p w:rsidR="00577E69" w:rsidRPr="00577E69" w:rsidP="00577E69" w14:paraId="4A9CE29B" w14:textId="77777777">
            <w:pPr>
              <w:numPr>
                <w:ilvl w:val="0"/>
                <w:numId w:val="27"/>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 xml:space="preserve">Včetně 6 ks napájecích kabelů. </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7FAE424D"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5B3276B0"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Šasí je osazeno 6x napájecím zdrojem Titanium v redundanci 3+3 včetně 6x napájecích kabelů. Také obsahuje 4x front fan v redundanci 3+1 a 5x rear fan v redundanci 4+1 pro chlazení.</w:t>
            </w:r>
          </w:p>
        </w:tc>
      </w:tr>
      <w:tr w14:paraId="6456A7BE" w14:textId="77777777" w:rsidTr="00577E69">
        <w:tblPrEx>
          <w:tblW w:w="9650" w:type="dxa"/>
          <w:tblLayout w:type="fixed"/>
          <w:tblCellMar>
            <w:left w:w="70" w:type="dxa"/>
            <w:right w:w="70" w:type="dxa"/>
          </w:tblCellMar>
          <w:tblLook w:val="04A0"/>
        </w:tblPrEx>
        <w:trPr>
          <w:trHeight w:val="322"/>
        </w:trPr>
        <w:tc>
          <w:tcPr>
            <w:tcW w:w="5602"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3126F8C2" w14:textId="77777777">
            <w:pPr>
              <w:spacing w:before="60" w:after="60" w:line="240" w:lineRule="auto"/>
              <w:jc w:val="both"/>
              <w:rPr>
                <w:rFonts w:ascii="Arial" w:eastAsia="SimSun" w:hAnsi="Arial" w:cs="Arial"/>
                <w:bCs/>
                <w:sz w:val="20"/>
                <w:szCs w:val="20"/>
              </w:rPr>
            </w:pPr>
            <w:r w:rsidRPr="00577E69">
              <w:rPr>
                <w:rFonts w:ascii="Arial" w:eastAsia="SimSun" w:hAnsi="Arial" w:cs="Arial"/>
                <w:bCs/>
                <w:sz w:val="20"/>
                <w:szCs w:val="20"/>
              </w:rPr>
              <w:t xml:space="preserve">Součástí šasi musí být následující příslušenství: </w:t>
            </w:r>
          </w:p>
          <w:p w:rsidR="00577E69" w:rsidRPr="00577E69" w:rsidP="00577E69" w14:paraId="3F21FDDF"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2 ks síťový kabel  200GbE QSFP28-DD  o délce 0,5 metru.</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16153439"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6812AE0"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 xml:space="preserve">Nabídka obsahuje 2x 200GbE QSFP28-DD kabel o délce 0,5m pro VLT propojení mezi IO moduly. </w:t>
            </w:r>
          </w:p>
        </w:tc>
      </w:tr>
      <w:tr w14:paraId="6AC3B6DF" w14:textId="77777777" w:rsidTr="00577E69">
        <w:tblPrEx>
          <w:tblW w:w="9650" w:type="dxa"/>
          <w:tblLayout w:type="fixed"/>
          <w:tblCellMar>
            <w:left w:w="70" w:type="dxa"/>
            <w:right w:w="70" w:type="dxa"/>
          </w:tblCellMar>
          <w:tblLook w:val="04A0"/>
        </w:tblPrEx>
        <w:trPr>
          <w:trHeight w:val="322"/>
        </w:trPr>
        <w:tc>
          <w:tcPr>
            <w:tcW w:w="9650" w:type="dxa"/>
            <w:gridSpan w:val="3"/>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6B6E1217" w14:textId="77777777">
            <w:pPr>
              <w:spacing w:before="240" w:after="0" w:line="240" w:lineRule="auto"/>
              <w:jc w:val="both"/>
              <w:rPr>
                <w:rFonts w:ascii="Arial" w:eastAsia="Calibri" w:hAnsi="Arial" w:cs="Arial"/>
                <w:b/>
                <w:sz w:val="24"/>
                <w:szCs w:val="24"/>
                <w:lang w:eastAsia="cs-CZ"/>
              </w:rPr>
            </w:pPr>
            <w:r w:rsidRPr="00577E69">
              <w:rPr>
                <w:rFonts w:ascii="Arial" w:eastAsia="Calibri" w:hAnsi="Arial" w:cs="Arial"/>
                <w:b/>
                <w:sz w:val="24"/>
                <w:szCs w:val="24"/>
                <w:lang w:eastAsia="cs-CZ"/>
              </w:rPr>
              <w:t>Servery pro výše vyspecifikované blade šasi</w:t>
            </w:r>
          </w:p>
          <w:p w:rsidR="00577E69" w:rsidRPr="00577E69" w:rsidP="00C01AC0" w14:paraId="78B8F609" w14:textId="77777777">
            <w:pPr>
              <w:spacing w:after="240" w:line="240" w:lineRule="auto"/>
              <w:jc w:val="both"/>
              <w:rPr>
                <w:rFonts w:ascii="Arial" w:eastAsia="Calibri" w:hAnsi="Arial" w:cs="Arial"/>
                <w:b/>
                <w:sz w:val="20"/>
                <w:szCs w:val="20"/>
                <w:lang w:eastAsia="cs-CZ"/>
              </w:rPr>
            </w:pPr>
            <w:r w:rsidRPr="00577E69">
              <w:rPr>
                <w:rFonts w:ascii="Arial" w:eastAsia="Calibri" w:hAnsi="Arial" w:cs="Arial"/>
                <w:b/>
                <w:sz w:val="24"/>
                <w:szCs w:val="24"/>
                <w:lang w:eastAsia="cs-CZ"/>
              </w:rPr>
              <w:t>3 ks</w:t>
            </w:r>
          </w:p>
        </w:tc>
      </w:tr>
      <w:tr w14:paraId="0BF54163"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714B6FBC" w14:textId="77777777">
            <w:pPr>
              <w:spacing w:before="60" w:after="60" w:line="240" w:lineRule="auto"/>
              <w:jc w:val="both"/>
              <w:rPr>
                <w:rFonts w:ascii="Arial" w:eastAsia="SimSun" w:hAnsi="Arial" w:cs="Arial"/>
                <w:bCs/>
                <w:sz w:val="20"/>
                <w:szCs w:val="20"/>
                <w:lang w:eastAsia="cs-CZ"/>
              </w:rPr>
            </w:pPr>
            <w:r w:rsidRPr="00577E69">
              <w:rPr>
                <w:rFonts w:ascii="Arial" w:eastAsia="Calibri" w:hAnsi="Arial" w:cs="Arial"/>
                <w:b/>
                <w:sz w:val="20"/>
                <w:szCs w:val="20"/>
                <w:lang w:eastAsia="cs-CZ"/>
              </w:rPr>
              <w:t xml:space="preserve">Značka/typ </w:t>
            </w:r>
            <w:r w:rsidRPr="00577E69">
              <w:rPr>
                <w:rFonts w:ascii="Arial" w:eastAsia="Calibri" w:hAnsi="Arial" w:cs="Arial"/>
                <w:sz w:val="20"/>
                <w:szCs w:val="20"/>
                <w:lang w:eastAsia="cs-CZ"/>
              </w:rPr>
              <w:t>(doplní uchazeč)</w:t>
            </w:r>
            <w:r w:rsidRPr="00577E69">
              <w:rPr>
                <w:rFonts w:ascii="Arial" w:eastAsia="Calibri" w:hAnsi="Arial" w:cs="Arial"/>
                <w:b/>
                <w:sz w:val="20"/>
                <w:szCs w:val="20"/>
                <w:lang w:eastAsia="cs-CZ"/>
              </w:rPr>
              <w:t>:</w:t>
            </w:r>
          </w:p>
        </w:tc>
        <w:tc>
          <w:tcPr>
            <w:tcW w:w="4048" w:type="dxa"/>
            <w:gridSpan w:val="2"/>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760A809F" w14:textId="77777777">
            <w:pPr>
              <w:spacing w:after="0" w:line="240" w:lineRule="auto"/>
              <w:jc w:val="both"/>
              <w:rPr>
                <w:rFonts w:ascii="Arial" w:eastAsia="Calibri" w:hAnsi="Arial" w:cs="Arial"/>
                <w:b/>
                <w:bCs/>
                <w:color w:val="000000"/>
                <w:sz w:val="20"/>
                <w:szCs w:val="20"/>
                <w:lang w:eastAsia="cs-CZ"/>
              </w:rPr>
            </w:pPr>
            <w:r w:rsidRPr="00577E69">
              <w:rPr>
                <w:rFonts w:ascii="Arial" w:eastAsia="Calibri" w:hAnsi="Arial" w:cs="Arial"/>
                <w:b/>
                <w:bCs/>
                <w:color w:val="000000"/>
              </w:rPr>
              <w:t>PowerEdge MX760C Server</w:t>
            </w:r>
          </w:p>
        </w:tc>
      </w:tr>
      <w:tr w14:paraId="5241E91E"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5ADA1C8C"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Server musí být vybaven jedním procesorem (“CPU”), který obsahuje max. 16 jader</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7C861FCA"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07E8F07"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Compute sled je osazen 1x CPU Intel® Xeon® Gold 6426Y 2.5G, 16C/32T</w:t>
            </w:r>
          </w:p>
        </w:tc>
      </w:tr>
      <w:tr w14:paraId="2625AC9A" w14:textId="77777777" w:rsidTr="00577E69">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4598FB1D"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CPU musí</w:t>
            </w:r>
            <w:r w:rsidRPr="00577E69">
              <w:rPr>
                <w:rFonts w:ascii="Arial" w:eastAsia="SimSun" w:hAnsi="Arial" w:cs="Arial"/>
                <w:bCs/>
                <w:sz w:val="20"/>
                <w:szCs w:val="20"/>
                <w:lang w:eastAsia="cs-CZ"/>
              </w:rPr>
              <w:t xml:space="preserve"> dosahovat výkonu podle benchmarku SPEC CPU2017 (benchmark spuštěný pro systém osazený dvěma CPU), musí splňovat tyto minimální hodnoty (výsledek testu musí být prokazatelně publikovaný na https://www.spec.org/cpu2017/results/):</w:t>
            </w:r>
          </w:p>
          <w:p w:rsidR="00577E69" w:rsidRPr="00577E69" w:rsidP="00577E69" w14:paraId="18E671DC" w14:textId="77777777">
            <w:pPr>
              <w:numPr>
                <w:ilvl w:val="0"/>
                <w:numId w:val="28"/>
              </w:numPr>
              <w:spacing w:before="60" w:after="60" w:line="240" w:lineRule="auto"/>
              <w:contextualSpacing/>
              <w:jc w:val="both"/>
              <w:rPr>
                <w:rFonts w:ascii="Arial" w:eastAsia="SimSun" w:hAnsi="Arial" w:cs="Arial"/>
                <w:b/>
                <w:bCs/>
                <w:sz w:val="20"/>
                <w:szCs w:val="20"/>
              </w:rPr>
            </w:pPr>
            <w:r w:rsidRPr="00577E69">
              <w:rPr>
                <w:rFonts w:ascii="Arial" w:eastAsia="SimSun" w:hAnsi="Arial" w:cs="Arial"/>
                <w:b/>
                <w:bCs/>
                <w:sz w:val="20"/>
                <w:szCs w:val="20"/>
              </w:rPr>
              <w:t>SPECrate2017_int_base min – 329 bodů,</w:t>
            </w:r>
          </w:p>
          <w:p w:rsidR="00577E69" w:rsidRPr="00577E69" w:rsidP="00577E69" w14:paraId="5BAAD518"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
                <w:bCs/>
                <w:sz w:val="20"/>
                <w:szCs w:val="20"/>
              </w:rPr>
              <w:t>SPECrate2017_fp_base min – 443 bodů.</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3BDE132" w14:textId="77777777">
            <w:pPr>
              <w:spacing w:after="0" w:line="240" w:lineRule="auto"/>
              <w:jc w:val="center"/>
              <w:rPr>
                <w:rFonts w:ascii="Arial" w:eastAsia="Calibri" w:hAnsi="Arial" w:cs="Arial"/>
                <w:sz w:val="20"/>
                <w:szCs w:val="20"/>
                <w:lang w:eastAsia="cs-CZ"/>
              </w:rPr>
            </w:pPr>
            <w:r w:rsidRPr="00577E69">
              <w:rPr>
                <w:rFonts w:ascii="Arial" w:eastAsia="Calibri" w:hAnsi="Arial" w:cs="Arial"/>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66750F15"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SPECrate2017_int_base min – 339 bodů</w:t>
            </w:r>
          </w:p>
          <w:p w:rsidR="00577E69" w:rsidRPr="00577E69" w:rsidP="00C01AC0" w14:paraId="33D08341" w14:textId="77777777">
            <w:pPr>
              <w:spacing w:after="0" w:line="240" w:lineRule="auto"/>
              <w:rPr>
                <w:rFonts w:ascii="Arial" w:eastAsia="Calibri" w:hAnsi="Arial" w:cs="Arial"/>
                <w:color w:val="000000"/>
                <w:sz w:val="20"/>
                <w:szCs w:val="20"/>
                <w:lang w:eastAsia="cs-CZ"/>
              </w:rPr>
            </w:pPr>
          </w:p>
          <w:p w:rsidR="00577E69" w:rsidRPr="00577E69" w:rsidP="00C01AC0" w14:paraId="61481A4B" w14:textId="77777777">
            <w:pPr>
              <w:spacing w:after="0" w:line="240" w:lineRule="auto"/>
              <w:jc w:val="both"/>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SPECrate2017_fp_base min – 445 bodů</w:t>
            </w:r>
          </w:p>
        </w:tc>
      </w:tr>
      <w:tr w14:paraId="09B9149C" w14:textId="77777777" w:rsidTr="00577E69">
        <w:tblPrEx>
          <w:tblW w:w="9650" w:type="dxa"/>
          <w:tblLayout w:type="fixed"/>
          <w:tblCellMar>
            <w:left w:w="70" w:type="dxa"/>
            <w:right w:w="70" w:type="dxa"/>
          </w:tblCellMar>
          <w:tblLook w:val="04A0"/>
        </w:tblPrEx>
        <w:trPr>
          <w:trHeight w:val="376"/>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0E5B655E"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RAM:</w:t>
            </w:r>
          </w:p>
          <w:p w:rsidR="00577E69" w:rsidRPr="00577E69" w:rsidP="00577E69" w14:paraId="634C7D52"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minimálně 256 GB RAM,</w:t>
            </w:r>
          </w:p>
          <w:p w:rsidR="00577E69" w:rsidRPr="00577E69" w:rsidP="00577E69" w14:paraId="08709925"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paměťové moduly musí podporovat rychlost 4800MT/s a být typu RDIMM.</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62AFD890" w14:textId="77777777">
            <w:pPr>
              <w:spacing w:after="0" w:line="240" w:lineRule="auto"/>
              <w:jc w:val="center"/>
              <w:rPr>
                <w:rFonts w:ascii="Arial" w:eastAsia="Calibri" w:hAnsi="Arial" w:cs="Arial"/>
                <w:color w:val="000000"/>
                <w:sz w:val="20"/>
                <w:szCs w:val="20"/>
                <w:lang w:eastAsia="cs-CZ"/>
              </w:rPr>
            </w:pPr>
            <w:r w:rsidRPr="00577E69">
              <w:rPr>
                <w:rFonts w:ascii="Arial" w:eastAsia="Calibri" w:hAnsi="Arial" w:cs="Arial"/>
                <w:color w:val="000000"/>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0F13E807"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Každý compute  sled obsahuje 8x32GB RDIMM 4800MT/s, celkem tedy 256 GB</w:t>
            </w:r>
          </w:p>
        </w:tc>
      </w:tr>
      <w:tr w14:paraId="0BE3B57A" w14:textId="77777777" w:rsidTr="00577E69">
        <w:tblPrEx>
          <w:tblW w:w="9650" w:type="dxa"/>
          <w:tblLayout w:type="fixed"/>
          <w:tblCellMar>
            <w:left w:w="70" w:type="dxa"/>
            <w:right w:w="70" w:type="dxa"/>
          </w:tblCellMar>
          <w:tblLook w:val="04A0"/>
        </w:tblPrEx>
        <w:trPr>
          <w:trHeight w:val="396"/>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1C5863C4"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Disková kapacita:</w:t>
            </w:r>
          </w:p>
          <w:p w:rsidR="00577E69" w:rsidRPr="00577E69" w:rsidP="00577E69" w14:paraId="05F8076F"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 xml:space="preserve">disky bez pohyblivých částí (přípustný typ </w:t>
            </w:r>
            <w:r w:rsidRPr="00577E69">
              <w:rPr>
                <w:rFonts w:ascii="Arial" w:eastAsia="SimSun" w:hAnsi="Arial" w:cs="Arial"/>
                <w:bCs/>
                <w:sz w:val="20"/>
                <w:szCs w:val="20"/>
              </w:rPr>
              <w:t>M.2),</w:t>
            </w:r>
          </w:p>
          <w:p w:rsidR="00577E69" w:rsidRPr="00577E69" w:rsidP="00577E69" w14:paraId="1741EDC4"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osazení minimálně 2x disky určenými pro instalaci hypervisoru VMware ESXi 7.0,</w:t>
            </w:r>
          </w:p>
          <w:p w:rsidR="00577E69" w:rsidRPr="00577E69" w:rsidP="00577E69" w14:paraId="574B33C5"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minimální požadovaná kapacita je 480GB,</w:t>
            </w:r>
          </w:p>
          <w:p w:rsidR="00577E69" w:rsidRPr="00577E69" w:rsidP="00577E69" w14:paraId="7B0DF5EA"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disky musí být ve vzájemně redundantním režimu např. RAID1.</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619FFAAE" w14:textId="77777777">
            <w:pPr>
              <w:spacing w:after="0" w:line="240" w:lineRule="auto"/>
              <w:jc w:val="center"/>
              <w:rPr>
                <w:rFonts w:ascii="Arial" w:eastAsia="Calibri" w:hAnsi="Arial" w:cs="Arial"/>
                <w:color w:val="000000"/>
                <w:sz w:val="20"/>
                <w:szCs w:val="20"/>
                <w:lang w:eastAsia="cs-CZ"/>
              </w:rPr>
            </w:pPr>
            <w:r w:rsidRPr="00577E69">
              <w:rPr>
                <w:rFonts w:ascii="Arial" w:eastAsia="Calibri" w:hAnsi="Arial" w:cs="Arial"/>
                <w:color w:val="000000"/>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5160DBF9"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 xml:space="preserve">Každý  compute sled obsahuje BOSS kartu osazenou 2x480GB </w:t>
            </w:r>
            <w:r w:rsidRPr="00577E69">
              <w:rPr>
                <w:rFonts w:ascii="Arial" w:eastAsia="Calibri" w:hAnsi="Arial" w:cs="Arial"/>
                <w:color w:val="000000"/>
                <w:sz w:val="20"/>
                <w:szCs w:val="20"/>
                <w:lang w:eastAsia="cs-CZ"/>
              </w:rPr>
              <w:t>M.2 diskem</w:t>
            </w:r>
            <w:r w:rsidRPr="00577E69">
              <w:rPr>
                <w:rFonts w:ascii="Arial" w:eastAsia="Calibri" w:hAnsi="Arial" w:cs="Arial"/>
                <w:color w:val="000000"/>
                <w:sz w:val="20"/>
                <w:szCs w:val="20"/>
                <w:lang w:eastAsia="cs-CZ"/>
              </w:rPr>
              <w:t xml:space="preserve"> v RAID1 pro OS</w:t>
            </w:r>
          </w:p>
        </w:tc>
      </w:tr>
      <w:tr w14:paraId="6C8AFC22" w14:textId="77777777" w:rsidTr="00577E69">
        <w:tblPrEx>
          <w:tblW w:w="9650" w:type="dxa"/>
          <w:tblLayout w:type="fixed"/>
          <w:tblCellMar>
            <w:left w:w="70" w:type="dxa"/>
            <w:right w:w="70" w:type="dxa"/>
          </w:tblCellMar>
          <w:tblLook w:val="04A0"/>
        </w:tblPrEx>
        <w:trPr>
          <w:trHeight w:val="396"/>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39B5D0E1"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IO rozhraní pro LAN i SAN:</w:t>
            </w:r>
          </w:p>
          <w:p w:rsidR="00577E69" w:rsidRPr="00577E69" w:rsidP="00577E69" w14:paraId="0F1B0D20"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1x dvouportová konvergovaná 10/25GbE síťová karta s podporou a akcelerací iSCSI a FCoE protokolů.</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1BD33FBF" w14:textId="77777777">
            <w:pPr>
              <w:spacing w:after="0" w:line="240" w:lineRule="auto"/>
              <w:jc w:val="center"/>
              <w:rPr>
                <w:rFonts w:ascii="Arial" w:eastAsia="Calibri" w:hAnsi="Arial" w:cs="Arial"/>
                <w:color w:val="000000"/>
                <w:sz w:val="20"/>
                <w:szCs w:val="20"/>
              </w:rPr>
            </w:pPr>
            <w:r w:rsidRPr="00577E69">
              <w:rPr>
                <w:rFonts w:ascii="Arial" w:eastAsia="Calibri" w:hAnsi="Arial" w:cs="Arial"/>
                <w:color w:val="000000"/>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124141EE"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Každý  compute sled je do šasí připojen 2x porty 10/25GbE podporujícími iSCSI a FCoE</w:t>
            </w:r>
          </w:p>
        </w:tc>
      </w:tr>
      <w:tr w14:paraId="68019D5E" w14:textId="77777777" w:rsidTr="00577E69">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2AF798CB"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Management serveru:</w:t>
            </w:r>
          </w:p>
          <w:p w:rsidR="00577E69" w:rsidRPr="00577E69" w:rsidP="00577E69" w14:paraId="77AD61B5"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servery musí disponovat kompletním out-of-band managementem,</w:t>
            </w:r>
          </w:p>
          <w:p w:rsidR="00577E69" w:rsidRPr="00577E69" w:rsidP="00577E69" w14:paraId="518A6546"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prostřednictvím managementu musí být server přístupný v režimu KVM-over-IP s možností připojení remote médií (CDROM, USB, ISO), včetně podpory remote boot z takto připojených prostředků,</w:t>
            </w:r>
          </w:p>
          <w:p w:rsidR="00577E69" w:rsidRPr="00577E69" w:rsidP="00577E69" w14:paraId="455C0678"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management serveru musí být 100% agentless (není potřeba služba, driver do provozovaných OS) nejenom pro monitorování ale i pro update biosů nebo firmwarů HW,</w:t>
            </w:r>
          </w:p>
          <w:p w:rsidR="00577E69" w:rsidRPr="00577E69" w:rsidP="00577E69" w14:paraId="767113D7" w14:textId="77777777">
            <w:pPr>
              <w:numPr>
                <w:ilvl w:val="0"/>
                <w:numId w:val="28"/>
              </w:numPr>
              <w:spacing w:before="60" w:after="60" w:line="240" w:lineRule="auto"/>
              <w:contextualSpacing/>
              <w:jc w:val="both"/>
              <w:rPr>
                <w:rFonts w:ascii="Arial" w:eastAsia="SimSun" w:hAnsi="Arial" w:cs="Arial"/>
                <w:bCs/>
                <w:sz w:val="20"/>
                <w:szCs w:val="20"/>
              </w:rPr>
            </w:pPr>
            <w:r w:rsidRPr="00577E69">
              <w:rPr>
                <w:rFonts w:ascii="Arial" w:eastAsia="SimSun" w:hAnsi="Arial" w:cs="Arial"/>
                <w:bCs/>
                <w:sz w:val="20"/>
                <w:szCs w:val="20"/>
              </w:rPr>
              <w:t>Server musí být uveden na HCL VMware pro ESXi 7.0+.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6B130EAC" w14:textId="77777777">
            <w:pPr>
              <w:spacing w:after="0" w:line="240" w:lineRule="auto"/>
              <w:jc w:val="center"/>
              <w:rPr>
                <w:rFonts w:ascii="Arial" w:eastAsia="Calibri" w:hAnsi="Arial" w:cs="Arial"/>
                <w:color w:val="000000"/>
                <w:sz w:val="20"/>
                <w:szCs w:val="20"/>
              </w:rPr>
            </w:pPr>
            <w:r w:rsidRPr="00577E69">
              <w:rPr>
                <w:rFonts w:ascii="Arial" w:eastAsia="Calibri" w:hAnsi="Arial" w:cs="Arial"/>
                <w:color w:val="000000"/>
                <w:sz w:val="20"/>
                <w:szCs w:val="20"/>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5526C828"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Každý  compute sled obsahuje iDRAC mgmt port s možností KVM-over-IP s připojením medií CD-ROM, USB, ISO včetně podpory remote boot.</w:t>
            </w:r>
          </w:p>
          <w:p w:rsidR="00577E69" w:rsidRPr="00577E69" w:rsidP="00C01AC0" w14:paraId="4BD9811F"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Mgmt rozhraní je agentless.</w:t>
            </w:r>
          </w:p>
          <w:p w:rsidR="00577E69" w:rsidRPr="00577E69" w:rsidP="00C01AC0" w14:paraId="723B4CE3"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Server je uveden v compatibility listu VMware pro příslušné verze.</w:t>
            </w:r>
          </w:p>
        </w:tc>
      </w:tr>
      <w:tr w14:paraId="71D497E8" w14:textId="77777777" w:rsidTr="00577E69">
        <w:tblPrEx>
          <w:tblW w:w="9650" w:type="dxa"/>
          <w:tblLayout w:type="fixed"/>
          <w:tblCellMar>
            <w:left w:w="70" w:type="dxa"/>
            <w:right w:w="70" w:type="dxa"/>
          </w:tblCellMar>
          <w:tblLook w:val="04A0"/>
        </w:tblPrEx>
        <w:trPr>
          <w:trHeight w:val="396"/>
        </w:trPr>
        <w:tc>
          <w:tcPr>
            <w:tcW w:w="9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20FF178F" w14:textId="77777777">
            <w:pPr>
              <w:spacing w:before="240" w:after="0" w:line="240" w:lineRule="auto"/>
              <w:jc w:val="both"/>
              <w:rPr>
                <w:rFonts w:ascii="Arial" w:eastAsia="MS Mincho" w:hAnsi="Arial" w:cs="Arial"/>
                <w:b/>
                <w:sz w:val="24"/>
                <w:szCs w:val="24"/>
                <w:lang w:eastAsia="cs-CZ"/>
              </w:rPr>
            </w:pPr>
            <w:r w:rsidRPr="00577E69">
              <w:rPr>
                <w:rFonts w:ascii="Arial" w:eastAsia="MS Mincho" w:hAnsi="Arial" w:cs="Arial"/>
                <w:b/>
                <w:sz w:val="24"/>
                <w:szCs w:val="24"/>
                <w:lang w:eastAsia="cs-CZ"/>
              </w:rPr>
              <w:t>I/O moduly do blade šasi</w:t>
            </w:r>
          </w:p>
          <w:p w:rsidR="00577E69" w:rsidRPr="00577E69" w:rsidP="00C01AC0" w14:paraId="75379ED0" w14:textId="77777777">
            <w:pPr>
              <w:spacing w:after="240" w:line="240" w:lineRule="auto"/>
              <w:jc w:val="both"/>
              <w:rPr>
                <w:rFonts w:ascii="Arial" w:eastAsia="Calibri" w:hAnsi="Arial" w:cs="Arial"/>
                <w:color w:val="000000"/>
                <w:sz w:val="20"/>
                <w:szCs w:val="20"/>
                <w:lang w:eastAsia="cs-CZ"/>
              </w:rPr>
            </w:pPr>
            <w:r w:rsidRPr="00577E69">
              <w:rPr>
                <w:rFonts w:ascii="Arial" w:eastAsia="MS Mincho" w:hAnsi="Arial" w:cs="Arial"/>
                <w:b/>
                <w:sz w:val="24"/>
                <w:szCs w:val="24"/>
                <w:lang w:eastAsia="cs-CZ"/>
              </w:rPr>
              <w:t>2 ks</w:t>
            </w:r>
          </w:p>
        </w:tc>
      </w:tr>
      <w:tr w14:paraId="727C2ED0" w14:textId="77777777" w:rsidTr="00577E69">
        <w:tblPrEx>
          <w:tblW w:w="9650" w:type="dxa"/>
          <w:tblLayout w:type="fixed"/>
          <w:tblCellMar>
            <w:left w:w="70" w:type="dxa"/>
            <w:right w:w="70" w:type="dxa"/>
          </w:tblCellMar>
          <w:tblLook w:val="04A0"/>
        </w:tblPrEx>
        <w:trPr>
          <w:trHeight w:val="396"/>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03D49359" w14:textId="77777777">
            <w:pPr>
              <w:spacing w:before="60" w:after="60" w:line="240" w:lineRule="auto"/>
              <w:jc w:val="both"/>
              <w:rPr>
                <w:rFonts w:ascii="Arial" w:eastAsia="Calibri" w:hAnsi="Arial" w:cs="Arial"/>
                <w:sz w:val="20"/>
                <w:szCs w:val="20"/>
                <w:lang w:eastAsia="cs-CZ"/>
              </w:rPr>
            </w:pPr>
            <w:r w:rsidRPr="00577E69">
              <w:rPr>
                <w:rFonts w:ascii="Arial" w:eastAsia="Calibri" w:hAnsi="Arial" w:cs="Arial"/>
                <w:b/>
                <w:sz w:val="20"/>
                <w:szCs w:val="20"/>
                <w:lang w:eastAsia="cs-CZ"/>
              </w:rPr>
              <w:t xml:space="preserve">Značka/typ </w:t>
            </w:r>
            <w:r w:rsidRPr="00577E69">
              <w:rPr>
                <w:rFonts w:ascii="Arial" w:eastAsia="Calibri" w:hAnsi="Arial" w:cs="Arial"/>
                <w:sz w:val="20"/>
                <w:szCs w:val="20"/>
                <w:lang w:eastAsia="cs-CZ"/>
              </w:rPr>
              <w:t>(doplní uchazeč)</w:t>
            </w:r>
            <w:r w:rsidRPr="00577E69">
              <w:rPr>
                <w:rFonts w:ascii="Arial" w:eastAsia="Calibri" w:hAnsi="Arial" w:cs="Arial"/>
                <w:b/>
                <w:sz w:val="20"/>
                <w:szCs w:val="20"/>
                <w:lang w:eastAsia="cs-CZ"/>
              </w:rPr>
              <w:t>:</w:t>
            </w:r>
          </w:p>
        </w:tc>
        <w:tc>
          <w:tcPr>
            <w:tcW w:w="4048" w:type="dxa"/>
            <w:gridSpan w:val="2"/>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0D257EBF" w14:textId="77777777">
            <w:pPr>
              <w:spacing w:after="0" w:line="240" w:lineRule="auto"/>
              <w:jc w:val="both"/>
              <w:rPr>
                <w:rFonts w:ascii="Arial" w:eastAsia="Calibri" w:hAnsi="Arial" w:cs="Arial"/>
                <w:b/>
                <w:bCs/>
                <w:color w:val="000000"/>
              </w:rPr>
            </w:pPr>
            <w:r w:rsidRPr="00577E69">
              <w:rPr>
                <w:rFonts w:ascii="Arial" w:eastAsia="Calibri" w:hAnsi="Arial" w:cs="Arial"/>
                <w:b/>
                <w:bCs/>
                <w:color w:val="000000"/>
              </w:rPr>
              <w:t>Dell EMC MX9116N 25GbE</w:t>
            </w:r>
          </w:p>
        </w:tc>
      </w:tr>
      <w:tr w14:paraId="4C226F48" w14:textId="77777777" w:rsidTr="00577E69">
        <w:tblPrEx>
          <w:tblW w:w="9650" w:type="dxa"/>
          <w:tblLayout w:type="fixed"/>
          <w:tblCellMar>
            <w:left w:w="70" w:type="dxa"/>
            <w:right w:w="70" w:type="dxa"/>
          </w:tblCellMar>
          <w:tblLook w:val="04A0"/>
        </w:tblPrEx>
        <w:trPr>
          <w:trHeight w:val="396"/>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211CE211"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Přepínač L2/L3 s podporou DCB a iSCSI.</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6C196D6E" w14:textId="77777777">
            <w:pPr>
              <w:spacing w:after="0" w:line="240" w:lineRule="auto"/>
              <w:jc w:val="center"/>
              <w:rPr>
                <w:rFonts w:ascii="Arial" w:eastAsia="Calibri" w:hAnsi="Arial" w:cs="Arial"/>
                <w:color w:val="000000"/>
                <w:sz w:val="20"/>
                <w:szCs w:val="20"/>
              </w:rPr>
            </w:pPr>
            <w:r w:rsidRPr="00577E69">
              <w:rPr>
                <w:rFonts w:ascii="Arial" w:eastAsia="Calibri" w:hAnsi="Arial" w:cs="Arial"/>
                <w:color w:val="000000"/>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26880B33"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IO moduly podporují DCB i iSCSI</w:t>
            </w:r>
          </w:p>
        </w:tc>
      </w:tr>
      <w:tr w14:paraId="758F5111" w14:textId="77777777" w:rsidTr="00577E69">
        <w:tblPrEx>
          <w:tblW w:w="9650" w:type="dxa"/>
          <w:tblLayout w:type="fixed"/>
          <w:tblCellMar>
            <w:left w:w="70" w:type="dxa"/>
            <w:right w:w="70" w:type="dxa"/>
          </w:tblCellMar>
          <w:tblLook w:val="04A0"/>
        </w:tblPrEx>
        <w:trPr>
          <w:trHeight w:val="396"/>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6013E922"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Každý přepínač musí podporovat min. 8x 25GbE LAN portů směrem k blade serverům.</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76E39E3B" w14:textId="77777777">
            <w:pPr>
              <w:spacing w:after="0" w:line="240" w:lineRule="auto"/>
              <w:jc w:val="center"/>
              <w:rPr>
                <w:rFonts w:ascii="Arial" w:eastAsia="Calibri" w:hAnsi="Arial" w:cs="Arial"/>
                <w:color w:val="000000"/>
                <w:sz w:val="20"/>
                <w:szCs w:val="20"/>
              </w:rPr>
            </w:pPr>
            <w:r w:rsidRPr="00577E69">
              <w:rPr>
                <w:rFonts w:ascii="Arial" w:eastAsia="Calibri" w:hAnsi="Arial" w:cs="Arial"/>
                <w:color w:val="000000"/>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153A3852"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Každý přepínač má 16x 25GbE portů pro interní sledy.</w:t>
            </w:r>
          </w:p>
        </w:tc>
      </w:tr>
      <w:tr w14:paraId="5984FE54" w14:textId="77777777" w:rsidTr="00577E69">
        <w:tblPrEx>
          <w:tblW w:w="9650" w:type="dxa"/>
          <w:tblLayout w:type="fixed"/>
          <w:tblCellMar>
            <w:left w:w="70" w:type="dxa"/>
            <w:right w:w="70" w:type="dxa"/>
          </w:tblCellMar>
          <w:tblLook w:val="04A0"/>
        </w:tblPrEx>
        <w:trPr>
          <w:trHeight w:val="396"/>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1625EA9F"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rPr>
              <w:t>Každý přepínač musí být vybaven porty pro externí konektivitu, min. 12x QDD28, 2x Q28.</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47A68989" w14:textId="77777777">
            <w:pPr>
              <w:spacing w:after="0" w:line="240" w:lineRule="auto"/>
              <w:jc w:val="center"/>
              <w:rPr>
                <w:rFonts w:ascii="Arial" w:eastAsia="Calibri" w:hAnsi="Arial" w:cs="Arial"/>
                <w:color w:val="000000"/>
                <w:sz w:val="20"/>
                <w:szCs w:val="20"/>
              </w:rPr>
            </w:pPr>
            <w:r w:rsidRPr="00577E69">
              <w:rPr>
                <w:rFonts w:ascii="Arial" w:eastAsia="Calibri" w:hAnsi="Arial" w:cs="Arial"/>
                <w:color w:val="000000"/>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5AF73A50"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Každý přepínač má 12x QDD28 a 2xQ28/32FC portů.</w:t>
            </w:r>
          </w:p>
        </w:tc>
      </w:tr>
      <w:tr w14:paraId="4F9BFFD2" w14:textId="77777777" w:rsidTr="00577E69">
        <w:tblPrEx>
          <w:tblW w:w="9650" w:type="dxa"/>
          <w:tblLayout w:type="fixed"/>
          <w:tblCellMar>
            <w:left w:w="70" w:type="dxa"/>
            <w:right w:w="70" w:type="dxa"/>
          </w:tblCellMar>
          <w:tblLook w:val="04A0"/>
        </w:tblPrEx>
        <w:trPr>
          <w:trHeight w:val="396"/>
        </w:trPr>
        <w:tc>
          <w:tcPr>
            <w:tcW w:w="5602" w:type="dxa"/>
            <w:tcBorders>
              <w:top w:val="nil"/>
              <w:left w:val="single" w:sz="4" w:space="0" w:color="auto"/>
              <w:bottom w:val="single" w:sz="4" w:space="0" w:color="auto"/>
              <w:right w:val="single" w:sz="4" w:space="0" w:color="auto"/>
            </w:tcBorders>
            <w:shd w:val="clear" w:color="auto" w:fill="auto"/>
            <w:vAlign w:val="center"/>
          </w:tcPr>
          <w:p w:rsidR="00577E69" w:rsidRPr="00577E69" w:rsidP="00C01AC0" w14:paraId="5E1DD29A"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Management rozhraní s podporou: SNMPv1/v2c/v3, (Telnet, FTP, RADIUS,SSH).</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392541FA" w14:textId="77777777">
            <w:pPr>
              <w:spacing w:after="0" w:line="240" w:lineRule="auto"/>
              <w:jc w:val="center"/>
              <w:rPr>
                <w:rFonts w:ascii="Arial" w:eastAsia="Calibri" w:hAnsi="Arial" w:cs="Arial"/>
                <w:color w:val="000000"/>
                <w:sz w:val="20"/>
                <w:szCs w:val="20"/>
              </w:rPr>
            </w:pPr>
            <w:r w:rsidRPr="00577E69">
              <w:rPr>
                <w:rFonts w:ascii="Arial" w:eastAsia="Calibri" w:hAnsi="Arial" w:cs="Arial"/>
                <w:color w:val="000000"/>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6560DA1A"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Mgmt rozhraní podporuje všechny zmíněné protokoly.</w:t>
            </w:r>
          </w:p>
        </w:tc>
      </w:tr>
      <w:tr w14:paraId="7C3B22FA" w14:textId="77777777" w:rsidTr="00577E69">
        <w:tblPrEx>
          <w:tblW w:w="9650" w:type="dxa"/>
          <w:tblLayout w:type="fixed"/>
          <w:tblCellMar>
            <w:left w:w="70" w:type="dxa"/>
            <w:right w:w="70" w:type="dxa"/>
          </w:tblCellMar>
          <w:tblLook w:val="04A0"/>
        </w:tblPrEx>
        <w:trPr>
          <w:trHeight w:val="396"/>
        </w:trPr>
        <w:tc>
          <w:tcPr>
            <w:tcW w:w="9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2EB1F61B" w14:textId="77777777">
            <w:pPr>
              <w:spacing w:before="240" w:after="240" w:line="240" w:lineRule="auto"/>
              <w:jc w:val="both"/>
              <w:rPr>
                <w:rFonts w:ascii="Arial" w:eastAsia="Calibri" w:hAnsi="Arial" w:cs="Arial"/>
                <w:color w:val="000000"/>
                <w:sz w:val="20"/>
                <w:szCs w:val="20"/>
                <w:lang w:eastAsia="cs-CZ"/>
              </w:rPr>
            </w:pPr>
            <w:r w:rsidRPr="00577E69">
              <w:rPr>
                <w:rFonts w:ascii="Arial" w:eastAsia="MS Mincho" w:hAnsi="Arial" w:cs="Arial"/>
                <w:b/>
                <w:sz w:val="20"/>
                <w:szCs w:val="20"/>
                <w:lang w:eastAsia="cs-CZ"/>
              </w:rPr>
              <w:t>Požadované implementační služby</w:t>
            </w:r>
          </w:p>
        </w:tc>
      </w:tr>
      <w:tr w14:paraId="2C42DEAB" w14:textId="77777777" w:rsidTr="00577E69">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shd w:val="clear" w:color="auto" w:fill="auto"/>
            <w:vAlign w:val="center"/>
          </w:tcPr>
          <w:p w:rsidR="00577E69" w:rsidRPr="00577E69" w:rsidP="00C01AC0" w14:paraId="03B9C15E"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 xml:space="preserve">HW instalace Blade šasi a blade  serverů. </w:t>
            </w:r>
          </w:p>
          <w:p w:rsidR="00577E69" w:rsidRPr="00577E69" w:rsidP="00C01AC0" w14:paraId="083BE009"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Prokabelování a update firmware.</w:t>
            </w:r>
          </w:p>
          <w:p w:rsidR="00577E69" w:rsidRPr="00577E69" w:rsidP="00C01AC0" w14:paraId="7C0E652D"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 xml:space="preserve">Konfigurace LAN a propojení ke stávající infrastruktuře.  </w:t>
            </w:r>
          </w:p>
          <w:p w:rsidR="00577E69" w:rsidRPr="00577E69" w:rsidP="00C01AC0" w14:paraId="4F4C5A1F"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Instalace a konfigurace ESXi na 3 nodech.</w:t>
            </w:r>
          </w:p>
          <w:p w:rsidR="00577E69" w:rsidRPr="00577E69" w:rsidP="00C01AC0" w14:paraId="3F2A2AF5"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 xml:space="preserve">Otestování a akceptace řešení.  </w:t>
            </w:r>
          </w:p>
          <w:p w:rsidR="00577E69" w:rsidRPr="00577E69" w:rsidP="00C01AC0" w14:paraId="4FBECEB9" w14:textId="77777777">
            <w:pPr>
              <w:spacing w:before="60" w:after="60" w:line="240" w:lineRule="auto"/>
              <w:jc w:val="both"/>
              <w:rPr>
                <w:rFonts w:ascii="Arial" w:eastAsia="SimSun" w:hAnsi="Arial" w:cs="Arial"/>
                <w:bCs/>
                <w:sz w:val="20"/>
                <w:szCs w:val="20"/>
                <w:lang w:eastAsia="cs-CZ"/>
              </w:rPr>
            </w:pPr>
            <w:r w:rsidRPr="00577E69">
              <w:rPr>
                <w:rFonts w:ascii="Arial" w:eastAsia="SimSun" w:hAnsi="Arial" w:cs="Arial"/>
                <w:bCs/>
                <w:sz w:val="20"/>
                <w:szCs w:val="20"/>
                <w:lang w:eastAsia="cs-CZ"/>
              </w:rPr>
              <w:t>Dokumentace a proškolení administrátorů.</w:t>
            </w:r>
          </w:p>
        </w:tc>
        <w:tc>
          <w:tcPr>
            <w:tcW w:w="1210" w:type="dxa"/>
            <w:tcBorders>
              <w:top w:val="single" w:sz="4" w:space="0" w:color="auto"/>
              <w:left w:val="nil"/>
              <w:bottom w:val="single" w:sz="4" w:space="0" w:color="auto"/>
              <w:right w:val="single" w:sz="4" w:space="0" w:color="auto"/>
            </w:tcBorders>
            <w:shd w:val="clear" w:color="auto" w:fill="auto"/>
            <w:vAlign w:val="center"/>
          </w:tcPr>
          <w:p w:rsidR="00577E69" w:rsidRPr="00577E69" w:rsidP="00C01AC0" w14:paraId="660D6140" w14:textId="77777777">
            <w:pPr>
              <w:spacing w:after="0" w:line="240" w:lineRule="auto"/>
              <w:jc w:val="center"/>
              <w:rPr>
                <w:rFonts w:ascii="Arial" w:eastAsia="Calibri" w:hAnsi="Arial" w:cs="Arial"/>
                <w:color w:val="000000"/>
                <w:sz w:val="20"/>
                <w:szCs w:val="20"/>
                <w:lang w:eastAsia="cs-CZ"/>
              </w:rPr>
            </w:pPr>
            <w:r w:rsidRPr="00577E69">
              <w:rPr>
                <w:rFonts w:ascii="Arial" w:eastAsia="Calibri" w:hAnsi="Arial" w:cs="Arial"/>
                <w:color w:val="000000"/>
                <w:sz w:val="20"/>
                <w:szCs w:val="20"/>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577E69" w:rsidRPr="00824E3C" w:rsidP="00C01AC0" w14:paraId="2A58D07C" w14:textId="77777777">
            <w:pPr>
              <w:spacing w:after="0" w:line="240" w:lineRule="auto"/>
              <w:rPr>
                <w:rFonts w:ascii="Arial" w:eastAsia="Calibri" w:hAnsi="Arial" w:cs="Arial"/>
                <w:color w:val="000000"/>
                <w:sz w:val="20"/>
                <w:szCs w:val="20"/>
                <w:lang w:eastAsia="cs-CZ"/>
              </w:rPr>
            </w:pPr>
            <w:r w:rsidRPr="00577E69">
              <w:rPr>
                <w:rFonts w:ascii="Arial" w:eastAsia="Calibri" w:hAnsi="Arial" w:cs="Arial"/>
                <w:color w:val="000000"/>
                <w:sz w:val="20"/>
                <w:szCs w:val="20"/>
                <w:lang w:eastAsia="cs-CZ"/>
              </w:rPr>
              <w:t>V nabídce jsou obsaženy všechny instalační a implementační práce, popsané v tomto oddíle.</w:t>
            </w:r>
          </w:p>
        </w:tc>
      </w:tr>
    </w:tbl>
    <w:p w:rsidR="001C4323" w14:paraId="6B31A282" w14:textId="77777777"/>
    <w:sectPr w:rsidSect="00B875B8">
      <w:headerReference w:type="default" r:id="rId9"/>
      <w:headerReference w:type="first" r:id="rId10"/>
      <w:pgSz w:w="11906" w:h="16838"/>
      <w:pgMar w:top="1134" w:right="1021" w:bottom="1276" w:left="1077" w:header="709"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C862B5" w:rsidP="004A3F49" w14:paraId="66D57345" w14:textId="77777777">
    <w:pPr>
      <w:pStyle w:val="Footer"/>
      <w:pBdr>
        <w:top w:val="single" w:sz="4" w:space="1" w:color="auto"/>
      </w:pBdr>
      <w:jc w:val="right"/>
      <w:rPr>
        <w:rFonts w:cs="Arial"/>
        <w:sz w:val="20"/>
        <w:szCs w:val="20"/>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Pr>
        <w:rFonts w:cs="Arial"/>
        <w:bCs/>
        <w:noProof/>
        <w:sz w:val="20"/>
        <w:szCs w:val="20"/>
      </w:rPr>
      <w:t>10</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Pr>
        <w:rFonts w:cs="Arial"/>
        <w:bCs/>
        <w:noProof/>
        <w:sz w:val="20"/>
        <w:szCs w:val="20"/>
      </w:rPr>
      <w:t>11</w:t>
    </w:r>
    <w:r>
      <w:rPr>
        <w:rFonts w:cs="Arial"/>
        <w:bCs/>
        <w:sz w:val="20"/>
        <w:szCs w:val="20"/>
      </w:rPr>
      <w:fldChar w:fldCharType="end"/>
    </w:r>
    <w:r w:rsidRPr="00C862B5">
      <w:rPr>
        <w:rFonts w:cs="Arial"/>
        <w:bCs/>
        <w:sz w:val="20"/>
        <w:szCs w:val="20"/>
      </w:rPr>
      <w:t>)</w:t>
    </w:r>
  </w:p>
  <w:p w:rsidR="00531E59" w14:paraId="25B414E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4627C5" w:rsidP="004A3F49" w14:paraId="00B28DB9" w14:textId="6B361E01">
    <w:pPr>
      <w:pStyle w:val="Footer"/>
      <w:pBdr>
        <w:top w:val="single" w:sz="4" w:space="1" w:color="auto"/>
      </w:pBdr>
      <w:jc w:val="right"/>
      <w:rPr>
        <w:rFonts w:ascii="Arial" w:hAnsi="Arial" w:cs="Arial"/>
        <w:sz w:val="20"/>
        <w:szCs w:val="20"/>
      </w:rPr>
    </w:pPr>
    <w:r w:rsidRPr="004627C5">
      <w:rPr>
        <w:rFonts w:ascii="Arial" w:hAnsi="Arial" w:cs="Arial"/>
        <w:sz w:val="20"/>
        <w:szCs w:val="20"/>
      </w:rPr>
      <w:t xml:space="preserve">Stránka </w:t>
    </w:r>
    <w:r w:rsidRPr="004627C5">
      <w:rPr>
        <w:rFonts w:ascii="Arial" w:hAnsi="Arial" w:cs="Arial"/>
        <w:bCs/>
        <w:sz w:val="20"/>
        <w:szCs w:val="20"/>
      </w:rPr>
      <w:fldChar w:fldCharType="begin"/>
    </w:r>
    <w:r w:rsidRPr="004627C5">
      <w:rPr>
        <w:rFonts w:ascii="Arial" w:hAnsi="Arial" w:cs="Arial"/>
        <w:bCs/>
        <w:sz w:val="20"/>
        <w:szCs w:val="20"/>
      </w:rPr>
      <w:instrText>PAGE</w:instrText>
    </w:r>
    <w:r w:rsidRPr="004627C5">
      <w:rPr>
        <w:rFonts w:ascii="Arial" w:hAnsi="Arial" w:cs="Arial"/>
        <w:bCs/>
        <w:sz w:val="20"/>
        <w:szCs w:val="20"/>
      </w:rPr>
      <w:fldChar w:fldCharType="separate"/>
    </w:r>
    <w:r w:rsidRPr="004627C5">
      <w:rPr>
        <w:rFonts w:ascii="Arial" w:hAnsi="Arial" w:cs="Arial"/>
        <w:bCs/>
        <w:sz w:val="20"/>
        <w:szCs w:val="20"/>
      </w:rPr>
      <w:t>15</w:t>
    </w:r>
    <w:r w:rsidRPr="004627C5">
      <w:rPr>
        <w:rFonts w:ascii="Arial" w:hAnsi="Arial" w:cs="Arial"/>
        <w:bCs/>
        <w:sz w:val="20"/>
        <w:szCs w:val="20"/>
      </w:rPr>
      <w:fldChar w:fldCharType="end"/>
    </w:r>
    <w:r w:rsidRPr="004627C5">
      <w:rPr>
        <w:rFonts w:ascii="Arial" w:hAnsi="Arial" w:cs="Arial"/>
        <w:sz w:val="20"/>
        <w:szCs w:val="20"/>
      </w:rPr>
      <w:t xml:space="preserve"> (celkem </w:t>
    </w:r>
    <w:r w:rsidR="00FB1FA7">
      <w:rPr>
        <w:rFonts w:ascii="Arial" w:hAnsi="Arial" w:cs="Arial"/>
        <w:bCs/>
        <w:sz w:val="20"/>
        <w:szCs w:val="20"/>
      </w:rPr>
      <w:t>15</w:t>
    </w:r>
    <w:r w:rsidRPr="004627C5">
      <w:rPr>
        <w:rFonts w:ascii="Arial" w:hAnsi="Arial" w:cs="Arial"/>
        <w:bCs/>
        <w:sz w:val="20"/>
        <w:szCs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2630E3" w:rsidP="004A3F49" w14:paraId="4C6497D7" w14:textId="77777777">
    <w:pPr>
      <w:pStyle w:val="Header"/>
      <w:jc w:val="right"/>
      <w:rPr>
        <w:rFonts w:cs="Arial"/>
      </w:rPr>
    </w:pPr>
    <w:r w:rsidRPr="002630E3">
      <w:rPr>
        <w:rFonts w:cs="Arial"/>
      </w:rPr>
      <w:t xml:space="preserve">Příloha </w:t>
    </w:r>
    <w:r>
      <w:rPr>
        <w:rFonts w:cs="Arial"/>
      </w:rPr>
      <w:t>D výzvy k podání nabídky</w:t>
    </w:r>
    <w:r w:rsidRPr="002630E3">
      <w:rPr>
        <w:rFonts w:cs="Arial"/>
      </w:rPr>
      <w:t xml:space="preserve"> – </w:t>
    </w:r>
    <w:r>
      <w:rPr>
        <w:rFonts w:cs="Arial"/>
      </w:rPr>
      <w:t>Vzor kupní smlouvy</w:t>
    </w:r>
  </w:p>
  <w:p w:rsidR="00531E59" w:rsidRPr="005F6B59" w:rsidP="004A3F49" w14:paraId="4A21E6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E69" w:rsidRPr="00577E69" w:rsidP="00577E69" w14:paraId="7896D405" w14:textId="57AB574C">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5B11E8FD" w14:textId="77777777" w:rsidTr="00940CB7">
      <w:tblPrEx>
        <w:tblW w:w="9889" w:type="dxa"/>
        <w:tblLook w:val="04A0"/>
      </w:tblPrEx>
      <w:tc>
        <w:tcPr>
          <w:tcW w:w="6345" w:type="dxa"/>
          <w:shd w:val="clear" w:color="auto" w:fill="auto"/>
        </w:tcPr>
        <w:p w:rsidR="0018475C" w:rsidRPr="001857DD" w:rsidP="0018475C" w14:paraId="714F1AE9" w14:textId="77777777">
          <w:pPr>
            <w:tabs>
              <w:tab w:val="left" w:pos="1206"/>
            </w:tabs>
            <w:spacing w:after="120"/>
            <w:rPr>
              <w:rFonts w:ascii="Cambria" w:hAnsi="Cambria" w:cs="Arial"/>
              <w:color w:val="1F497D"/>
              <w:sz w:val="28"/>
              <w:szCs w:val="26"/>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 xml:space="preserve">Odbor informatiky </w:t>
          </w:r>
        </w:p>
      </w:tc>
      <w:tc>
        <w:tcPr>
          <w:tcW w:w="3544" w:type="dxa"/>
          <w:shd w:val="clear" w:color="auto" w:fill="auto"/>
        </w:tcPr>
        <w:p w:rsidR="0018475C" w:rsidP="0018475C" w14:paraId="02C8592E" w14:textId="77777777">
          <w:pPr>
            <w:pStyle w:val="Header"/>
            <w:jc w:val="right"/>
          </w:pPr>
          <w:r>
            <w:rPr>
              <w:rFonts w:cs="Arial"/>
              <w:b/>
              <w:noProof/>
              <w:color w:val="1F497D"/>
              <w:sz w:val="44"/>
              <w:szCs w:val="28"/>
              <w:lang w:eastAsia="cs-CZ"/>
            </w:rPr>
            <w:drawing>
              <wp:inline distT="0" distB="0" distL="0" distR="0">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73460" name="Picture 1"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4670" cy="524510"/>
                        </a:xfrm>
                        <a:prstGeom prst="rect">
                          <a:avLst/>
                        </a:prstGeom>
                        <a:noFill/>
                        <a:ln>
                          <a:noFill/>
                        </a:ln>
                      </pic:spPr>
                    </pic:pic>
                  </a:graphicData>
                </a:graphic>
              </wp:inline>
            </w:drawing>
          </w:r>
        </w:p>
      </w:tc>
    </w:tr>
  </w:tbl>
  <w:p w:rsidR="00531E59" w:rsidRPr="00D33DED" w:rsidP="004A3F49" w14:paraId="494E070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E69" w:rsidRPr="00577E69" w:rsidP="00577E69" w14:paraId="50C8E033" w14:textId="77777777">
    <w:pPr>
      <w:pStyle w:val="Header"/>
      <w:jc w:val="right"/>
      <w:rPr>
        <w:rFonts w:ascii="Arial" w:hAnsi="Arial" w:cs="Arial"/>
      </w:rPr>
    </w:pPr>
    <w:r w:rsidRPr="00577E69">
      <w:rPr>
        <w:rFonts w:ascii="Arial" w:hAnsi="Arial" w:cs="Arial"/>
      </w:rPr>
      <w:t xml:space="preserve">Příloha č. 1 smlouvy – Technická specifikace zboží </w:t>
    </w:r>
  </w:p>
  <w:p w:rsidR="00577E69" w:rsidRPr="00577E69" w:rsidP="00577E69" w14:paraId="6F3CF33F" w14:textId="77777777">
    <w:pPr>
      <w:pStyle w:val="Header"/>
      <w:jc w:val="right"/>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7E69" w:rsidRPr="00577E69" w:rsidP="00577E69" w14:paraId="7DF0B899" w14:textId="77777777">
    <w:pPr>
      <w:pStyle w:val="Header"/>
      <w:jc w:val="right"/>
      <w:rPr>
        <w:rFonts w:ascii="Arial" w:hAnsi="Arial" w:cs="Arial"/>
      </w:rPr>
    </w:pPr>
    <w:r w:rsidRPr="00577E69">
      <w:rPr>
        <w:rFonts w:ascii="Arial" w:hAnsi="Arial" w:cs="Arial"/>
      </w:rPr>
      <w:t xml:space="preserve">Příloha č. 1 smlouvy – Technická specifikace zboží </w:t>
    </w:r>
  </w:p>
  <w:p w:rsidR="00577E69" w:rsidRPr="00D33DED" w:rsidP="004A3F49" w14:paraId="4515C6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3176A6"/>
    <w:multiLevelType w:val="hybridMultilevel"/>
    <w:tmpl w:val="FB0A64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C6810E2"/>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F513932"/>
    <w:multiLevelType w:val="hybridMultilevel"/>
    <w:tmpl w:val="DA0CB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A046D7"/>
    <w:multiLevelType w:val="hybridMultilevel"/>
    <w:tmpl w:val="E5102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547E9A"/>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5371457"/>
    <w:multiLevelType w:val="hybridMultilevel"/>
    <w:tmpl w:val="FDDCA9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8D0043"/>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890"/>
        </w:tabs>
        <w:ind w:left="89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E013E72"/>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2D56D69"/>
    <w:multiLevelType w:val="hybridMultilevel"/>
    <w:tmpl w:val="60D43A54"/>
    <w:lvl w:ilvl="0">
      <w:start w:val="1"/>
      <w:numFmt w:val="decimal"/>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1">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7761B2"/>
    <w:multiLevelType w:val="hybridMultilevel"/>
    <w:tmpl w:val="7A14E8E8"/>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3">
    <w:nsid w:val="380B2A8E"/>
    <w:multiLevelType w:val="hybridMultilevel"/>
    <w:tmpl w:val="4AE6AD5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964F59"/>
    <w:multiLevelType w:val="hybridMultilevel"/>
    <w:tmpl w:val="62863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9F74ED9"/>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A101409"/>
    <w:multiLevelType w:val="hybridMultilevel"/>
    <w:tmpl w:val="399A3A18"/>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CA2C8F"/>
    <w:multiLevelType w:val="hybridMultilevel"/>
    <w:tmpl w:val="3FBEC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7421A0"/>
    <w:multiLevelType w:val="hybridMultilevel"/>
    <w:tmpl w:val="19AC56D2"/>
    <w:lvl w:ilvl="0">
      <w:start w:val="0"/>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9">
    <w:nsid w:val="58C41DD1"/>
    <w:multiLevelType w:val="hybridMultilevel"/>
    <w:tmpl w:val="4288D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9E75DB"/>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D333E1F"/>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04500C2"/>
    <w:multiLevelType w:val="hybridMultilevel"/>
    <w:tmpl w:val="887EAC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F637AD2"/>
    <w:multiLevelType w:val="hybridMultilevel"/>
    <w:tmpl w:val="B92697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0"/>
      <w:numFmt w:val="bullet"/>
      <w:lvlText w:val="-"/>
      <w:lvlJc w:val="left"/>
      <w:pPr>
        <w:ind w:left="1980" w:hanging="360"/>
      </w:pPr>
      <w:rPr>
        <w:rFonts w:ascii="Arial" w:eastAsia="SimSun" w:hAnsi="Arial" w:cs="Arial"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73084AEE"/>
    <w:multiLevelType w:val="hybridMultilevel"/>
    <w:tmpl w:val="ABF0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6211EE"/>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756B58FB"/>
    <w:multiLevelType w:val="hybridMultilevel"/>
    <w:tmpl w:val="98BCE7B4"/>
    <w:lvl w:ilvl="0">
      <w:start w:val="1"/>
      <w:numFmt w:val="lowerLetter"/>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27">
    <w:nsid w:val="7F1E7F67"/>
    <w:multiLevelType w:val="hybridMultilevel"/>
    <w:tmpl w:val="E9ECA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8"/>
  </w:num>
  <w:num w:numId="5">
    <w:abstractNumId w:val="25"/>
  </w:num>
  <w:num w:numId="6">
    <w:abstractNumId w:val="9"/>
  </w:num>
  <w:num w:numId="7">
    <w:abstractNumId w:val="23"/>
  </w:num>
  <w:num w:numId="8">
    <w:abstractNumId w:val="12"/>
  </w:num>
  <w:num w:numId="9">
    <w:abstractNumId w:val="14"/>
  </w:num>
  <w:num w:numId="10">
    <w:abstractNumId w:val="21"/>
  </w:num>
  <w:num w:numId="11">
    <w:abstractNumId w:val="0"/>
  </w:num>
  <w:num w:numId="12">
    <w:abstractNumId w:val="20"/>
  </w:num>
  <w:num w:numId="13">
    <w:abstractNumId w:val="1"/>
  </w:num>
  <w:num w:numId="14">
    <w:abstractNumId w:val="22"/>
  </w:num>
  <w:num w:numId="15">
    <w:abstractNumId w:val="2"/>
  </w:num>
  <w:num w:numId="16">
    <w:abstractNumId w:val="6"/>
  </w:num>
  <w:num w:numId="17">
    <w:abstractNumId w:val="18"/>
  </w:num>
  <w:num w:numId="18">
    <w:abstractNumId w:val="13"/>
  </w:num>
  <w:num w:numId="19">
    <w:abstractNumId w:val="4"/>
  </w:num>
  <w:num w:numId="20">
    <w:abstractNumId w:val="5"/>
  </w:num>
  <w:num w:numId="21">
    <w:abstractNumId w:val="10"/>
  </w:num>
  <w:num w:numId="22">
    <w:abstractNumId w:val="26"/>
  </w:num>
  <w:num w:numId="23">
    <w:abstractNumId w:val="16"/>
  </w:num>
  <w:num w:numId="24">
    <w:abstractNumId w:val="27"/>
  </w:num>
  <w:num w:numId="25">
    <w:abstractNumId w:val="17"/>
  </w:num>
  <w:num w:numId="26">
    <w:abstractNumId w:val="7"/>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82"/>
    <w:rsid w:val="00002D9C"/>
    <w:rsid w:val="000039A9"/>
    <w:rsid w:val="00014394"/>
    <w:rsid w:val="00017892"/>
    <w:rsid w:val="000465E8"/>
    <w:rsid w:val="00051E58"/>
    <w:rsid w:val="00057B46"/>
    <w:rsid w:val="00060688"/>
    <w:rsid w:val="00070563"/>
    <w:rsid w:val="00090CFA"/>
    <w:rsid w:val="00094608"/>
    <w:rsid w:val="000C2158"/>
    <w:rsid w:val="000C2FB7"/>
    <w:rsid w:val="000C7CD7"/>
    <w:rsid w:val="000F51A4"/>
    <w:rsid w:val="001030B4"/>
    <w:rsid w:val="00141722"/>
    <w:rsid w:val="00157A05"/>
    <w:rsid w:val="001773ED"/>
    <w:rsid w:val="0018475C"/>
    <w:rsid w:val="001857DD"/>
    <w:rsid w:val="001B6610"/>
    <w:rsid w:val="001C4323"/>
    <w:rsid w:val="001D2F86"/>
    <w:rsid w:val="001E3A2C"/>
    <w:rsid w:val="001E5838"/>
    <w:rsid w:val="002268CB"/>
    <w:rsid w:val="002630E3"/>
    <w:rsid w:val="002B40B3"/>
    <w:rsid w:val="002D4E99"/>
    <w:rsid w:val="00313373"/>
    <w:rsid w:val="00333F06"/>
    <w:rsid w:val="003B4669"/>
    <w:rsid w:val="003B5438"/>
    <w:rsid w:val="003C6F1A"/>
    <w:rsid w:val="003C755A"/>
    <w:rsid w:val="00405598"/>
    <w:rsid w:val="004218B5"/>
    <w:rsid w:val="004627C5"/>
    <w:rsid w:val="00474FEF"/>
    <w:rsid w:val="004A3F49"/>
    <w:rsid w:val="00531E59"/>
    <w:rsid w:val="00534518"/>
    <w:rsid w:val="00543DDA"/>
    <w:rsid w:val="0054638F"/>
    <w:rsid w:val="00577E69"/>
    <w:rsid w:val="005A1443"/>
    <w:rsid w:val="005B03F7"/>
    <w:rsid w:val="005C3D14"/>
    <w:rsid w:val="005C70CA"/>
    <w:rsid w:val="005E4974"/>
    <w:rsid w:val="005F6B59"/>
    <w:rsid w:val="005F7D20"/>
    <w:rsid w:val="00626E61"/>
    <w:rsid w:val="006338E4"/>
    <w:rsid w:val="00667E2F"/>
    <w:rsid w:val="006700B3"/>
    <w:rsid w:val="00694009"/>
    <w:rsid w:val="006B7CC2"/>
    <w:rsid w:val="006E4299"/>
    <w:rsid w:val="00773A68"/>
    <w:rsid w:val="00782EBC"/>
    <w:rsid w:val="007A59FE"/>
    <w:rsid w:val="00824E3C"/>
    <w:rsid w:val="00832B0A"/>
    <w:rsid w:val="00841CF3"/>
    <w:rsid w:val="008512B6"/>
    <w:rsid w:val="008556E0"/>
    <w:rsid w:val="00886222"/>
    <w:rsid w:val="008A7236"/>
    <w:rsid w:val="0091224F"/>
    <w:rsid w:val="00956EDD"/>
    <w:rsid w:val="009A1460"/>
    <w:rsid w:val="009E0F92"/>
    <w:rsid w:val="00A12547"/>
    <w:rsid w:val="00A23493"/>
    <w:rsid w:val="00A748D8"/>
    <w:rsid w:val="00A85050"/>
    <w:rsid w:val="00A85A8D"/>
    <w:rsid w:val="00A94C3B"/>
    <w:rsid w:val="00AB41D0"/>
    <w:rsid w:val="00AD11F7"/>
    <w:rsid w:val="00AD126C"/>
    <w:rsid w:val="00AF3E16"/>
    <w:rsid w:val="00B3426A"/>
    <w:rsid w:val="00B831DB"/>
    <w:rsid w:val="00BB2E82"/>
    <w:rsid w:val="00C01AC0"/>
    <w:rsid w:val="00C7023E"/>
    <w:rsid w:val="00C808FD"/>
    <w:rsid w:val="00C862B5"/>
    <w:rsid w:val="00C91A6E"/>
    <w:rsid w:val="00CC4099"/>
    <w:rsid w:val="00D10586"/>
    <w:rsid w:val="00D16A34"/>
    <w:rsid w:val="00D16D07"/>
    <w:rsid w:val="00D33DED"/>
    <w:rsid w:val="00D4551E"/>
    <w:rsid w:val="00DD2BD3"/>
    <w:rsid w:val="00E06192"/>
    <w:rsid w:val="00EA454B"/>
    <w:rsid w:val="00EB6205"/>
    <w:rsid w:val="00F11217"/>
    <w:rsid w:val="00F350E4"/>
    <w:rsid w:val="00F35E63"/>
    <w:rsid w:val="00F76890"/>
    <w:rsid w:val="00FB1FA7"/>
    <w:rsid w:val="00FC7A87"/>
    <w:rsid w:val="00FF28C4"/>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71CEC2B9-DE89-4C96-8AF5-2CFBCB03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BB2E8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BB2E82"/>
  </w:style>
  <w:style w:type="paragraph" w:styleId="Footer">
    <w:name w:val="footer"/>
    <w:basedOn w:val="Normal"/>
    <w:link w:val="ZpatChar"/>
    <w:uiPriority w:val="99"/>
    <w:unhideWhenUsed/>
    <w:rsid w:val="00BB2E82"/>
    <w:pPr>
      <w:tabs>
        <w:tab w:val="center" w:pos="4536"/>
        <w:tab w:val="right" w:pos="9072"/>
      </w:tabs>
      <w:spacing w:after="0" w:line="240" w:lineRule="auto"/>
    </w:pPr>
  </w:style>
  <w:style w:type="character" w:customStyle="1" w:styleId="ZpatChar">
    <w:name w:val="Zápatí Char"/>
    <w:basedOn w:val="DefaultParagraphFont"/>
    <w:link w:val="Footer"/>
    <w:uiPriority w:val="99"/>
    <w:rsid w:val="00BB2E82"/>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BB2E82"/>
    <w:pPr>
      <w:ind w:left="720"/>
      <w:contextualSpacing/>
    </w:p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BB2E82"/>
  </w:style>
  <w:style w:type="character" w:styleId="CommentReference">
    <w:name w:val="annotation reference"/>
    <w:basedOn w:val="DefaultParagraphFont"/>
    <w:uiPriority w:val="99"/>
    <w:semiHidden/>
    <w:unhideWhenUsed/>
    <w:rsid w:val="005F7D20"/>
    <w:rPr>
      <w:sz w:val="16"/>
      <w:szCs w:val="16"/>
    </w:rPr>
  </w:style>
  <w:style w:type="paragraph" w:styleId="CommentText">
    <w:name w:val="annotation text"/>
    <w:basedOn w:val="Normal"/>
    <w:link w:val="TextkomenteChar"/>
    <w:uiPriority w:val="99"/>
    <w:unhideWhenUsed/>
    <w:rsid w:val="005F7D20"/>
    <w:pPr>
      <w:spacing w:line="240" w:lineRule="auto"/>
    </w:pPr>
    <w:rPr>
      <w:sz w:val="20"/>
      <w:szCs w:val="20"/>
    </w:rPr>
  </w:style>
  <w:style w:type="character" w:customStyle="1" w:styleId="TextkomenteChar">
    <w:name w:val="Text komentáře Char"/>
    <w:basedOn w:val="DefaultParagraphFont"/>
    <w:link w:val="CommentText"/>
    <w:uiPriority w:val="99"/>
    <w:rsid w:val="005F7D20"/>
    <w:rPr>
      <w:sz w:val="20"/>
      <w:szCs w:val="20"/>
    </w:rPr>
  </w:style>
  <w:style w:type="paragraph" w:styleId="CommentSubject">
    <w:name w:val="annotation subject"/>
    <w:basedOn w:val="CommentText"/>
    <w:next w:val="CommentText"/>
    <w:link w:val="PedmtkomenteChar"/>
    <w:uiPriority w:val="99"/>
    <w:semiHidden/>
    <w:unhideWhenUsed/>
    <w:rsid w:val="005F7D20"/>
    <w:rPr>
      <w:b/>
      <w:bCs/>
    </w:rPr>
  </w:style>
  <w:style w:type="character" w:customStyle="1" w:styleId="PedmtkomenteChar">
    <w:name w:val="Předmět komentáře Char"/>
    <w:basedOn w:val="TextkomenteChar"/>
    <w:link w:val="CommentSubject"/>
    <w:uiPriority w:val="99"/>
    <w:semiHidden/>
    <w:rsid w:val="005F7D20"/>
    <w:rPr>
      <w:b/>
      <w:bCs/>
      <w:sz w:val="20"/>
      <w:szCs w:val="20"/>
    </w:rPr>
  </w:style>
  <w:style w:type="paragraph" w:styleId="BalloonText">
    <w:name w:val="Balloon Text"/>
    <w:basedOn w:val="Normal"/>
    <w:link w:val="TextbublinyChar"/>
    <w:uiPriority w:val="99"/>
    <w:semiHidden/>
    <w:unhideWhenUsed/>
    <w:rsid w:val="005F7D20"/>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5F7D20"/>
    <w:rPr>
      <w:rFonts w:ascii="Segoe UI" w:hAnsi="Segoe UI" w:cs="Segoe UI"/>
      <w:sz w:val="18"/>
      <w:szCs w:val="18"/>
    </w:rPr>
  </w:style>
  <w:style w:type="paragraph" w:styleId="Revision">
    <w:name w:val="Revision"/>
    <w:hidden/>
    <w:uiPriority w:val="99"/>
    <w:semiHidden/>
    <w:rsid w:val="00AB41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5.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header" Target="header4.xm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6605</Words>
  <Characters>38975</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AL</cp:lastModifiedBy>
  <cp:revision>5</cp:revision>
  <cp:lastPrinted>2024-06-24T12:49:00Z</cp:lastPrinted>
  <dcterms:created xsi:type="dcterms:W3CDTF">2024-08-22T11:21:00Z</dcterms:created>
  <dcterms:modified xsi:type="dcterms:W3CDTF">2024-08-26T08:39:00Z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13996-2024-UVCR-114</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26.8.2024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51079-2024-UVCR&lt;/STRIKE&gt;&lt;/TD&gt;&lt;/TR&gt;&lt;TR&gt;&lt;TD&gt;&lt;/TD&gt;&lt;TD&gt;13996-2024-UVCR-114&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04/2024 - 12/2024</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UVCR24D00125O</vt:lpwstr>
  </property>
  <property fmtid="{D5CDD505-2E9C-101B-9397-08002B2CF9AE}" pid="22" name="Key_BarCode_Pisemnost">
    <vt:lpwstr>*UVCR24D00125O*</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0/15</vt:lpwstr>
  </property>
  <property fmtid="{D5CDD505-2E9C-101B-9397-08002B2CF9AE}" pid="31" name="PocetPriloh_Pisemnost">
    <vt:lpwstr>15</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UVCR24D00125O</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13996-2024-UVCR</vt:lpwstr>
  </property>
  <property fmtid="{D5CDD505-2E9C-101B-9397-08002B2CF9AE}" pid="40" name="TEST">
    <vt:lpwstr>testovací pole</vt:lpwstr>
  </property>
  <property fmtid="{D5CDD505-2E9C-101B-9397-08002B2CF9AE}" pid="41" name="TypPrilohy_Pisemnost">
    <vt:lpwstr>15 Dokument</vt:lpwstr>
  </property>
  <property fmtid="{D5CDD505-2E9C-101B-9397-08002B2CF9AE}" pid="42" name="UserName_PisemnostTypZpristupneniInformaciZOSZ_Pisemnost">
    <vt:lpwstr>ZOSZ_UserName</vt:lpwstr>
  </property>
  <property fmtid="{D5CDD505-2E9C-101B-9397-08002B2CF9AE}" pid="43" name="Vec_Pisemnost">
    <vt:lpwstr>OIT - Virtualizační prostředí - nákup hardware</vt:lpwstr>
  </property>
  <property fmtid="{D5CDD505-2E9C-101B-9397-08002B2CF9AE}" pid="44" name="Zkratka_SpisovyUzel_PoziceZodpo_Pisemnost">
    <vt:lpwstr>OPR</vt:lpwstr>
  </property>
</Properties>
</file>