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4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KUPNÍ SMLOUVA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</w:rPr>
        <w:t>uzavřena podle § 2079 a násl., zákona č. 89/2012 Sb., Občanský zákoník, ve znění pozdějších předpisů</w:t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360" w:after="240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„</w:t>
      </w:r>
      <w:bookmarkStart w:id="0" w:name="_Hlk165544617"/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Stavební úpravy interiéru Informa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č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ního centra v Ho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ř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icích</w:t>
      </w:r>
      <w:bookmarkEnd w:id="0"/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 xml:space="preserve"> – interiér”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r>
        <w:rPr>
          <w:rFonts w:cs="Arial" w:ascii="Arial" w:hAnsi="Arial"/>
          <w:b/>
          <w:sz w:val="20"/>
          <w:szCs w:val="20"/>
        </w:rPr>
        <w:t>Smluvní strany:</w:t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autoSpaceDE w:val="false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cs="Arial" w:ascii="Arial" w:hAnsi="Arial"/>
          <w:b/>
          <w:bCs/>
          <w:color w:val="000000"/>
          <w:sz w:val="20"/>
          <w:szCs w:val="20"/>
          <w:u w:val="single"/>
          <w:lang w:val="en-US"/>
        </w:rPr>
        <w:t>Název zadavatele: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  <w:lang w:val="en-US"/>
        </w:rPr>
        <w:tab/>
      </w:r>
      <w:bookmarkStart w:id="1" w:name="_Hlk156215594"/>
      <w:r>
        <w:rPr>
          <w:rFonts w:cs="Arial" w:ascii="Arial" w:hAnsi="Arial"/>
          <w:bCs/>
          <w:color w:val="000000"/>
          <w:sz w:val="20"/>
          <w:szCs w:val="20"/>
          <w:lang w:val="en-US"/>
        </w:rPr>
        <w:t>Město Hořice</w:t>
      </w:r>
      <w:bookmarkEnd w:id="1"/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autoSpaceDE w:val="false"/>
        <w:jc w:val="both"/>
        <w:rPr>
          <w:rFonts w:ascii="Arial" w:hAnsi="Arial" w:cs="Arial"/>
          <w:bCs/>
          <w:color w:val="000000"/>
          <w:sz w:val="20"/>
          <w:szCs w:val="20"/>
          <w:lang w:val="pl-PL"/>
        </w:rPr>
      </w:pPr>
      <w:r>
        <w:rPr>
          <w:rFonts w:cs="Arial" w:ascii="Arial" w:hAnsi="Arial"/>
          <w:bCs/>
          <w:color w:val="000000"/>
          <w:sz w:val="20"/>
          <w:szCs w:val="20"/>
          <w:lang w:val="en-US"/>
        </w:rPr>
        <w:t xml:space="preserve">Sídlo zadavatele: </w:t>
      </w:r>
      <w:bookmarkStart w:id="2" w:name="_Hlk153265564"/>
      <w:r>
        <w:rPr>
          <w:rFonts w:cs="Arial" w:ascii="Arial" w:hAnsi="Arial"/>
          <w:bCs/>
          <w:color w:val="000000"/>
          <w:sz w:val="20"/>
          <w:szCs w:val="20"/>
          <w:lang w:val="en-US"/>
        </w:rPr>
        <w:tab/>
        <w:tab/>
      </w:r>
      <w:bookmarkStart w:id="3" w:name="_Hlk156215602"/>
      <w:bookmarkEnd w:id="2"/>
      <w:r>
        <w:rPr>
          <w:rFonts w:cs="Arial" w:ascii="Arial" w:hAnsi="Arial"/>
          <w:bCs/>
          <w:color w:val="000000"/>
          <w:sz w:val="20"/>
          <w:szCs w:val="20"/>
          <w:lang w:val="en-US"/>
        </w:rPr>
        <w:t>50801 Hořice, náměstí Jiřího z Poděbrad 342</w:t>
      </w:r>
      <w:bookmarkEnd w:id="3"/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autoSpaceDE w:val="false"/>
        <w:jc w:val="both"/>
        <w:rPr>
          <w:rFonts w:ascii="Arial" w:hAnsi="Arial" w:cs="Arial"/>
          <w:bCs/>
          <w:color w:val="000000"/>
          <w:sz w:val="20"/>
          <w:szCs w:val="20"/>
          <w:lang w:val="pl-PL"/>
        </w:rPr>
      </w:pPr>
      <w:r>
        <w:rPr>
          <w:rFonts w:cs="Arial" w:ascii="Arial" w:hAnsi="Arial"/>
          <w:bCs/>
          <w:color w:val="000000"/>
          <w:sz w:val="20"/>
          <w:szCs w:val="20"/>
          <w:lang w:val="pl-PL"/>
        </w:rPr>
        <w:t>ICO:</w:t>
        <w:tab/>
        <w:tab/>
        <w:tab/>
        <w:t xml:space="preserve">          </w:t>
      </w:r>
      <w:bookmarkStart w:id="4" w:name="_Hlk156215586"/>
      <w:r>
        <w:rPr>
          <w:rFonts w:cs="Arial" w:ascii="Arial" w:hAnsi="Arial"/>
          <w:bCs/>
          <w:color w:val="000000"/>
          <w:sz w:val="20"/>
          <w:szCs w:val="20"/>
          <w:lang w:val="pl-PL"/>
        </w:rPr>
        <w:t>00271560</w:t>
      </w:r>
      <w:bookmarkEnd w:id="4"/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autoSpaceDE w:val="false"/>
        <w:jc w:val="both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>
        <w:rPr>
          <w:rFonts w:cs="Arial" w:ascii="Arial" w:hAnsi="Arial"/>
          <w:bCs/>
          <w:color w:val="000000"/>
          <w:sz w:val="20"/>
          <w:szCs w:val="20"/>
          <w:lang w:val="pl-PL"/>
        </w:rPr>
        <w:t xml:space="preserve">dat. schránka: </w:t>
        <w:tab/>
        <w:tab/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autoSpaceDE w:val="false"/>
        <w:jc w:val="both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pl-PL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autoSpaceDE w:val="false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cs="Arial" w:ascii="Arial" w:hAnsi="Arial"/>
          <w:b/>
          <w:color w:val="000000"/>
          <w:sz w:val="20"/>
          <w:szCs w:val="20"/>
          <w:lang w:val="pl-PL"/>
        </w:rPr>
        <w:t>Osoba oprávněná jednat jménem zadavatele a kontaktní osoba zadavatele:</w:t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autoSpaceDE w:val="false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cs="Arial" w:ascii="Arial" w:hAnsi="Arial"/>
          <w:bCs/>
          <w:color w:val="000000"/>
          <w:sz w:val="20"/>
          <w:szCs w:val="20"/>
          <w:lang w:val="en-US"/>
        </w:rPr>
        <w:t xml:space="preserve">Titul, jméno a příjmení:  </w:t>
      </w:r>
      <w:bookmarkStart w:id="5" w:name="_Hlk125536209"/>
      <w:r>
        <w:rPr>
          <w:rFonts w:cs="Arial" w:ascii="Arial" w:hAnsi="Arial"/>
          <w:bCs/>
          <w:color w:val="000000"/>
          <w:sz w:val="20"/>
          <w:szCs w:val="20"/>
          <w:lang w:val="en-US"/>
        </w:rPr>
        <w:t>Ing. Arch. Martin Pour,</w:t>
      </w:r>
      <w:bookmarkEnd w:id="5"/>
    </w:p>
    <w:p>
      <w:pPr>
        <w:pStyle w:val="Normal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cs="Arial" w:ascii="Arial" w:hAnsi="Arial"/>
          <w:color w:val="000000"/>
          <w:sz w:val="20"/>
          <w:szCs w:val="20"/>
          <w:lang w:val="en-US"/>
        </w:rPr>
        <w:t xml:space="preserve">Funkce: </w:t>
        <w:tab/>
        <w:tab/>
        <w:t>starosta</w:t>
      </w:r>
    </w:p>
    <w:p>
      <w:pPr>
        <w:pStyle w:val="Normal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lang w:val="en-US"/>
        </w:rPr>
        <w:t> </w:t>
      </w:r>
    </w:p>
    <w:p>
      <w:pPr>
        <w:pStyle w:val="Normal"/>
        <w:numPr>
          <w:ilvl w:val="0"/>
          <w:numId w:val="6"/>
        </w:numPr>
        <w:spacing w:before="120" w:after="120"/>
        <w:ind w:start="714" w:end="0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dále jen kupující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before="120" w:after="120"/>
        <w:ind w:end="0"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before="120" w:after="120"/>
        <w:ind w:end="0"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color w:val="111111"/>
          <w:sz w:val="20"/>
          <w:szCs w:val="20"/>
          <w:u w:val="single"/>
        </w:rPr>
        <w:t>Název dodavatele:</w:t>
      </w:r>
      <w:r>
        <w:rPr>
          <w:rFonts w:cs="Arial" w:ascii="Arial" w:hAnsi="Arial"/>
          <w:b/>
          <w:color w:val="111111"/>
          <w:sz w:val="20"/>
          <w:szCs w:val="20"/>
        </w:rPr>
        <w:t xml:space="preserve"> Jiří Šubrt Truhlářství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 xml:space="preserve">Sídlo/místo podnikání: </w:t>
      </w:r>
      <w:bookmarkStart w:id="6" w:name="_Hlk520789092"/>
      <w:r>
        <w:rPr>
          <w:rFonts w:cs="Arial" w:ascii="Arial" w:hAnsi="Arial"/>
          <w:color w:val="111111"/>
          <w:sz w:val="20"/>
          <w:szCs w:val="20"/>
        </w:rPr>
        <w:t>L</w:t>
      </w:r>
      <w:bookmarkEnd w:id="6"/>
      <w:r>
        <w:rPr>
          <w:rFonts w:cs="Arial" w:ascii="Arial" w:hAnsi="Arial"/>
          <w:color w:val="111111"/>
          <w:sz w:val="20"/>
          <w:szCs w:val="20"/>
        </w:rPr>
        <w:t>ípa 54, 503 12 Všestary, Česká republika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Fakturační adresa: Stračovská Lhota 44, 503 15 Mžany, Česká republika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Osoba oprávněna jednat za dodavatele: Jiří Šubrt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IČ: 69887446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DIČ: XXXXXXXXXXX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Bankovní spojení:XXXXXXXXXX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Číslo účtu:XXXXXXXXXXX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Spol. zapsána v obch. rejstříku vedeném  soudem v Hradci Králové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color w:val="111111"/>
        </w:rPr>
      </w:r>
    </w:p>
    <w:p>
      <w:pPr>
        <w:pStyle w:val="Normal"/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color w:val="111111"/>
          <w:sz w:val="20"/>
          <w:szCs w:val="20"/>
        </w:rPr>
        <w:t>Osoba oprávněná jednat ve věcech nabídky: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Titul, jméno a příjmení:Jiří Šubrt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Telefon:X</w:t>
      </w:r>
      <w:r>
        <w:rPr>
          <w:rFonts w:cs="Arial" w:ascii="Arial" w:hAnsi="Arial"/>
          <w:color w:val="111111"/>
          <w:sz w:val="20"/>
          <w:szCs w:val="20"/>
          <w:lang w:val="cs-CZ"/>
        </w:rPr>
        <w:t>XXXXXXXXXXX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Email:</w:t>
      </w:r>
      <w:r>
        <w:rPr>
          <w:rFonts w:cs="Arial" w:ascii="Arial" w:hAnsi="Arial"/>
          <w:b w:val="false"/>
          <w:bCs w:val="false"/>
          <w:color w:val="111111"/>
          <w:sz w:val="20"/>
          <w:szCs w:val="20"/>
          <w:lang w:val="cs-CZ"/>
        </w:rPr>
        <w:t>XXXXXXXXXXXX</w:t>
      </w:r>
    </w:p>
    <w:p>
      <w:pPr>
        <w:pStyle w:val="Normal"/>
        <w:numPr>
          <w:ilvl w:val="0"/>
          <w:numId w:val="4"/>
        </w:numPr>
        <w:spacing w:before="120" w:after="0"/>
        <w:ind w:start="714" w:end="0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color w:val="111111"/>
          <w:sz w:val="20"/>
          <w:szCs w:val="20"/>
        </w:rPr>
        <w:t>dále jen prodávající</w:t>
      </w:r>
      <w:r>
        <w:rPr>
          <w:rFonts w:cs="Arial" w:ascii="Arial" w:hAnsi="Arial"/>
          <w:color w:val="111111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kupující a prodávající dále jen smluvní strany 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uzavírají níže uvedeného dne, měsíce a roku podle § 2079 a násl., zákona č. 89/2012 Sb., Občanský zákoník, ve znění pozdějších předpisů tuto kupní smlouvu k veřejné zakázce: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„</w:t>
      </w:r>
      <w:bookmarkStart w:id="7" w:name="_Hlk165546402"/>
      <w:r>
        <w:rPr>
          <w:rFonts w:cs="Arial" w:ascii="Arial" w:hAnsi="Arial"/>
          <w:sz w:val="20"/>
          <w:szCs w:val="20"/>
        </w:rPr>
        <w:t>Stavební úpravy interiéru Informa</w:t>
      </w:r>
      <w:r>
        <w:rPr>
          <w:rFonts w:cs="Arial" w:ascii="Arial" w:hAnsi="Arial"/>
          <w:sz w:val="20"/>
          <w:szCs w:val="20"/>
        </w:rPr>
        <w:t>č</w:t>
      </w:r>
      <w:r>
        <w:rPr>
          <w:rFonts w:cs="Arial" w:ascii="Arial" w:hAnsi="Arial"/>
          <w:sz w:val="20"/>
          <w:szCs w:val="20"/>
        </w:rPr>
        <w:t>ního centra v Ho</w:t>
      </w:r>
      <w:r>
        <w:rPr>
          <w:rFonts w:cs="Arial" w:ascii="Arial" w:hAnsi="Arial"/>
          <w:sz w:val="20"/>
          <w:szCs w:val="20"/>
        </w:rPr>
        <w:t>ř</w:t>
      </w:r>
      <w:r>
        <w:rPr>
          <w:rFonts w:cs="Arial" w:ascii="Arial" w:hAnsi="Arial"/>
          <w:sz w:val="20"/>
          <w:szCs w:val="20"/>
        </w:rPr>
        <w:t>icích - interiér</w:t>
      </w:r>
      <w:bookmarkEnd w:id="7"/>
      <w:r>
        <w:rPr>
          <w:rFonts w:cs="Arial" w:ascii="Arial" w:hAnsi="Arial"/>
          <w:sz w:val="20"/>
          <w:szCs w:val="20"/>
        </w:rPr>
        <w:t xml:space="preserve"> ”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kupní smlouvu následujícího znění a obsahu (dále jen smlouva), přičemž zadávací dokumentace předmětné veřejné zakázky včetně jejích příloh (dále jen zadávací dokumentace) tvoří přílohu této smlouvy a je její nedílnou součástí, stanoví práva a povinnosti smluvních stran, pokud není dále v této smlouvě ujednáno jinak.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1) Předmět prodeje</w:t>
      </w:r>
    </w:p>
    <w:p>
      <w:pPr>
        <w:pStyle w:val="Odstavecseseznamem1"/>
        <w:numPr>
          <w:ilvl w:val="0"/>
          <w:numId w:val="10"/>
        </w:numPr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Předmětem prodeje, dle této smlouvy, je dodávka a montáž dle soupisu prací a výkresů, které jsou součástí zadávací dokumentace (jako její příloha   č. 1) a to-  </w:t>
      </w:r>
    </w:p>
    <w:p>
      <w:pPr>
        <w:pStyle w:val="Odstavecseseznamem1"/>
        <w:numPr>
          <w:ilvl w:val="0"/>
          <w:numId w:val="10"/>
        </w:numPr>
        <w:spacing w:before="120" w:after="0"/>
        <w:ind w:start="357" w:end="0" w:hanging="357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Prodávající se touto smlouvou zavazuje, že kupujícímu odevzdá předmět smlouvy, který je předmětem koupě, a umožní mu nabýt vlastnické právo k předmětu smlouvy, a kupující se zavazuje, že předmět smlouvy převezme a zaplatí prodávajícímu sjednanou kupní cenu.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2) </w:t>
      </w:r>
      <w:r>
        <w:rPr>
          <w:rFonts w:cs="Arial" w:ascii="Arial" w:hAnsi="Arial"/>
          <w:b/>
          <w:bCs/>
          <w:sz w:val="20"/>
          <w:szCs w:val="20"/>
        </w:rPr>
        <w:t>Cena plnění a platební podmínky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Kupní cena za předmět smlouvy včetně příslušenství se sjednává ve výši: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-3" w:leader="none"/>
          <w:tab w:val="left" w:pos="1440" w:leader="none"/>
        </w:tabs>
        <w:ind w:start="2127" w:end="0" w:hanging="3"/>
        <w:jc w:val="both"/>
        <w:rPr>
          <w:rFonts w:ascii="Arial" w:hAnsi="Arial" w:cs="Arial"/>
          <w:color w:val="111111"/>
          <w:sz w:val="20"/>
          <w:szCs w:val="20"/>
        </w:rPr>
      </w:pPr>
      <w:bookmarkStart w:id="8" w:name="OLE_LINK1"/>
      <w:r>
        <w:rPr>
          <w:rFonts w:cs="Arial" w:ascii="Arial" w:hAnsi="Arial"/>
          <w:sz w:val="20"/>
          <w:szCs w:val="20"/>
        </w:rPr>
        <w:t>cena bez DPH</w:t>
        <w:tab/>
      </w:r>
      <w:r>
        <w:rPr>
          <w:rFonts w:cs="Arial" w:ascii="Arial" w:hAnsi="Arial"/>
          <w:color w:val="111111"/>
          <w:sz w:val="20"/>
          <w:szCs w:val="20"/>
        </w:rPr>
        <w:t>678 900 Kč</w:t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40" w:leader="none"/>
        </w:tabs>
        <w:ind w:start="2139" w:end="0" w:hanging="1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 xml:space="preserve">21 % DPH </w:t>
        <w:tab/>
        <w:t xml:space="preserve">142 569 Kč </w:t>
      </w:r>
      <w:r>
        <w:rPr>
          <w:rFonts w:cs="Arial" w:ascii="Arial" w:hAnsi="Arial"/>
          <w:sz w:val="20"/>
          <w:szCs w:val="20"/>
        </w:rPr>
        <w:t xml:space="preserve">                 </w:t>
        <w:tab/>
        <w:tab/>
        <w:t xml:space="preserve">            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40" w:leader="none"/>
        </w:tabs>
        <w:ind w:start="2139" w:end="0" w:hanging="12"/>
        <w:jc w:val="both"/>
        <w:rPr>
          <w:rFonts w:ascii="Arial" w:hAnsi="Arial" w:cs="Arial"/>
          <w:sz w:val="20"/>
          <w:szCs w:val="20"/>
          <w:lang w:eastAsia="en-US"/>
        </w:rPr>
      </w:pPr>
      <w:bookmarkStart w:id="9" w:name="OLE_LINK1"/>
      <w:r>
        <w:rPr>
          <w:rFonts w:cs="Arial" w:ascii="Arial" w:hAnsi="Arial"/>
          <w:sz w:val="20"/>
          <w:szCs w:val="20"/>
        </w:rPr>
        <w:t xml:space="preserve">cena včetně </w:t>
      </w:r>
      <w:bookmarkEnd w:id="9"/>
      <w:r>
        <w:rPr>
          <w:rFonts w:cs="Arial" w:ascii="Arial" w:hAnsi="Arial"/>
          <w:sz w:val="20"/>
          <w:szCs w:val="20"/>
        </w:rPr>
        <w:t>DPH 821 469 Kč</w:t>
      </w:r>
    </w:p>
    <w:p>
      <w:pPr>
        <w:pStyle w:val="Normal"/>
        <w:numPr>
          <w:ilvl w:val="0"/>
          <w:numId w:val="7"/>
        </w:numPr>
        <w:spacing w:before="240" w:after="0"/>
        <w:ind w:start="357" w:end="0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Cena plnění je závazná, nejvýše přípustná, obsahující veškeré náklady prodávajícího s dodáním předmětu koupě, včetně dopravy do místa plnění a zisku prodávajícího nutného k řádnému plnění v souladu s požadavky kupujícího.</w:t>
      </w:r>
    </w:p>
    <w:p>
      <w:pPr>
        <w:pStyle w:val="Normal"/>
        <w:numPr>
          <w:ilvl w:val="0"/>
          <w:numId w:val="7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en-US"/>
        </w:rPr>
        <w:t>Kupující nepřipouští překročení nabídkové ceny předmětu koupě, vyjma změn a doplňků, požadovaných kupujícím nad rámec původních požadavků, uvedených ve výzvě k podání nabídky dle zákona č. 134/2016 Sb., o zadávání veřejných zakázek v platném znění a v zadávací dokumentaci.</w:t>
      </w:r>
    </w:p>
    <w:p>
      <w:pPr>
        <w:pStyle w:val="Normal"/>
        <w:numPr>
          <w:ilvl w:val="0"/>
          <w:numId w:val="7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Prodávající vystaví za dodávku </w:t>
      </w:r>
      <w:r>
        <w:rPr>
          <w:rFonts w:cs="Arial" w:ascii="Arial" w:hAnsi="Arial"/>
          <w:sz w:val="20"/>
          <w:szCs w:val="20"/>
          <w:lang w:eastAsia="en-US"/>
        </w:rPr>
        <w:t>předmětu koupě</w:t>
      </w:r>
      <w:r>
        <w:rPr>
          <w:rFonts w:cs="Arial" w:ascii="Arial" w:hAnsi="Arial"/>
          <w:sz w:val="20"/>
          <w:szCs w:val="20"/>
        </w:rPr>
        <w:t xml:space="preserve"> fakturu, znějící na kupní cenu dle odst. 1 tohoto článku smlouvy.</w:t>
      </w:r>
    </w:p>
    <w:p>
      <w:pPr>
        <w:pStyle w:val="Normal"/>
        <w:numPr>
          <w:ilvl w:val="0"/>
          <w:numId w:val="7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Faktura musí obsahovat náležitosti stanovené platnými právními předpisy pro daňový doklad, zejména zákonem č. 235/2004 Sb., o dani z přidané hodnoty v platném znění. Kromě těchto náležitostí stanovených právními předpisy je druhá strana povinna ve faktuře vyznačit i tyto údaje: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440" w:leader="none"/>
        </w:tabs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číslo smlouvy a datum jejího uzavření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44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předmět plnění a jeho přesnou specifikaci ve slovním vyjádření (nestačí pouze odkaz na číslo uzavřené smlouvy)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44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označení banky a čísla účtu, na který musí být zaplaceno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44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čísla a data dodacích listů podepsaných prodávajícím a odsouhlasených kupujícím (dodací listy, zjišťovací protokoly budou přílohou faktury)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44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jméno a podpis osoby, která fakturu vystavila, včetně jejího podpisu a kontaktního telefonu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44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IČ a DIČ stran smlouvy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44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Název projektu: „</w:t>
      </w:r>
      <w:r>
        <w:rPr>
          <w:rFonts w:cs="Arial" w:ascii="Arial" w:hAnsi="Arial"/>
          <w:sz w:val="20"/>
        </w:rPr>
        <w:t>Stavební úpravy interiéru Informačního centra v Hořicích“</w:t>
      </w:r>
      <w:r>
        <w:rPr>
          <w:rFonts w:cs="Arial" w:ascii="Arial" w:hAnsi="Arial"/>
          <w:sz w:val="20"/>
          <w:szCs w:val="20"/>
        </w:rPr>
        <w:t xml:space="preserve"> a číslo projektu: (bude upřesněno později)</w:t>
      </w:r>
    </w:p>
    <w:p>
      <w:pPr>
        <w:pStyle w:val="Normal"/>
        <w:numPr>
          <w:ilvl w:val="0"/>
          <w:numId w:val="7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Lhůta splatnosti faktury je </w:t>
      </w:r>
      <w:r>
        <w:rPr>
          <w:rFonts w:cs="Arial" w:ascii="Arial" w:hAnsi="Arial"/>
          <w:b/>
          <w:sz w:val="20"/>
          <w:szCs w:val="20"/>
        </w:rPr>
        <w:t>30 dnů</w:t>
      </w:r>
      <w:r>
        <w:rPr>
          <w:rFonts w:cs="Arial" w:ascii="Arial" w:hAnsi="Arial"/>
          <w:sz w:val="20"/>
          <w:szCs w:val="20"/>
        </w:rPr>
        <w:t xml:space="preserve"> po jejím doručení kupujícímu. Kupující nebude poskytovat zálohy. Platba bude probíhat výhradně v CZK a to bezhotovostním převodem na účet prodávajícího uvedený v záhlaví této smlouvy nebo v daňovém dokladu, pokud bude odlišný. Dnem zaplacení se rozumí okamžik odepsání částky z účtu kupujícího.</w:t>
      </w:r>
    </w:p>
    <w:p>
      <w:pPr>
        <w:pStyle w:val="Odstavecseseznamem1"/>
        <w:numPr>
          <w:ilvl w:val="0"/>
          <w:numId w:val="7"/>
        </w:numPr>
        <w:suppressAutoHyphens w:val="false"/>
        <w:spacing w:lineRule="auto" w:line="276" w:before="12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Cena za zboží bude prodávajícímu hrazena na základě dílčích faktur vystavovaných prodávajícím vždy po skončení každého kalendářního měsíce podle vzájemně odsouhlaseného rozpisu v příslušném měsíci provedených dodávek a poskytnutých služeb (dále jen „rozpis dodávek“). Fakturovaná částka se bude rovnat výši ceny odsouhlasených dodávek a služeb určené dle příslušného rozpočtu. Plnění prodávajícího v rozsahu kupujícím potvrzeného rozpisu dodávek bude považováno za dílčí zdanitelné plnění ve smyslu přísl. ustanovení zákona č. 235/2004 Sb., o dani z přidané hodnoty, v jeho platném znění. Dnem uskutečnění dílčího zdanitelného plnění je poslední den kalendářního měsíce, za který je rozpis dodávek vystaven.</w:t>
      </w:r>
    </w:p>
    <w:p>
      <w:pPr>
        <w:pStyle w:val="Odstavecseseznamem1"/>
        <w:numPr>
          <w:ilvl w:val="0"/>
          <w:numId w:val="7"/>
        </w:numPr>
        <w:suppressAutoHyphens w:val="false"/>
        <w:spacing w:lineRule="auto" w:line="276" w:before="12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Takto budou dílčí faktury prodávajícím vystavovány maximálně do výše 90 % ceny za zboží. Na zbývající část ceny za zboží prodávající vystaví konečnou fakturu, a to po úspěšném předání a převzetí zboží.</w:t>
      </w:r>
    </w:p>
    <w:p>
      <w:pPr>
        <w:pStyle w:val="Odstavecseseznamem1"/>
        <w:numPr>
          <w:ilvl w:val="0"/>
          <w:numId w:val="7"/>
        </w:numPr>
        <w:suppressAutoHyphens w:val="false"/>
        <w:spacing w:lineRule="auto" w:line="276"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 případě dodání předmětu smlouvy jako dílčí plnění nebude mít tato skutečnost vliv na výši celkové ceny, uvedenou v bodě 1 tohoto článku a bude se řídit všemi ustanoveními č. I Obchodních podmínek této smlouvy.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3) Doba, místo a další podmínky plnění</w:t>
      </w:r>
    </w:p>
    <w:p>
      <w:pPr>
        <w:pStyle w:val="Normal"/>
        <w:numPr>
          <w:ilvl w:val="0"/>
          <w:numId w:val="5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en-US"/>
        </w:rPr>
        <w:t>Pře</w:t>
      </w:r>
      <w:r>
        <w:rPr>
          <w:rFonts w:cs="Arial" w:ascii="Arial" w:hAnsi="Arial"/>
          <w:sz w:val="20"/>
          <w:szCs w:val="20"/>
        </w:rPr>
        <w:t xml:space="preserve">dmět koupě předá, nainstaluje a zaškolí prodávající kupujícímu osobně na adrese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objednatele </w:t>
      </w:r>
      <w:r>
        <w:rPr>
          <w:rFonts w:cs="Arial" w:ascii="Arial" w:hAnsi="Arial"/>
          <w:sz w:val="20"/>
          <w:szCs w:val="20"/>
        </w:rPr>
        <w:t>nejdéle do 31.03.2025.</w:t>
      </w:r>
    </w:p>
    <w:p>
      <w:pPr>
        <w:pStyle w:val="Normal"/>
        <w:numPr>
          <w:ilvl w:val="0"/>
          <w:numId w:val="5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 předání a převzetí </w:t>
      </w:r>
      <w:r>
        <w:rPr>
          <w:rFonts w:cs="Arial" w:ascii="Arial" w:hAnsi="Arial"/>
          <w:sz w:val="20"/>
          <w:szCs w:val="20"/>
          <w:lang w:eastAsia="en-US"/>
        </w:rPr>
        <w:t>předmětu koupě</w:t>
      </w:r>
      <w:r>
        <w:rPr>
          <w:rFonts w:cs="Arial" w:ascii="Arial" w:hAnsi="Arial"/>
          <w:sz w:val="20"/>
          <w:szCs w:val="20"/>
        </w:rPr>
        <w:t xml:space="preserve"> bude zhotoven zápis mezi oběma smluvními stranami, kterým se potvrdí úplnost dodávky.</w:t>
      </w:r>
    </w:p>
    <w:p>
      <w:pPr>
        <w:pStyle w:val="Normal"/>
        <w:numPr>
          <w:ilvl w:val="0"/>
          <w:numId w:val="5"/>
        </w:numPr>
        <w:spacing w:before="120" w:after="0"/>
        <w:ind w:start="357" w:end="0" w:hanging="357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Vlastnictví </w:t>
      </w:r>
      <w:r>
        <w:rPr>
          <w:rFonts w:cs="Arial" w:ascii="Arial" w:hAnsi="Arial"/>
          <w:sz w:val="20"/>
          <w:szCs w:val="20"/>
          <w:lang w:eastAsia="en-US"/>
        </w:rPr>
        <w:t>předmětu koupě</w:t>
      </w:r>
      <w:r>
        <w:rPr>
          <w:rFonts w:cs="Arial" w:ascii="Arial" w:hAnsi="Arial"/>
          <w:sz w:val="20"/>
          <w:szCs w:val="20"/>
        </w:rPr>
        <w:t xml:space="preserve"> nabývá kupující jeho převzetím od prodávajícího stvrzeným dle odst. 3 tohoto článku smlouvy.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4) </w:t>
      </w:r>
      <w:r>
        <w:rPr>
          <w:rFonts w:cs="Arial" w:ascii="Arial" w:hAnsi="Arial"/>
          <w:b/>
          <w:bCs/>
          <w:sz w:val="20"/>
          <w:szCs w:val="20"/>
        </w:rPr>
        <w:t>Záruční podmínky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Prodávající poskytuje kupujícímu záruku za jakost v délce </w:t>
      </w:r>
      <w:r>
        <w:rPr>
          <w:rFonts w:cs="Arial" w:ascii="Arial" w:hAnsi="Arial"/>
          <w:b/>
          <w:bCs/>
          <w:color w:val="000000"/>
          <w:sz w:val="20"/>
          <w:szCs w:val="20"/>
          <w:lang w:val="pl-PL"/>
        </w:rPr>
        <w:t>24</w:t>
      </w:r>
      <w:r>
        <w:rPr>
          <w:rFonts w:cs="Arial" w:ascii="Arial" w:hAnsi="Arial"/>
          <w:bCs/>
          <w:color w:val="000000"/>
          <w:sz w:val="20"/>
          <w:szCs w:val="20"/>
          <w:lang w:val="pl-PL"/>
        </w:rPr>
        <w:t xml:space="preserve"> </w:t>
      </w:r>
      <w:r>
        <w:rPr>
          <w:rFonts w:cs="Arial" w:ascii="Arial" w:hAnsi="Arial"/>
          <w:b/>
          <w:sz w:val="20"/>
          <w:szCs w:val="20"/>
        </w:rPr>
        <w:t>měsíců.</w:t>
      </w:r>
    </w:p>
    <w:p>
      <w:pPr>
        <w:pStyle w:val="Normal"/>
        <w:ind w:start="360" w:end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Záruční doby počínají běžet dnem předání dle č. 3) odst. 3 této smlouvy. Reklamaci lze uplatnit nejpozději do posledního dne záruční lhůty, a to písemně.</w:t>
      </w:r>
    </w:p>
    <w:p>
      <w:pPr>
        <w:pStyle w:val="Normal"/>
        <w:numPr>
          <w:ilvl w:val="0"/>
          <w:numId w:val="3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Veškeré vady zboží bude kupující povinen uplatnit u prodávajícího bez zbytečného odkladu poté, co vadu zjistil, a to formou oznámení obsahujícího specifikaci zjištěné vady. Kupující bude vady oznamovat výhradně písemně na uvedenou adresu dodavatele, emailem, popř. datovou schránkou.</w:t>
      </w:r>
    </w:p>
    <w:p>
      <w:pPr>
        <w:pStyle w:val="Odstavecseseznamem1"/>
        <w:spacing w:before="120" w:after="240"/>
        <w:ind w:start="360" w:end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případě reklamace telefonickým způsobem, musí být hlášení vady dále potvrzeno také písemně nebo datovou schránkou.</w:t>
      </w:r>
    </w:p>
    <w:p>
      <w:pPr>
        <w:pStyle w:val="Normal"/>
        <w:numPr>
          <w:ilvl w:val="0"/>
          <w:numId w:val="3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Nebude-li oprava ukončena do 30 dnů od jejího zahájení, pokud nedojde k prodloužení lhůty na základě předchozí dohody smluvních stran, má se za to, že výrobek je neopravitelný a prodávající je povinen neprodleně vyměnit zboží vadné za bezvadné při zachování shodných technických parametrů předmětu prodeje.</w:t>
      </w:r>
    </w:p>
    <w:p>
      <w:pPr>
        <w:pStyle w:val="Normal"/>
        <w:numPr>
          <w:ilvl w:val="0"/>
          <w:numId w:val="3"/>
        </w:numPr>
        <w:spacing w:before="120" w:after="0"/>
        <w:ind w:start="357" w:end="0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5) </w:t>
      </w:r>
      <w:r>
        <w:rPr>
          <w:rFonts w:cs="Arial" w:ascii="Arial" w:hAnsi="Arial"/>
          <w:b/>
          <w:bCs/>
          <w:sz w:val="20"/>
          <w:szCs w:val="20"/>
        </w:rPr>
        <w:t>Smluvní pokuty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 případě nedodání </w:t>
      </w:r>
      <w:r>
        <w:rPr>
          <w:rFonts w:cs="Arial" w:ascii="Arial" w:hAnsi="Arial"/>
          <w:sz w:val="20"/>
          <w:szCs w:val="20"/>
          <w:lang w:eastAsia="en-US"/>
        </w:rPr>
        <w:t>předmětu koupě</w:t>
      </w:r>
      <w:r>
        <w:rPr>
          <w:rFonts w:cs="Arial" w:ascii="Arial" w:hAnsi="Arial"/>
          <w:sz w:val="20"/>
          <w:szCs w:val="20"/>
        </w:rPr>
        <w:t xml:space="preserve"> v termínu dohodnutém ve smlouvě, bude prodávajícímu účtována smluvní pokuta pro tento případ mezi smluvními stranami sjednaná ve výši 0,1% z kupní ceny dle článku 2) odst. 1 této smlouvy bez DPH za každý den prodlení.</w:t>
      </w:r>
    </w:p>
    <w:p>
      <w:pPr>
        <w:pStyle w:val="Normal"/>
        <w:numPr>
          <w:ilvl w:val="0"/>
          <w:numId w:val="9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 případě prodlení kupujícího se zaplacením kupní ceny za </w:t>
      </w:r>
      <w:r>
        <w:rPr>
          <w:rFonts w:cs="Arial" w:ascii="Arial" w:hAnsi="Arial"/>
          <w:sz w:val="20"/>
          <w:szCs w:val="20"/>
          <w:lang w:eastAsia="en-US"/>
        </w:rPr>
        <w:t>předmět koupě</w:t>
      </w:r>
      <w:r>
        <w:rPr>
          <w:rFonts w:cs="Arial" w:ascii="Arial" w:hAnsi="Arial"/>
          <w:sz w:val="20"/>
          <w:szCs w:val="20"/>
        </w:rPr>
        <w:t xml:space="preserve"> může prodávající požadovat po kupujícím úrok z prodlení ve výši 0,1% za každý den prodlení z kupní ceny dle článku 2) odst. 1 této smlouvy bez DPH. </w:t>
      </w:r>
    </w:p>
    <w:p>
      <w:pPr>
        <w:pStyle w:val="Normal"/>
        <w:numPr>
          <w:ilvl w:val="0"/>
          <w:numId w:val="9"/>
        </w:numPr>
        <w:spacing w:before="120" w:after="0"/>
        <w:ind w:start="357" w:end="0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Pokud prodávající nedodá </w:t>
      </w:r>
      <w:r>
        <w:rPr>
          <w:rFonts w:cs="Arial" w:ascii="Arial" w:hAnsi="Arial"/>
          <w:sz w:val="20"/>
          <w:szCs w:val="20"/>
          <w:lang w:eastAsia="en-US"/>
        </w:rPr>
        <w:t>předmět koupě</w:t>
      </w:r>
      <w:r>
        <w:rPr>
          <w:rFonts w:cs="Arial" w:ascii="Arial" w:hAnsi="Arial"/>
          <w:sz w:val="20"/>
          <w:szCs w:val="20"/>
        </w:rPr>
        <w:t xml:space="preserve"> do 30 dnů od termínu sjednaného ve smlouvě, má kupující právo odstoupit od smlouvy a požadovat počínaje doručením odstoupení po prodávajícím úhradu smluvní pokuty pro tento případ mezi smluvními stranami sjednanou ve výši 0,5% z celkové ceny </w:t>
      </w:r>
      <w:r>
        <w:rPr>
          <w:rFonts w:cs="Arial" w:ascii="Arial" w:hAnsi="Arial"/>
          <w:sz w:val="20"/>
          <w:szCs w:val="20"/>
          <w:lang w:eastAsia="en-US"/>
        </w:rPr>
        <w:t>předmětu koupě</w:t>
      </w:r>
      <w:r>
        <w:rPr>
          <w:rFonts w:cs="Arial" w:ascii="Arial" w:hAnsi="Arial"/>
          <w:sz w:val="20"/>
          <w:szCs w:val="20"/>
        </w:rPr>
        <w:t xml:space="preserve"> dle článku 2) odst. 1 této smlouvy, včetně DPH a veškerých případných škod, které kupujícímu v důsledku prodlení vzniknou.</w:t>
      </w:r>
    </w:p>
    <w:p>
      <w:pPr>
        <w:pStyle w:val="Normal"/>
        <w:numPr>
          <w:ilvl w:val="0"/>
          <w:numId w:val="9"/>
        </w:numPr>
        <w:spacing w:before="120" w:after="0"/>
        <w:ind w:start="357" w:end="0" w:hanging="357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případě, že prodávající není plátce DPH, určení výše smluvní pokuty ve vazbě na DPH se neuplatní.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6) </w:t>
      </w:r>
      <w:r>
        <w:rPr>
          <w:rFonts w:cs="Arial" w:ascii="Arial" w:hAnsi="Arial"/>
          <w:b/>
          <w:bCs/>
          <w:sz w:val="20"/>
          <w:szCs w:val="20"/>
        </w:rPr>
        <w:t>Závěrečná ustanovení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</w:t>
      </w:r>
      <w:r>
        <w:rPr>
          <w:rFonts w:cs="Arial" w:ascii="Arial" w:hAnsi="Arial"/>
          <w:lang w:val="cs-CZ"/>
        </w:rPr>
        <w:t xml:space="preserve">v platném znění, </w:t>
      </w:r>
      <w:r>
        <w:rPr>
          <w:rFonts w:cs="Arial" w:ascii="Arial" w:hAnsi="Arial"/>
        </w:rPr>
        <w:t>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(např. § 8 písm. c), § 2</w:t>
      </w:r>
      <w:r>
        <w:rPr>
          <w:rFonts w:cs="Arial" w:ascii="Arial" w:hAnsi="Arial"/>
          <w:lang w:val="cs-CZ"/>
        </w:rPr>
        <w:t>0</w:t>
      </w:r>
      <w:r>
        <w:rPr>
          <w:rFonts w:cs="Arial" w:ascii="Arial" w:hAnsi="Arial"/>
        </w:rPr>
        <w:t xml:space="preserve"> odst. 1 zákona č. 2</w:t>
      </w:r>
      <w:r>
        <w:rPr>
          <w:rFonts w:cs="Arial" w:ascii="Arial" w:hAnsi="Arial"/>
          <w:lang w:val="cs-CZ"/>
        </w:rPr>
        <w:t>55</w:t>
      </w:r>
      <w:r>
        <w:rPr>
          <w:rFonts w:cs="Arial" w:ascii="Arial" w:hAnsi="Arial"/>
        </w:rPr>
        <w:t>/2012 Sb., o kontrole</w:t>
      </w:r>
      <w:r>
        <w:rPr>
          <w:rFonts w:cs="Arial" w:ascii="Arial" w:hAnsi="Arial"/>
          <w:lang w:val="cs-CZ"/>
        </w:rPr>
        <w:t xml:space="preserve"> – kontrolní řád, v platném znění</w:t>
      </w:r>
      <w:r>
        <w:rPr>
          <w:rFonts w:cs="Arial" w:ascii="Arial" w:hAnsi="Arial"/>
        </w:rPr>
        <w:t xml:space="preserve">). 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</w:rPr>
      </w:pPr>
      <w:r>
        <w:rPr>
          <w:rFonts w:cs="Arial" w:ascii="Arial" w:hAnsi="Arial"/>
          <w:lang w:val="cs-CZ"/>
        </w:rPr>
        <w:t>Prodávající</w:t>
      </w:r>
      <w:r>
        <w:rPr>
          <w:rFonts w:cs="Arial" w:ascii="Arial" w:hAnsi="Arial"/>
        </w:rPr>
        <w:t xml:space="preserve"> je povinen minimálně do konce roku 2035 poskytovat požadované informace a dokumentaci související s prováděním díla (realizací projektu)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provedení kontroly vztahující se k provádění díla (realizaci projektu) a poskytnout jim při provádění kontroly součinnost. </w:t>
      </w:r>
    </w:p>
    <w:p>
      <w:pPr>
        <w:pStyle w:val="Tlotextu"/>
        <w:keepLines/>
        <w:ind w:start="426" w:end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Pokud </w:t>
      </w:r>
      <w:r>
        <w:rPr>
          <w:rFonts w:cs="Arial" w:ascii="Arial" w:hAnsi="Arial"/>
          <w:lang w:val="cs-CZ"/>
        </w:rPr>
        <w:t xml:space="preserve">prodávající </w:t>
      </w:r>
      <w:r>
        <w:rPr>
          <w:rFonts w:cs="Arial" w:ascii="Arial" w:hAnsi="Arial"/>
        </w:rPr>
        <w:t xml:space="preserve">poruší kteroukoliv z povinností., má </w:t>
      </w:r>
      <w:r>
        <w:rPr>
          <w:rFonts w:cs="Arial" w:ascii="Arial" w:hAnsi="Arial"/>
          <w:lang w:val="cs-CZ"/>
        </w:rPr>
        <w:t>kupující</w:t>
      </w:r>
      <w:r>
        <w:rPr>
          <w:rFonts w:cs="Arial" w:ascii="Arial" w:hAnsi="Arial"/>
        </w:rPr>
        <w:t xml:space="preserve"> vůči </w:t>
      </w:r>
      <w:r>
        <w:rPr>
          <w:rFonts w:cs="Arial" w:ascii="Arial" w:hAnsi="Arial"/>
          <w:lang w:val="cs-CZ"/>
        </w:rPr>
        <w:t>prodávajícímu</w:t>
      </w:r>
      <w:r>
        <w:rPr>
          <w:rFonts w:cs="Arial" w:ascii="Arial" w:hAnsi="Arial"/>
        </w:rPr>
        <w:t xml:space="preserve"> právo na smluvní pokutu ve výši 1 000,- Kč za každé takové jednotlivé porušení. 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Prodávající</w:t>
      </w:r>
      <w:r>
        <w:rPr>
          <w:rFonts w:cs="Arial" w:ascii="Arial" w:hAnsi="Arial"/>
        </w:rPr>
        <w:t xml:space="preserve"> je povinen uchovávat veškerou dokumentaci související s prováděním díla (realizací projektu), včetně účetních dokladů, minimálně do konce roku 2035, nevyplývá-li z českých právních předpisů lhůta delší.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Prodávající bere na vědomí, že dodržuje při svém postupu zásady sociálně odpovědného zadávání, environmentálně odpovědného zadávání a inovací ve smyslu zákona. 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</w:rPr>
      </w:pPr>
      <w:r>
        <w:rPr>
          <w:rFonts w:cs="Arial" w:ascii="Arial" w:hAnsi="Arial"/>
          <w:lang w:val="cs-CZ"/>
        </w:rPr>
        <w:t>Prodávající byl již v zadávacím řízení kupujícím informován, že v souladu s ustanovením § 6 odst. 4 zákona č. 134/2016 Sb., o zadávání veřejných zakázek, ve znění pozdějších předpisů, objednatel trvá na dodržování zásady sociálně odpovědného zadávání, environmentálně odpovědného zadávání a inovací ve smyslu daného zákona. S ohledem na charakter zakázky kupující zejména požaduje po prodávajícím, aby v průběhu plnění dle této smlouvy dodržoval níže uvedené povinnosti:</w:t>
      </w:r>
    </w:p>
    <w:p>
      <w:pPr>
        <w:pStyle w:val="Odstavecseseznamem"/>
        <w:numPr>
          <w:ilvl w:val="2"/>
          <w:numId w:val="13"/>
        </w:numPr>
        <w:ind w:start="851" w:end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aby prodávající prováděl a kontroloval plnění této smlouvy v souladu se zásadami norem řady ČSN EN ISO 9000 a ČSN EN ISO 14 000;  </w:t>
      </w:r>
    </w:p>
    <w:p>
      <w:pPr>
        <w:pStyle w:val="Odstavecseseznamem"/>
        <w:numPr>
          <w:ilvl w:val="2"/>
          <w:numId w:val="13"/>
        </w:numPr>
        <w:ind w:start="851" w:end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aby prodávající dodržoval a zajistil dodržování pracovněprávních předpisů (zejména zákoníku práce a zákona o zaměstnanosti) vůči všem osobám, které se na plnění této smlouvy na straně prodávajícího budou podílet; </w:t>
      </w:r>
    </w:p>
    <w:p>
      <w:pPr>
        <w:pStyle w:val="Odstavecseseznamem"/>
        <w:numPr>
          <w:ilvl w:val="2"/>
          <w:numId w:val="13"/>
        </w:numPr>
        <w:ind w:start="851" w:end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aby prodávající v případě, že k plnění této smlouvy využije poddodavatele, zabezpečil plnění férových podmínek v dodavatelském řetězci, tedy zejména, aby smlouvy mezi prodávajícím a jeho poddodavatelem obsahovaly obchodní podmínky obdobné, jako jsou obchodní podmínky této smlouvy (se zohledněním rozsahu a charakteru poddodávky), a zejména, aby řádně a včas hradil dluhy svým poddodavatelům;</w:t>
      </w:r>
    </w:p>
    <w:p>
      <w:pPr>
        <w:pStyle w:val="Odstavecseseznamem"/>
        <w:numPr>
          <w:ilvl w:val="2"/>
          <w:numId w:val="13"/>
        </w:numPr>
        <w:ind w:start="851" w:end="0" w:hanging="284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</w:rPr>
        <w:t xml:space="preserve">a prodávající se zavazuje, že shora uvedené povinnosti bude dodržovat a v případě požadavku kupujícího mu dodržování daných povinností doloží. 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  <w:lang w:val="cs-CZ"/>
        </w:rPr>
      </w:pPr>
      <w:bookmarkStart w:id="10" w:name="_Hlk145570994"/>
      <w:r>
        <w:rPr>
          <w:rFonts w:cs="Arial" w:ascii="Arial" w:hAnsi="Arial"/>
          <w:lang w:val="cs-CZ"/>
        </w:rPr>
        <w:t>Prodávající podpisem této smlouvy prohlašuje, že jako dodavatel veřejné zakázky není dodavatelem ve smyslu nařízení Rady EU č. 2022/576, tj. není:</w:t>
      </w:r>
    </w:p>
    <w:p>
      <w:pPr>
        <w:pStyle w:val="Tlotextu"/>
        <w:keepLines/>
        <w:ind w:start="426" w:end="0" w:hanging="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a) ruským státním příslušníkem, fyzickou či právnickou osobou, subjektem či orgánem se sídlem v Rusku,</w:t>
      </w:r>
    </w:p>
    <w:p>
      <w:pPr>
        <w:pStyle w:val="Tlotextu"/>
        <w:keepLines/>
        <w:ind w:start="426" w:end="0" w:hanging="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b) právnickou osobou, subjektem nebo orgánem, který je z více než 50 % přímo či nepřímo vlastněný některým ze subjektů uvedených v písmeni a) tohoto bodu., nebo</w:t>
      </w:r>
    </w:p>
    <w:p>
      <w:pPr>
        <w:pStyle w:val="Tlotextu"/>
        <w:keepLines/>
        <w:ind w:start="426" w:end="0" w:hanging="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c) fyzickou nebo právnickou osobou, subjektem nebo orgánem, který jedná jménem nebo na pokyn některého ze subjektů uvedených v písmeni a) nebo b) tohoto bodu.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</w:rPr>
      </w:pPr>
      <w:r>
        <w:rPr>
          <w:rFonts w:cs="Arial" w:ascii="Arial" w:hAnsi="Arial"/>
          <w:lang w:val="cs-CZ"/>
        </w:rPr>
        <w:t>Prodávající podpisem této smlouvy prohlašuje, že:</w:t>
      </w:r>
    </w:p>
    <w:p>
      <w:pPr>
        <w:pStyle w:val="Odstavecseseznamem"/>
        <w:numPr>
          <w:ilvl w:val="0"/>
          <w:numId w:val="11"/>
        </w:numPr>
        <w:ind w:start="851" w:end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nevyužije při plnění veřejné zakázky poddodavatele, který by naplnil podmínky uvedené v bodě 8.5. písm. a) až c) této smlouvy, pokud by plnil více než 10 % hodnoty zakázky;</w:t>
      </w:r>
    </w:p>
    <w:p>
      <w:pPr>
        <w:pStyle w:val="Odstavecseseznamem"/>
        <w:numPr>
          <w:ilvl w:val="0"/>
          <w:numId w:val="11"/>
        </w:numPr>
        <w:ind w:start="851" w:end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neobchoduje se sankcionovaným zbožím, které se nachází v Rusku nebo Bělorusku či z Ruska nebo Běloruska pochází a nenabízí takové zboží v rámci plnění veřejných zakázek;</w:t>
      </w:r>
    </w:p>
    <w:p>
      <w:pPr>
        <w:pStyle w:val="Odstavecseseznamem"/>
        <w:numPr>
          <w:ilvl w:val="0"/>
          <w:numId w:val="11"/>
        </w:numPr>
        <w:ind w:start="851" w:end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prospěch;</w:t>
      </w:r>
    </w:p>
    <w:p>
      <w:pPr>
        <w:pStyle w:val="Odstavecseseznamem"/>
        <w:numPr>
          <w:ilvl w:val="0"/>
          <w:numId w:val="11"/>
        </w:numPr>
        <w:ind w:start="851" w:end="0" w:hanging="284"/>
        <w:jc w:val="both"/>
        <w:rPr>
          <w:rFonts w:ascii="Arial" w:hAnsi="Arial" w:cs="Arial"/>
        </w:rPr>
      </w:pPr>
      <w:bookmarkStart w:id="11" w:name="_Hlk145570994"/>
      <w:r>
        <w:rPr>
          <w:rFonts w:cs="Arial" w:ascii="Arial" w:hAnsi="Arial"/>
        </w:rPr>
        <w:t>v případě změny prohlášení uvedených shora bude objednatele neprodleně informovat.</w:t>
      </w:r>
      <w:bookmarkEnd w:id="11"/>
    </w:p>
    <w:p>
      <w:pPr>
        <w:pStyle w:val="Tlotextu"/>
        <w:keepLines/>
        <w:numPr>
          <w:ilvl w:val="1"/>
          <w:numId w:val="1"/>
        </w:numPr>
        <w:spacing w:before="120" w:after="0"/>
        <w:ind w:start="425" w:end="0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Pokud ve smlouvě není výslovně ujednáno jinak, řídí se právní vztahy smluvních stran ze smlouvy touto zadávací dokumentací a pokud v ní není uvedeno, pak příslušnými ustanoveními zákona č. 89/2012 Sb., </w:t>
      </w:r>
      <w:r>
        <w:rPr>
          <w:rFonts w:cs="Arial" w:ascii="Arial" w:hAnsi="Arial"/>
          <w:color w:val="000000"/>
        </w:rPr>
        <w:t>O</w:t>
      </w:r>
      <w:r>
        <w:rPr>
          <w:rFonts w:cs="Arial" w:ascii="Arial" w:hAnsi="Arial"/>
        </w:rPr>
        <w:t>bčanského zákoníku</w:t>
      </w:r>
      <w:r>
        <w:rPr>
          <w:rFonts w:cs="Arial" w:ascii="Arial" w:hAnsi="Arial"/>
          <w:lang w:val="cs-CZ"/>
        </w:rPr>
        <w:t>,</w:t>
      </w:r>
      <w:r>
        <w:rPr>
          <w:rFonts w:cs="Arial" w:ascii="Arial" w:hAnsi="Arial"/>
        </w:rPr>
        <w:t xml:space="preserve"> v jeho platném znění.</w:t>
      </w:r>
    </w:p>
    <w:p>
      <w:pPr>
        <w:pStyle w:val="Tlotextu"/>
        <w:keepLines/>
        <w:numPr>
          <w:ilvl w:val="1"/>
          <w:numId w:val="1"/>
        </w:numPr>
        <w:spacing w:before="120" w:after="0"/>
        <w:ind w:start="425" w:end="0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  <w:t>Změny nebo doplnění smlouvy lze učinit výlučně písemně formou dodatků potvrzených oprávněnými zástupci smluvních stran.</w:t>
      </w:r>
    </w:p>
    <w:p>
      <w:pPr>
        <w:pStyle w:val="Tlotextu"/>
        <w:keepLines/>
        <w:numPr>
          <w:ilvl w:val="1"/>
          <w:numId w:val="1"/>
        </w:numPr>
        <w:spacing w:before="120" w:after="0"/>
        <w:ind w:start="425" w:end="0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Smlouva je vyhotovena ve </w:t>
      </w:r>
      <w:r>
        <w:rPr>
          <w:rFonts w:cs="Arial" w:ascii="Arial" w:hAnsi="Arial"/>
          <w:lang w:val="cs-CZ"/>
        </w:rPr>
        <w:t>třech</w:t>
      </w:r>
      <w:r>
        <w:rPr>
          <w:rFonts w:cs="Arial" w:ascii="Arial" w:hAnsi="Arial"/>
        </w:rPr>
        <w:t xml:space="preserve"> stejnopisech, z nichž </w:t>
      </w:r>
      <w:r>
        <w:rPr>
          <w:rFonts w:cs="Arial" w:ascii="Arial" w:hAnsi="Arial"/>
          <w:lang w:val="cs-CZ"/>
        </w:rPr>
        <w:t xml:space="preserve">dva </w:t>
      </w:r>
      <w:r>
        <w:rPr>
          <w:rFonts w:cs="Arial" w:ascii="Arial" w:hAnsi="Arial"/>
        </w:rPr>
        <w:t xml:space="preserve">obdrží </w:t>
      </w:r>
      <w:r>
        <w:rPr>
          <w:rFonts w:cs="Arial" w:ascii="Arial" w:hAnsi="Arial"/>
          <w:lang w:val="cs-CZ"/>
        </w:rPr>
        <w:t>kupující</w:t>
      </w:r>
      <w:r>
        <w:rPr>
          <w:rFonts w:cs="Arial" w:ascii="Arial" w:hAnsi="Arial"/>
        </w:rPr>
        <w:t xml:space="preserve"> a jeden </w:t>
      </w:r>
      <w:r>
        <w:rPr>
          <w:rFonts w:cs="Arial" w:ascii="Arial" w:hAnsi="Arial"/>
          <w:lang w:val="cs-CZ"/>
        </w:rPr>
        <w:t xml:space="preserve">prodávající. 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</w:rPr>
      </w:pPr>
      <w:r>
        <w:rPr>
          <w:rFonts w:cs="Arial" w:ascii="Arial" w:hAnsi="Arial"/>
        </w:rPr>
        <w:t>Smluvní strany řeší spory z této smlouvy vyplývající především vzájemnou dohodou. Nedojde-li k dohodě, předají strany spor věcně příslušnému soudu.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</w:rPr>
      </w:pPr>
      <w:r>
        <w:rPr>
          <w:rFonts w:cs="Arial" w:ascii="Arial" w:hAnsi="Arial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zveřejnění bez stanovení jakýchkoli dalších podmínek. Uveřejnění smlouvy v registru smluv zajistí objednatel.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Smlouva nabývá platnosti dnem jejího podpisu oběma smluvními stranami a účinnosti nabývá dnem uveřejnění v registru smluv. </w:t>
      </w:r>
    </w:p>
    <w:p>
      <w:pPr>
        <w:pStyle w:val="Tlotextu"/>
        <w:keepLines/>
        <w:numPr>
          <w:ilvl w:val="1"/>
          <w:numId w:val="1"/>
        </w:numPr>
        <w:ind w:start="426" w:end="0" w:hanging="42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</w:rPr>
        <w:t xml:space="preserve">Uzavření této smlouvy bylo projednáno Radou města Hořice, usnesení č. </w:t>
      </w:r>
      <w:r>
        <w:rPr>
          <w:rFonts w:cs="Arial" w:ascii="Arial" w:hAnsi="Arial"/>
        </w:rPr>
        <w:t>RM3l14l2024 ze dne 10.7.2024.</w:t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spacing w:before="480" w:after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Za kupujícího:</w:t>
        <w:tab/>
        <w:tab/>
        <w:tab/>
        <w:t>Za prodávajícího:</w:t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spacing w:before="480" w:after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V Hořicích dne 25.7.2024</w:t>
        <w:tab/>
        <w:tab/>
        <w:t xml:space="preserve">V </w:t>
      </w:r>
      <w:r>
        <w:rPr>
          <w:rFonts w:cs="Arial" w:ascii="Arial" w:hAnsi="Arial"/>
          <w:color w:val="111111"/>
          <w:sz w:val="20"/>
          <w:szCs w:val="20"/>
          <w:lang w:eastAsia="en-US"/>
        </w:rPr>
        <w:t xml:space="preserve">Lípě, dne </w:t>
      </w:r>
      <w:bookmarkStart w:id="12" w:name="_Hlk153266845"/>
      <w:r>
        <w:rPr>
          <w:rFonts w:cs="Arial" w:ascii="Arial" w:hAnsi="Arial"/>
          <w:color w:val="111111"/>
          <w:sz w:val="20"/>
          <w:szCs w:val="20"/>
          <w:lang w:eastAsia="en-US"/>
        </w:rPr>
        <w:t>1</w:t>
      </w:r>
      <w:bookmarkEnd w:id="12"/>
      <w:r>
        <w:rPr>
          <w:rFonts w:cs="Arial" w:ascii="Arial" w:hAnsi="Arial"/>
          <w:color w:val="111111"/>
          <w:sz w:val="20"/>
          <w:szCs w:val="20"/>
          <w:lang w:eastAsia="en-US"/>
        </w:rPr>
        <w:t>2.7.</w:t>
      </w:r>
      <w:r>
        <w:rPr>
          <w:rFonts w:cs="Arial" w:ascii="Arial" w:hAnsi="Arial"/>
          <w:sz w:val="20"/>
          <w:szCs w:val="20"/>
          <w:lang w:eastAsia="en-US"/>
        </w:rPr>
        <w:t>2024</w:t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spacing w:before="480" w:after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ab/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spacing w:before="480" w:after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______________________________</w:t>
        <w:tab/>
        <w:t xml:space="preserve">      </w:t>
        <w:tab/>
        <w:t xml:space="preserve"> </w:t>
        <w:tab/>
        <w:t>______________________________</w:t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  <w:t>Ing. Arch. Martin Pour</w:t>
        <w:tab/>
        <w:tab/>
        <w:t xml:space="preserve">        titul, jméno a příjmení oprávněné osoby</w:t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  <w:t>starosta</w:t>
        <w:tab/>
        <w:tab/>
        <w:tab/>
      </w:r>
      <w:r>
        <w:rPr>
          <w:rFonts w:cs="Arial" w:ascii="Arial" w:hAnsi="Arial"/>
          <w:sz w:val="20"/>
          <w:szCs w:val="20"/>
          <w:lang w:eastAsia="en-US"/>
        </w:rPr>
        <w:t xml:space="preserve">jednat za </w:t>
      </w:r>
      <w:r>
        <w:rPr>
          <w:rFonts w:cs="Arial" w:ascii="Arial" w:hAnsi="Arial"/>
          <w:sz w:val="20"/>
          <w:szCs w:val="20"/>
        </w:rPr>
        <w:t>dodavatele</w:t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center" w:pos="4500" w:leader="none"/>
        </w:tabs>
        <w:snapToGrid w:val="false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  <w:t>Přílohy:</w:t>
      </w:r>
    </w:p>
    <w:p>
      <w:pPr>
        <w:pStyle w:val="Normal"/>
        <w:numPr>
          <w:ilvl w:val="0"/>
          <w:numId w:val="12"/>
        </w:numPr>
        <w:jc w:val="both"/>
        <w:rPr>
          <w:iCs/>
          <w:sz w:val="28"/>
          <w:szCs w:val="28"/>
        </w:rPr>
      </w:pPr>
      <w:r>
        <w:rPr>
          <w:rFonts w:cs="Arial" w:ascii="Arial" w:hAnsi="Arial"/>
          <w:sz w:val="20"/>
          <w:szCs w:val="20"/>
        </w:rPr>
        <w:t>Soupis prací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ourier New">
    <w:charset w:val="ee" w:characterSet="windows-1250"/>
    <w:family w:val="modern"/>
    <w:pitch w:val="default"/>
  </w:font>
  <w:font w:name="Wingdings">
    <w:charset w:val="02"/>
    <w:family w:val="auto"/>
    <w:pitch w:val="variable"/>
  </w:font>
  <w:font w:name="Tahoma"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tabs>
        <w:tab w:val="clear" w:pos="708"/>
        <w:tab w:val="center" w:pos="4820" w:leader="none"/>
        <w:tab w:val="right" w:pos="9639" w:leader="none"/>
      </w:tabs>
      <w:jc w:val="end"/>
      <w:rPr>
        <w:i/>
        <w:i/>
        <w:iCs/>
      </w:rPr>
    </w:pPr>
    <w:r>
      <w:rPr>
        <w:rFonts w:cs="Arial" w:ascii="Arial" w:hAnsi="Arial"/>
        <w:i/>
        <w:iCs/>
        <w:sz w:val="16"/>
        <w:szCs w:val="16"/>
      </w:rPr>
      <w:t xml:space="preserve">Strana </w:t>
    </w:r>
    <w:r>
      <w:rPr>
        <w:rFonts w:cs="Arial"/>
        <w:i/>
        <w:iCs/>
        <w:sz w:val="16"/>
        <w:szCs w:val="16"/>
      </w:rPr>
      <w:fldChar w:fldCharType="begin"/>
    </w:r>
    <w:r>
      <w:rPr>
        <w:sz w:val="16"/>
        <w:i/>
        <w:szCs w:val="16"/>
        <w:iCs/>
        <w:rFonts w:cs="Arial"/>
      </w:rPr>
      <w:instrText xml:space="preserve"> PAGE </w:instrText>
    </w:r>
    <w:r>
      <w:rPr>
        <w:sz w:val="16"/>
        <w:i/>
        <w:szCs w:val="16"/>
        <w:iCs/>
        <w:rFonts w:cs="Arial"/>
      </w:rPr>
      <w:fldChar w:fldCharType="separate"/>
    </w:r>
    <w:r>
      <w:rPr>
        <w:sz w:val="16"/>
        <w:i/>
        <w:szCs w:val="16"/>
        <w:iCs/>
        <w:rFonts w:cs="Arial"/>
      </w:rPr>
      <w:t>6</w:t>
    </w:r>
    <w:r>
      <w:rPr>
        <w:sz w:val="16"/>
        <w:i/>
        <w:szCs w:val="16"/>
        <w:iCs/>
        <w:rFonts w:cs="Arial"/>
      </w:rPr>
      <w:fldChar w:fldCharType="end"/>
    </w:r>
    <w:r>
      <w:rPr>
        <w:rFonts w:cs="Arial" w:ascii="Arial" w:hAnsi="Arial"/>
        <w:i/>
        <w:iCs/>
        <w:sz w:val="16"/>
        <w:szCs w:val="16"/>
      </w:rPr>
      <w:t xml:space="preserve"> (celkem </w:t>
    </w:r>
    <w:r>
      <w:rPr>
        <w:rFonts w:cs="Arial"/>
        <w:i/>
        <w:iCs/>
        <w:sz w:val="16"/>
        <w:szCs w:val="16"/>
      </w:rPr>
      <w:fldChar w:fldCharType="begin"/>
    </w:r>
    <w:r>
      <w:rPr>
        <w:sz w:val="16"/>
        <w:i/>
        <w:szCs w:val="16"/>
        <w:iCs/>
        <w:rFonts w:cs="Arial"/>
      </w:rPr>
      <w:instrText xml:space="preserve"> NUMPAGES \* ARABIC </w:instrText>
    </w:r>
    <w:r>
      <w:rPr>
        <w:sz w:val="16"/>
        <w:i/>
        <w:szCs w:val="16"/>
        <w:iCs/>
        <w:rFonts w:cs="Arial"/>
      </w:rPr>
      <w:fldChar w:fldCharType="separate"/>
    </w:r>
    <w:r>
      <w:rPr>
        <w:sz w:val="16"/>
        <w:i/>
        <w:szCs w:val="16"/>
        <w:iCs/>
        <w:rFonts w:cs="Arial"/>
      </w:rPr>
      <w:t>6</w:t>
    </w:r>
    <w:r>
      <w:rPr>
        <w:sz w:val="16"/>
        <w:i/>
        <w:szCs w:val="16"/>
        <w:iCs/>
        <w:rFonts w:cs="Arial"/>
      </w:rPr>
      <w:fldChar w:fldCharType="end"/>
    </w:r>
    <w:r>
      <w:rPr>
        <w:rFonts w:cs="Arial" w:ascii="Arial" w:hAnsi="Arial"/>
        <w:i/>
        <w:iCs/>
        <w:sz w:val="16"/>
        <w:szCs w:val="16"/>
      </w:rPr>
      <w:t>)</w:t>
    </w:r>
  </w:p>
  <w:p>
    <w:pPr>
      <w:pStyle w:val="Zpat"/>
      <w:jc w:val="end"/>
      <w:rPr>
        <w:i/>
        <w:i/>
        <w:iCs/>
      </w:rPr>
    </w:pPr>
    <w:r>
      <w:rPr>
        <w:i/>
        <w:iCs/>
      </w:rPr>
    </w:r>
  </w:p>
  <w:p>
    <w:pPr>
      <w:pStyle w:val="Zpat"/>
      <w:rPr>
        <w:lang w:val="cs-CZ" w:eastAsia="cs-CZ"/>
      </w:rPr>
    </w:pPr>
    <w:bookmarkStart w:id="13" w:name="_Hlk484000107"/>
    <w:r>
      <w:rPr>
        <w:lang w:val="cs-CZ" w:eastAsia="cs-CZ"/>
      </w:rPr>
      <w:drawing>
        <wp:inline distT="0" distB="0" distL="0" distR="0">
          <wp:extent cx="5749925" cy="953770"/>
          <wp:effectExtent l="0" t="0" r="0" b="0"/>
          <wp:docPr id="1" name="Obrázek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36" r="-6" b="-36"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3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end"/>
      <w:rPr/>
    </w:pPr>
    <w:r>
      <w:rPr>
        <w:iCs/>
        <w:sz w:val="28"/>
        <w:szCs w:val="28"/>
      </w:rPr>
      <w:t xml:space="preserve">Příloha č. </w:t>
    </w:r>
    <w:r>
      <w:rPr>
        <w:iCs/>
        <w:sz w:val="28"/>
        <w:szCs w:val="28"/>
        <w:lang w:val="cs-CZ"/>
      </w:rPr>
      <w:t>3 – Návrh kupní smlouvy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decimal"/>
      <w:lvlText w:val="%1"/>
      <w:lvlJc w:val="start"/>
      <w:pPr>
        <w:tabs>
          <w:tab w:val="num" w:pos="360"/>
        </w:tabs>
        <w:ind w:start="360" w:hanging="360"/>
      </w:pPr>
      <w:rPr>
        <w:sz w:val="22"/>
        <w:szCs w:val="22"/>
        <w:rFonts w:ascii="Times New Roman" w:hAnsi="Times New Roman" w:cs="Times New Roman"/>
        <w:lang w:val="cs-CZ"/>
      </w:rPr>
    </w:lvl>
    <w:lvl w:ilvl="1">
      <w:start w:val="1"/>
      <w:numFmt w:val="decimal"/>
      <w:lvlText w:val="%2."/>
      <w:lvlJc w:val="start"/>
      <w:pPr>
        <w:tabs>
          <w:tab w:val="num" w:pos="360"/>
        </w:tabs>
        <w:ind w:start="360" w:hanging="360"/>
      </w:pPr>
      <w:rPr>
        <w:sz w:val="22"/>
        <w:szCs w:val="22"/>
        <w:rFonts w:ascii="Times New Roman" w:hAnsi="Times New Roman" w:cs="Times New Roman"/>
        <w:lang w:val="cs-CZ"/>
      </w:rPr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>
        <w:sz w:val="22"/>
        <w:szCs w:val="22"/>
        <w:rFonts w:ascii="Times New Roman" w:hAnsi="Times New Roman" w:cs="Times New Roman"/>
        <w:lang w:val="cs-CZ"/>
      </w:rPr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>
        <w:sz w:val="22"/>
        <w:szCs w:val="22"/>
        <w:rFonts w:ascii="Times New Roman" w:hAnsi="Times New Roman" w:cs="Times New Roman"/>
        <w:lang w:val="cs-CZ"/>
      </w:rPr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>
        <w:sz w:val="22"/>
        <w:szCs w:val="22"/>
        <w:rFonts w:ascii="Times New Roman" w:hAnsi="Times New Roman" w:cs="Times New Roman"/>
        <w:lang w:val="cs-CZ"/>
      </w:rPr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>
        <w:sz w:val="22"/>
        <w:szCs w:val="22"/>
        <w:rFonts w:ascii="Times New Roman" w:hAnsi="Times New Roman" w:cs="Times New Roman"/>
        <w:lang w:val="cs-CZ"/>
      </w:rPr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>
        <w:sz w:val="22"/>
        <w:szCs w:val="22"/>
        <w:rFonts w:ascii="Times New Roman" w:hAnsi="Times New Roman" w:cs="Times New Roman"/>
        <w:lang w:val="cs-CZ"/>
      </w:rPr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>
        <w:sz w:val="22"/>
        <w:szCs w:val="22"/>
        <w:rFonts w:ascii="Times New Roman" w:hAnsi="Times New Roman" w:cs="Times New Roman"/>
        <w:lang w:val="cs-CZ"/>
      </w:rPr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>
        <w:sz w:val="22"/>
        <w:szCs w:val="22"/>
        <w:rFonts w:ascii="Times New Roman" w:hAnsi="Times New Roman" w:cs="Times New Roman"/>
        <w:lang w:val="cs-CZ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8"/>
        </w:tabs>
        <w:ind w:start="2139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2"/>
        <w:b/>
        <w:szCs w:val="22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  <w:sz w:val="22"/>
        <w:szCs w:val="22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2"/>
        <w:b w:val="false"/>
        <w:szCs w:val="22"/>
        <w:bCs/>
        <w:color w:val="000000"/>
        <w:lang w:val="en-US"/>
      </w:rPr>
    </w:lvl>
  </w:abstractNum>
  <w:abstractNum w:abstractNumId="6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2"/>
        <w:szCs w:val="22"/>
        <w:lang w:eastAsia="en-US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1776" w:hanging="360"/>
      </w:pPr>
      <w:rPr>
        <w:rFonts w:ascii="Symbol" w:hAnsi="Symbol" w:cs="Symbol" w:hint="default"/>
        <w:sz w:val="22"/>
        <w:szCs w:val="22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2"/>
        <w:szCs w:val="22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2"/>
        <w:szCs w:val="22"/>
      </w:rPr>
    </w:lvl>
  </w:abstractNum>
  <w:abstractNum w:abstractNumId="11">
    <w:lvl w:ilvl="0">
      <w:start w:val="1"/>
      <w:numFmt w:val="bullet"/>
      <w:lvlText w:val="-"/>
      <w:lvlJc w:val="start"/>
      <w:pPr>
        <w:tabs>
          <w:tab w:val="num" w:pos="0"/>
        </w:tabs>
        <w:ind w:start="1287" w:hanging="360"/>
      </w:pPr>
      <w:rPr>
        <w:rFonts w:ascii="Times New Roman" w:hAnsi="Times New Roman" w:cs="Times New Roman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13">
    <w:lvl w:ilvl="0">
      <w:start w:val="1"/>
      <w:numFmt w:val="ordinal"/>
      <w:lvlText w:val="9.%1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sz w:val="22"/>
      <w:szCs w:val="22"/>
      <w:lang w:val="cs-CZ"/>
    </w:rPr>
  </w:style>
  <w:style w:type="character" w:styleId="WW8Num2z0">
    <w:name w:val="WW8Num2z0"/>
    <w:qFormat/>
    <w:rPr>
      <w:rFonts w:ascii="Symbol" w:hAnsi="Symbol" w:cs="Symbol"/>
      <w:sz w:val="22"/>
      <w:szCs w:val="22"/>
    </w:rPr>
  </w:style>
  <w:style w:type="character" w:styleId="WW8Num3z0">
    <w:name w:val="WW8Num3z0"/>
    <w:qFormat/>
    <w:rPr>
      <w:b/>
      <w:sz w:val="22"/>
      <w:szCs w:val="22"/>
    </w:rPr>
  </w:style>
  <w:style w:type="character" w:styleId="WW8Num4z0">
    <w:name w:val="WW8Num4z0"/>
    <w:qFormat/>
    <w:rPr>
      <w:rFonts w:ascii="Arial" w:hAnsi="Arial" w:cs="Arial"/>
      <w:sz w:val="22"/>
      <w:szCs w:val="22"/>
    </w:rPr>
  </w:style>
  <w:style w:type="character" w:styleId="WW8Num5z0">
    <w:name w:val="WW8Num5z0"/>
    <w:qFormat/>
    <w:rPr>
      <w:b w:val="false"/>
      <w:bCs/>
      <w:color w:val="000000"/>
      <w:sz w:val="22"/>
      <w:szCs w:val="22"/>
      <w:lang w:val="en-US"/>
    </w:rPr>
  </w:style>
  <w:style w:type="character" w:styleId="WW8Num6z0">
    <w:name w:val="WW8Num6z0"/>
    <w:qFormat/>
    <w:rPr>
      <w:rFonts w:ascii="Arial" w:hAnsi="Arial" w:cs="Arial"/>
    </w:rPr>
  </w:style>
  <w:style w:type="character" w:styleId="WW8Num7z0">
    <w:name w:val="WW8Num7z0"/>
    <w:qFormat/>
    <w:rPr>
      <w:sz w:val="22"/>
      <w:szCs w:val="22"/>
      <w:lang w:eastAsia="en-US"/>
    </w:rPr>
  </w:style>
  <w:style w:type="character" w:styleId="WW8Num8z0">
    <w:name w:val="WW8Num8z0"/>
    <w:qFormat/>
    <w:rPr>
      <w:rFonts w:ascii="Symbol" w:hAnsi="Symbol" w:cs="Symbol"/>
      <w:sz w:val="22"/>
      <w:szCs w:val="22"/>
    </w:rPr>
  </w:style>
  <w:style w:type="character" w:styleId="WW8Num9z0">
    <w:name w:val="WW8Num9z0"/>
    <w:qFormat/>
    <w:rPr>
      <w:sz w:val="22"/>
      <w:szCs w:val="22"/>
    </w:rPr>
  </w:style>
  <w:style w:type="character" w:styleId="WW8Num10z0">
    <w:name w:val="WW8Num10z0"/>
    <w:qFormat/>
    <w:rPr>
      <w:sz w:val="22"/>
      <w:szCs w:val="22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ascii="Times New Roman" w:hAnsi="Times New Roman" w:cs="Times New Roman"/>
      <w:color w:val="000000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ascii="Times New Roman" w:hAnsi="Times New Roman" w:cs="Times New Roman"/>
      <w:color w:val="000000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cs="Times New Roman"/>
      <w:b w:val="false"/>
      <w:i w:val="false"/>
    </w:rPr>
  </w:style>
  <w:style w:type="character" w:styleId="WW8Num17z1">
    <w:name w:val="WW8Num17z1"/>
    <w:qFormat/>
    <w:rPr>
      <w:rFonts w:cs="Times New Roman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1">
    <w:name w:val="WW8Num21z1"/>
    <w:qFormat/>
    <w:rPr>
      <w:b/>
      <w:bCs/>
    </w:rPr>
  </w:style>
  <w:style w:type="character" w:styleId="WW8Num22z0">
    <w:name w:val="WW8Num22z0"/>
    <w:qFormat/>
    <w:rPr>
      <w:rFonts w:ascii="Symbol" w:hAnsi="Symbol" w:cs="Symbol"/>
      <w:color w:val="000000"/>
      <w:sz w:val="22"/>
      <w:szCs w:val="22"/>
      <w:shd w:fill="00FFFF" w:val="clear"/>
      <w:lang w:val="en-U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Arial" w:hAnsi="Arial" w:eastAsia="Times New Roman" w:cs="Arial"/>
      <w:sz w:val="22"/>
      <w:szCs w:val="22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bCs/>
      <w:color w:val="000000"/>
      <w:sz w:val="22"/>
      <w:szCs w:val="22"/>
      <w:lang w:val="en-US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Arial" w:hAnsi="Arial" w:eastAsia="Times New Roman" w:cs="Aria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3z0">
    <w:name w:val="WW8Num23z0"/>
    <w:qFormat/>
    <w:rPr>
      <w:sz w:val="22"/>
      <w:szCs w:val="22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  <w:b/>
      <w:bCs/>
      <w:sz w:val="22"/>
      <w:szCs w:val="22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sz w:val="22"/>
      <w:szCs w:val="22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color w:val="000000"/>
      <w:sz w:val="22"/>
      <w:szCs w:val="22"/>
      <w:shd w:fill="00FFFF" w:val="clear"/>
      <w:lang w:val="en-U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Arial" w:hAnsi="Arial" w:eastAsia="Times New Roman" w:cs="Aria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Symbol" w:hAnsi="Symbol" w:eastAsia="Times New Roman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Wingdings" w:hAnsi="Wingdings" w:cs="Wingdings"/>
      <w:b/>
      <w:bCs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4">
    <w:name w:val="WW8Num38z4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Arial" w:hAnsi="Arial" w:eastAsia="Times New Roman" w:cs="Arial"/>
      <w:sz w:val="22"/>
      <w:szCs w:val="22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Standardnpsmoodstavce1">
    <w:name w:val="Standardní písmo odstavce1"/>
    <w:qFormat/>
    <w:rPr/>
  </w:style>
  <w:style w:type="character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ZhlavChar">
    <w:name w:val="Záhlaví Char"/>
    <w:qFormat/>
    <w:rPr>
      <w:rFonts w:ascii="Times New Roman" w:hAnsi="Times New Roman" w:cs="Times New Roman"/>
      <w:sz w:val="24"/>
      <w:szCs w:val="24"/>
    </w:rPr>
  </w:style>
  <w:style w:type="character" w:styleId="ZpatChar">
    <w:name w:val="Zápatí Char"/>
    <w:qFormat/>
    <w:rPr>
      <w:rFonts w:ascii="Times New Roman" w:hAnsi="Times New Roman" w:cs="Times New Roman"/>
      <w:sz w:val="24"/>
      <w:szCs w:val="24"/>
    </w:rPr>
  </w:style>
  <w:style w:type="character" w:styleId="Internetovodkaz">
    <w:name w:val="Hyperlink"/>
    <w:rPr>
      <w:color w:val="0000FF"/>
      <w:u w:val="single"/>
    </w:rPr>
  </w:style>
  <w:style w:type="character" w:styleId="ZkladntextChar">
    <w:name w:val="Základní text Char"/>
    <w:qFormat/>
    <w:rPr>
      <w:rFonts w:ascii="Arial Narrow" w:hAnsi="Arial Narrow" w:cs="Arial Narrow"/>
      <w:sz w:val="20"/>
      <w:szCs w:val="20"/>
      <w:lang w:val="cs-CZ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lang w:eastAsia="zh-CN"/>
    </w:rPr>
  </w:style>
  <w:style w:type="character" w:styleId="PedmtkomenteChar">
    <w:name w:val="Předmět komentáře Char"/>
    <w:qFormat/>
    <w:rPr>
      <w:b/>
      <w:bCs/>
      <w:lang w:eastAsia="zh-CN"/>
    </w:rPr>
  </w:style>
  <w:style w:type="character" w:styleId="Nevyeenzmnka">
    <w:name w:val="Nevyřešená zmínka"/>
    <w:qFormat/>
    <w:rPr>
      <w:color w:val="605E5C"/>
      <w:shd w:fill="E1DFDD" w:val="clear"/>
    </w:rPr>
  </w:style>
  <w:style w:type="character" w:styleId="Datalabel">
    <w:name w:val="datalabel"/>
    <w:basedOn w:val="Standardnpsmoodstavce"/>
    <w:qFormat/>
    <w:rPr/>
  </w:style>
  <w:style w:type="character" w:styleId="ListParagraphChar">
    <w:name w:val="List Paragraph Char"/>
    <w:qFormat/>
    <w:rPr>
      <w:sz w:val="24"/>
      <w:szCs w:val="24"/>
      <w:lang w:eastAsia="zh-CN"/>
    </w:rPr>
  </w:style>
  <w:style w:type="character" w:styleId="Zkladntext2Char">
    <w:name w:val="Základní text 2 Char"/>
    <w:qFormat/>
    <w:rPr>
      <w:sz w:val="24"/>
      <w:szCs w:val="24"/>
      <w:lang w:eastAsia="zh-C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lotextu">
    <w:name w:val="Body Text"/>
    <w:basedOn w:val="Normal"/>
    <w:pPr>
      <w:jc w:val="center"/>
    </w:pPr>
    <w:rPr>
      <w:rFonts w:ascii="Arial Narrow" w:hAnsi="Arial Narrow" w:cs="Arial Narrow"/>
      <w:sz w:val="20"/>
      <w:szCs w:val="20"/>
      <w:lang w:val="cs-CZ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1">
    <w:name w:val="Odstavec se seznamem1"/>
    <w:basedOn w:val="Normal"/>
    <w:qFormat/>
    <w:pPr>
      <w:ind w:start="720" w:end="0" w:hanging="0"/>
    </w:pPr>
    <w:rPr/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  <w:lang w:val="cs-CZ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/>
    <w:rPr>
      <w:lang w:val="cs-CZ"/>
    </w:rPr>
  </w:style>
  <w:style w:type="paragraph" w:styleId="Zpat">
    <w:name w:val="Footer"/>
    <w:basedOn w:val="Normal"/>
    <w:pPr/>
    <w:rPr>
      <w:lang w:val="cs-CZ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  <w:sz w:val="22"/>
      <w:szCs w:val="22"/>
      <w:lang w:val="en-US"/>
    </w:rPr>
  </w:style>
  <w:style w:type="paragraph" w:styleId="Barevnseznamzvraznn11">
    <w:name w:val="Barevný seznam – zvýraznění 11"/>
    <w:basedOn w:val="Normal"/>
    <w:qFormat/>
    <w:pPr>
      <w:spacing w:before="0" w:after="0"/>
      <w:ind w:start="720" w:end="0" w:hanging="0"/>
      <w:contextualSpacing/>
    </w:pPr>
    <w:rPr/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Zkladntext2">
    <w:name w:val="Základní text 2"/>
    <w:basedOn w:val="Normal"/>
    <w:qFormat/>
    <w:pPr>
      <w:spacing w:lineRule="auto" w:line="480" w:before="0" w:after="120"/>
    </w:pPr>
    <w:rPr/>
  </w:style>
  <w:style w:type="paragraph" w:styleId="Revize">
    <w:name w:val="Revize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Odstavecseseznamem">
    <w:name w:val="Odstavec se seznamem"/>
    <w:basedOn w:val="Normal"/>
    <w:qFormat/>
    <w:pPr>
      <w:suppressAutoHyphens w:val="false"/>
      <w:spacing w:before="0" w:after="0"/>
      <w:ind w:start="720" w:end="0" w:hanging="0"/>
      <w:contextualSpacing/>
    </w:pPr>
    <w:rPr>
      <w:sz w:val="20"/>
      <w:szCs w:val="20"/>
    </w:rPr>
  </w:style>
  <w:style w:type="paragraph" w:styleId="Prosttext1">
    <w:name w:val="Prostý text1"/>
    <w:basedOn w:val="Normal"/>
    <w:qFormat/>
    <w:pPr>
      <w:suppressAutoHyphens w:val="false"/>
    </w:pPr>
    <w:rPr>
      <w:rFonts w:ascii="Courier New" w:hAnsi="Courier New" w:eastAsia="Calibri" w:cs="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27</TotalTime>
  <Application>LibreOffice/7.5.5.2$Windows_X86_64 LibreOffice_project/ca8fe7424262805f223b9a2334bc7181abbcbf5e</Application>
  <AppVersion>15.0000</AppVersion>
  <Pages>6</Pages>
  <Words>2075</Words>
  <Characters>12015</Characters>
  <CharactersWithSpaces>14034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2024-05-06T07:51:00Z</dcterms:created>
  <dc:creator>sztwiertnia</dc:creator>
  <dc:description/>
  <dc:language>cs-CZ</dc:language>
  <cp:lastModifiedBy/>
  <cp:lastPrinted>2016-02-22T14:46:00Z</cp:lastPrinted>
  <dcterms:modified xsi:type="dcterms:W3CDTF">2024-08-14T13:20:55Z</dcterms:modified>
  <cp:revision>10</cp:revision>
  <dc:subject/>
  <dc:title>KUPNÍ SMLOUVA</dc:title>
</cp:coreProperties>
</file>