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w:t>
      </w:r>
      <w:bookmarkStart w:id="0" w:name="_GoBack"/>
      <w:bookmarkEnd w:id="0"/>
      <w:r w:rsidRPr="00E9090D">
        <w:rPr>
          <w:rFonts w:ascii="Times New Roman" w:eastAsia="Times New Roman" w:hAnsi="Times New Roman" w:cs="Times New Roman"/>
          <w:b/>
          <w:bCs/>
          <w:sz w:val="20"/>
          <w:szCs w:val="20"/>
          <w:lang w:eastAsia="cs-CZ"/>
        </w:rPr>
        <w:t>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2648A2B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E9478E">
        <w:rPr>
          <w:rFonts w:ascii="Times New Roman" w:eastAsia="Times New Roman" w:hAnsi="Times New Roman" w:cs="Times New Roman"/>
          <w:b/>
          <w:sz w:val="20"/>
          <w:szCs w:val="20"/>
          <w:lang w:eastAsia="cs-CZ"/>
        </w:rPr>
        <w:t>„</w:t>
      </w:r>
      <w:r w:rsidR="00E9478E" w:rsidRPr="00E9478E">
        <w:rPr>
          <w:rFonts w:ascii="Times New Roman" w:eastAsia="Times New Roman" w:hAnsi="Times New Roman" w:cs="Times New Roman"/>
          <w:b/>
          <w:sz w:val="20"/>
          <w:szCs w:val="20"/>
          <w:lang w:eastAsia="cs-CZ"/>
        </w:rPr>
        <w:t>Efektivita topologické optimalizace dílců s využitím 3D tiskových technologií</w:t>
      </w:r>
      <w:r w:rsidR="00BF77C8">
        <w:rPr>
          <w:rFonts w:ascii="Times New Roman" w:eastAsia="Times New Roman" w:hAnsi="Times New Roman" w:cs="Times New Roman"/>
          <w:b/>
          <w:sz w:val="20"/>
          <w:szCs w:val="20"/>
          <w:lang w:eastAsia="cs-CZ"/>
        </w:rPr>
        <w:t>“</w:t>
      </w:r>
      <w:r w:rsidR="00E9478E">
        <w:rPr>
          <w:rFonts w:ascii="Times New Roman" w:eastAsia="Times New Roman" w:hAnsi="Times New Roman" w:cs="Times New Roman"/>
          <w:b/>
          <w:sz w:val="20"/>
          <w:szCs w:val="20"/>
          <w:lang w:eastAsia="cs-CZ"/>
        </w:rPr>
        <w:t xml:space="preserve">, identifikační kód DP: </w:t>
      </w:r>
      <w:r w:rsidR="00E9478E" w:rsidRPr="00E9478E">
        <w:rPr>
          <w:rFonts w:ascii="Times New Roman" w:eastAsia="Times New Roman" w:hAnsi="Times New Roman" w:cs="Times New Roman"/>
          <w:b/>
          <w:sz w:val="20"/>
          <w:szCs w:val="20"/>
          <w:lang w:eastAsia="cs-CZ"/>
        </w:rPr>
        <w:t>TN02000033</w:t>
      </w:r>
      <w:r w:rsidR="00E9478E">
        <w:rPr>
          <w:rFonts w:ascii="Times New Roman" w:eastAsia="Times New Roman" w:hAnsi="Times New Roman" w:cs="Times New Roman"/>
          <w:b/>
          <w:sz w:val="20"/>
          <w:szCs w:val="20"/>
          <w:lang w:eastAsia="cs-CZ"/>
        </w:rPr>
        <w:t>/19</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 rektor</w:t>
      </w:r>
    </w:p>
    <w:p w14:paraId="616AA464" w14:textId="70197F06"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D514AF">
        <w:rPr>
          <w:rFonts w:ascii="Times New Roman" w:eastAsia="Times New Roman" w:hAnsi="Times New Roman" w:cs="Times New Roman"/>
          <w:sz w:val="20"/>
          <w:szCs w:val="20"/>
          <w:lang w:eastAsia="cs-CZ"/>
        </w:rPr>
        <w:t>xxx</w:t>
      </w:r>
      <w:proofErr w:type="spellEnd"/>
    </w:p>
    <w:p w14:paraId="53316B11" w14:textId="7F961020"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D514AF">
        <w:rPr>
          <w:rFonts w:ascii="Times New Roman" w:eastAsia="Times New Roman" w:hAnsi="Times New Roman" w:cs="Times New Roman"/>
          <w:sz w:val="20"/>
          <w:szCs w:val="20"/>
          <w:lang w:eastAsia="cs-CZ"/>
        </w:rPr>
        <w:t>xxx</w:t>
      </w:r>
      <w:proofErr w:type="spellEnd"/>
    </w:p>
    <w:p w14:paraId="56FB2326" w14:textId="36D31B18"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42498792" w14:textId="6A454520" w:rsidR="0086277E" w:rsidRPr="00D30DC7" w:rsidRDefault="0086277E" w:rsidP="00E9090D">
      <w:pPr>
        <w:autoSpaceDE w:val="0"/>
        <w:autoSpaceDN w:val="0"/>
        <w:spacing w:after="0" w:line="240" w:lineRule="auto"/>
        <w:ind w:firstLine="708"/>
        <w:jc w:val="both"/>
        <w:rPr>
          <w:rFonts w:ascii="Times New Roman" w:eastAsia="Times New Roman" w:hAnsi="Times New Roman" w:cs="Times New Roman"/>
          <w:bCs/>
          <w:sz w:val="20"/>
          <w:szCs w:val="20"/>
          <w:lang w:eastAsia="cs-CZ"/>
        </w:rPr>
      </w:pPr>
      <w:r w:rsidRPr="00D30DC7">
        <w:rPr>
          <w:rFonts w:ascii="Times New Roman" w:eastAsia="Times New Roman" w:hAnsi="Times New Roman" w:cs="Times New Roman"/>
          <w:bCs/>
          <w:sz w:val="20"/>
          <w:szCs w:val="20"/>
          <w:lang w:eastAsia="cs-CZ"/>
        </w:rPr>
        <w:t>O</w:t>
      </w:r>
      <w:r w:rsidRPr="0086277E">
        <w:rPr>
          <w:rFonts w:ascii="Times New Roman" w:eastAsia="Times New Roman" w:hAnsi="Times New Roman" w:cs="Times New Roman"/>
          <w:bCs/>
          <w:sz w:val="20"/>
          <w:szCs w:val="20"/>
          <w:lang w:eastAsia="cs-CZ"/>
        </w:rPr>
        <w:t>dp</w:t>
      </w:r>
      <w:r w:rsidRPr="00D30DC7">
        <w:rPr>
          <w:rFonts w:ascii="Times New Roman" w:eastAsia="Times New Roman" w:hAnsi="Times New Roman" w:cs="Times New Roman"/>
          <w:bCs/>
          <w:sz w:val="20"/>
          <w:szCs w:val="20"/>
          <w:lang w:eastAsia="cs-CZ"/>
        </w:rPr>
        <w:t xml:space="preserve">ovědná osoba za Dílčí projekt: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2C77261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w:t>
      </w:r>
      <w:r w:rsidR="0086277E" w:rsidRPr="004C03C5">
        <w:rPr>
          <w:rFonts w:ascii="Times New Roman" w:eastAsia="Times New Roman" w:hAnsi="Times New Roman" w:cs="Times New Roman"/>
          <w:b/>
          <w:sz w:val="20"/>
          <w:szCs w:val="20"/>
          <w:lang w:eastAsia="cs-CZ"/>
        </w:rPr>
        <w:t>Účastník Dílčího projektu</w:t>
      </w:r>
      <w:r w:rsidR="00E9478E" w:rsidRPr="004C03C5">
        <w:rPr>
          <w:rFonts w:ascii="Times New Roman" w:eastAsia="Times New Roman" w:hAnsi="Times New Roman" w:cs="Times New Roman"/>
          <w:b/>
          <w:sz w:val="20"/>
          <w:szCs w:val="20"/>
          <w:lang w:eastAsia="cs-CZ"/>
        </w:rPr>
        <w:t xml:space="preserve"> 1</w:t>
      </w:r>
      <w:r w:rsidR="00E9478E">
        <w:rPr>
          <w:rFonts w:ascii="Times New Roman" w:eastAsia="Times New Roman" w:hAnsi="Times New Roman" w:cs="Times New Roman"/>
          <w:b/>
          <w:sz w:val="20"/>
          <w:szCs w:val="20"/>
          <w:lang w:eastAsia="cs-CZ"/>
        </w:rPr>
        <w:t xml:space="preserve"> </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5FF68691"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E9478E" w:rsidRPr="00E9478E">
        <w:rPr>
          <w:rFonts w:ascii="Times New Roman" w:eastAsia="Times New Roman" w:hAnsi="Times New Roman" w:cs="Times New Roman"/>
          <w:b/>
          <w:sz w:val="20"/>
          <w:szCs w:val="20"/>
          <w:lang w:eastAsia="cs-CZ"/>
        </w:rPr>
        <w:t>MALINA - Safety s.r.o.</w:t>
      </w:r>
    </w:p>
    <w:p w14:paraId="1D7ED26C" w14:textId="1C5DFBDF"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E9478E" w:rsidRPr="00E9478E">
        <w:rPr>
          <w:rFonts w:ascii="Times New Roman" w:eastAsia="Times New Roman" w:hAnsi="Times New Roman" w:cs="Times New Roman"/>
          <w:sz w:val="20"/>
          <w:szCs w:val="20"/>
          <w:lang w:eastAsia="cs-CZ"/>
        </w:rPr>
        <w:t>Luční 1391/11, 466 01 Jablonec nad Nisou</w:t>
      </w:r>
    </w:p>
    <w:p w14:paraId="255B3840" w14:textId="2EC56577" w:rsidR="00E9090D" w:rsidRPr="00E9090D" w:rsidRDefault="00E9090D" w:rsidP="00E9478E">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E9478E" w:rsidRPr="00E9478E">
        <w:rPr>
          <w:rFonts w:ascii="Times New Roman" w:eastAsia="Times New Roman" w:hAnsi="Times New Roman" w:cs="Times New Roman"/>
          <w:sz w:val="20"/>
          <w:szCs w:val="20"/>
          <w:lang w:eastAsia="cs-CZ"/>
        </w:rPr>
        <w:t>25430238</w:t>
      </w:r>
    </w:p>
    <w:p w14:paraId="3789BFE0" w14:textId="0D6A2152"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E9478E">
        <w:rPr>
          <w:rFonts w:ascii="Times New Roman" w:eastAsia="Times New Roman" w:hAnsi="Times New Roman" w:cs="Times New Roman"/>
          <w:sz w:val="20"/>
          <w:szCs w:val="20"/>
          <w:lang w:eastAsia="cs-CZ"/>
        </w:rPr>
        <w:t>CZ25430238</w:t>
      </w:r>
    </w:p>
    <w:p w14:paraId="3A92B8EF" w14:textId="42CFA9AA"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E9478E" w:rsidRPr="00E9478E">
        <w:rPr>
          <w:rFonts w:ascii="Times New Roman" w:eastAsia="Times New Roman" w:hAnsi="Times New Roman" w:cs="Times New Roman"/>
          <w:sz w:val="20"/>
          <w:szCs w:val="20"/>
          <w:lang w:eastAsia="cs-CZ"/>
        </w:rPr>
        <w:t xml:space="preserve">Ing. </w:t>
      </w:r>
      <w:r w:rsidR="00E257BB">
        <w:rPr>
          <w:rFonts w:ascii="Times New Roman" w:eastAsia="Times New Roman" w:hAnsi="Times New Roman" w:cs="Times New Roman"/>
          <w:sz w:val="20"/>
          <w:szCs w:val="20"/>
          <w:lang w:eastAsia="cs-CZ"/>
        </w:rPr>
        <w:t>Radek Malina</w:t>
      </w:r>
    </w:p>
    <w:p w14:paraId="29CD8A62" w14:textId="6DD7DEED"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E9478E">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E9478E">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E9478E">
        <w:rPr>
          <w:rFonts w:ascii="Times New Roman" w:eastAsia="Times New Roman" w:hAnsi="Times New Roman" w:cs="Times New Roman"/>
          <w:sz w:val="20"/>
          <w:szCs w:val="20"/>
          <w:lang w:eastAsia="cs-CZ"/>
        </w:rPr>
        <w:t>C 17979</w:t>
      </w:r>
    </w:p>
    <w:p w14:paraId="4D42981C" w14:textId="12526471"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D514AF">
        <w:rPr>
          <w:rFonts w:ascii="Times New Roman" w:eastAsia="Times New Roman" w:hAnsi="Times New Roman" w:cs="Times New Roman"/>
          <w:sz w:val="20"/>
          <w:szCs w:val="20"/>
          <w:lang w:eastAsia="cs-CZ"/>
        </w:rPr>
        <w:t>xxx</w:t>
      </w:r>
      <w:proofErr w:type="spellEnd"/>
    </w:p>
    <w:p w14:paraId="0ED24118" w14:textId="37DE7867"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D514AF">
        <w:rPr>
          <w:rFonts w:ascii="Times New Roman" w:eastAsia="Times New Roman" w:hAnsi="Times New Roman" w:cs="Times New Roman"/>
          <w:sz w:val="20"/>
          <w:szCs w:val="20"/>
          <w:lang w:eastAsia="cs-CZ"/>
        </w:rPr>
        <w:t>xxx</w:t>
      </w:r>
      <w:proofErr w:type="spellEnd"/>
      <w:r w:rsidR="00DF4FE8">
        <w:rPr>
          <w:rFonts w:ascii="Times New Roman" w:eastAsia="Times New Roman" w:hAnsi="Times New Roman" w:cs="Times New Roman"/>
          <w:sz w:val="20"/>
          <w:szCs w:val="20"/>
          <w:lang w:eastAsia="cs-CZ"/>
        </w:rPr>
        <w:t xml:space="preserve"> </w:t>
      </w:r>
    </w:p>
    <w:p w14:paraId="3317DDCE" w14:textId="743DE1DD"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35A5087F" w14:textId="14AC32BF"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E9478E">
        <w:rPr>
          <w:rFonts w:ascii="Times New Roman" w:eastAsia="Times New Roman" w:hAnsi="Times New Roman" w:cs="Times New Roman"/>
          <w:b/>
          <w:sz w:val="20"/>
          <w:szCs w:val="20"/>
          <w:lang w:eastAsia="cs-CZ"/>
        </w:rPr>
        <w:t>2</w:t>
      </w:r>
      <w:r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56CEE6E" w14:textId="60609898"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14956CE" w14:textId="3F41E288"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proofErr w:type="spellStart"/>
      <w:r w:rsidR="00E257BB" w:rsidRPr="00E257BB">
        <w:rPr>
          <w:rFonts w:ascii="Times New Roman" w:eastAsia="Times New Roman" w:hAnsi="Times New Roman" w:cs="Times New Roman"/>
          <w:b/>
          <w:sz w:val="20"/>
          <w:szCs w:val="20"/>
          <w:lang w:eastAsia="cs-CZ"/>
        </w:rPr>
        <w:t>Meretech</w:t>
      </w:r>
      <w:proofErr w:type="spellEnd"/>
      <w:r w:rsidR="00E257BB" w:rsidRPr="00E257BB">
        <w:rPr>
          <w:rFonts w:ascii="Times New Roman" w:eastAsia="Times New Roman" w:hAnsi="Times New Roman" w:cs="Times New Roman"/>
          <w:b/>
          <w:sz w:val="20"/>
          <w:szCs w:val="20"/>
          <w:lang w:eastAsia="cs-CZ"/>
        </w:rPr>
        <w:t xml:space="preserve"> s.r.o.</w:t>
      </w:r>
    </w:p>
    <w:p w14:paraId="7593D002" w14:textId="6D9E501F"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E257BB" w:rsidRPr="00E257BB">
        <w:rPr>
          <w:rFonts w:ascii="Times New Roman" w:eastAsia="Times New Roman" w:hAnsi="Times New Roman" w:cs="Times New Roman"/>
          <w:sz w:val="20"/>
          <w:szCs w:val="20"/>
          <w:lang w:eastAsia="cs-CZ"/>
        </w:rPr>
        <w:t>Nad Školkou 237, Proseč nad Nisou, 468 04 Jablonec nad Nisou</w:t>
      </w:r>
    </w:p>
    <w:p w14:paraId="429FDF41" w14:textId="3349FD5F"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E257BB" w:rsidRPr="00E257BB">
        <w:rPr>
          <w:rFonts w:ascii="Times New Roman" w:eastAsia="Times New Roman" w:hAnsi="Times New Roman" w:cs="Times New Roman"/>
          <w:sz w:val="20"/>
          <w:szCs w:val="20"/>
          <w:lang w:eastAsia="cs-CZ"/>
        </w:rPr>
        <w:t>03194680</w:t>
      </w:r>
    </w:p>
    <w:p w14:paraId="0A448FAB" w14:textId="14FA0C9E"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E257BB" w:rsidRPr="00E257BB">
        <w:rPr>
          <w:rFonts w:ascii="Times New Roman" w:eastAsia="Times New Roman" w:hAnsi="Times New Roman" w:cs="Times New Roman"/>
          <w:sz w:val="20"/>
          <w:szCs w:val="20"/>
          <w:lang w:eastAsia="cs-CZ"/>
        </w:rPr>
        <w:t>CZ03194680</w:t>
      </w:r>
    </w:p>
    <w:p w14:paraId="03483870" w14:textId="60281350"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E257BB">
        <w:rPr>
          <w:rFonts w:ascii="Times New Roman" w:eastAsia="Times New Roman" w:hAnsi="Times New Roman" w:cs="Times New Roman"/>
          <w:sz w:val="20"/>
          <w:szCs w:val="20"/>
          <w:lang w:eastAsia="cs-CZ"/>
        </w:rPr>
        <w:t xml:space="preserve">Martin </w:t>
      </w:r>
      <w:proofErr w:type="spellStart"/>
      <w:r w:rsidR="00E257BB">
        <w:rPr>
          <w:rFonts w:ascii="Times New Roman" w:eastAsia="Times New Roman" w:hAnsi="Times New Roman" w:cs="Times New Roman"/>
          <w:sz w:val="20"/>
          <w:szCs w:val="20"/>
          <w:lang w:eastAsia="cs-CZ"/>
        </w:rPr>
        <w:t>Preissler</w:t>
      </w:r>
      <w:proofErr w:type="spellEnd"/>
    </w:p>
    <w:p w14:paraId="04A9E5B3" w14:textId="1914661F"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E257BB">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sidR="00E257BB">
        <w:rPr>
          <w:rFonts w:ascii="Times New Roman" w:eastAsia="Times New Roman" w:hAnsi="Times New Roman" w:cs="Times New Roman"/>
          <w:sz w:val="20"/>
          <w:szCs w:val="20"/>
          <w:lang w:eastAsia="cs-CZ"/>
        </w:rPr>
        <w:t> Ústí nad Labem</w:t>
      </w:r>
      <w:r w:rsidRPr="00E9090D">
        <w:rPr>
          <w:rFonts w:ascii="Times New Roman" w:eastAsia="Times New Roman" w:hAnsi="Times New Roman" w:cs="Times New Roman"/>
          <w:sz w:val="20"/>
          <w:szCs w:val="20"/>
          <w:lang w:eastAsia="cs-CZ"/>
        </w:rPr>
        <w:t xml:space="preserve"> pod </w:t>
      </w:r>
      <w:proofErr w:type="spellStart"/>
      <w:r w:rsidRPr="00E9090D">
        <w:rPr>
          <w:rFonts w:ascii="Times New Roman" w:eastAsia="Times New Roman" w:hAnsi="Times New Roman" w:cs="Times New Roman"/>
          <w:sz w:val="20"/>
          <w:szCs w:val="20"/>
          <w:lang w:eastAsia="cs-CZ"/>
        </w:rPr>
        <w:t>sp.zn</w:t>
      </w:r>
      <w:proofErr w:type="spellEnd"/>
      <w:r w:rsidRPr="00E9090D">
        <w:rPr>
          <w:rFonts w:ascii="Times New Roman" w:eastAsia="Times New Roman" w:hAnsi="Times New Roman" w:cs="Times New Roman"/>
          <w:sz w:val="20"/>
          <w:szCs w:val="20"/>
          <w:lang w:eastAsia="cs-CZ"/>
        </w:rPr>
        <w:t xml:space="preserve">. </w:t>
      </w:r>
      <w:r w:rsidR="00E257BB">
        <w:rPr>
          <w:rFonts w:ascii="Times New Roman" w:eastAsia="Times New Roman" w:hAnsi="Times New Roman" w:cs="Times New Roman"/>
          <w:sz w:val="20"/>
          <w:szCs w:val="20"/>
          <w:lang w:eastAsia="cs-CZ"/>
        </w:rPr>
        <w:t>C 34428</w:t>
      </w:r>
    </w:p>
    <w:p w14:paraId="0D35EBC1" w14:textId="2D98FB5D" w:rsidR="00AB7EBB" w:rsidRPr="00E9090D" w:rsidRDefault="00AB7EBB" w:rsidP="00AB7EBB">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D514AF">
        <w:rPr>
          <w:rFonts w:ascii="Times New Roman" w:eastAsia="Times New Roman" w:hAnsi="Times New Roman" w:cs="Times New Roman"/>
          <w:sz w:val="20"/>
          <w:szCs w:val="20"/>
          <w:lang w:eastAsia="cs-CZ"/>
        </w:rPr>
        <w:t>xxx</w:t>
      </w:r>
      <w:proofErr w:type="spellEnd"/>
    </w:p>
    <w:p w14:paraId="68A20CF9" w14:textId="3B5C986C" w:rsidR="00AB7EBB" w:rsidRPr="00E9090D" w:rsidRDefault="00AB7EBB" w:rsidP="00AB7EBB">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D514AF">
        <w:rPr>
          <w:rFonts w:ascii="Times New Roman" w:eastAsia="Times New Roman" w:hAnsi="Times New Roman" w:cs="Times New Roman"/>
          <w:sz w:val="20"/>
          <w:szCs w:val="20"/>
          <w:lang w:eastAsia="cs-CZ"/>
        </w:rPr>
        <w:t>xxx</w:t>
      </w:r>
      <w:proofErr w:type="spellEnd"/>
    </w:p>
    <w:p w14:paraId="79109C2E" w14:textId="629A39B5" w:rsidR="00E9090D" w:rsidRPr="00E9090D" w:rsidRDefault="00E9090D"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0D44768B" w14:textId="25DFC033"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E257BB">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4CAE4BE" w:rsidR="00003930" w:rsidRPr="00E9090D" w:rsidRDefault="00E9090D" w:rsidP="00317BC6">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lastRenderedPageBreak/>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0F37E13E" w:rsidR="00E9090D" w:rsidRPr="00E9090D" w:rsidRDefault="00E9090D" w:rsidP="00BF77C8">
      <w:pPr>
        <w:numPr>
          <w:ilvl w:val="0"/>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673480">
        <w:rPr>
          <w:rFonts w:ascii="Times New Roman" w:eastAsia="Times New Roman" w:hAnsi="Times New Roman" w:cs="Times New Roman"/>
          <w:b/>
          <w:sz w:val="20"/>
          <w:szCs w:val="20"/>
          <w:lang w:eastAsia="cs-CZ"/>
        </w:rPr>
        <w:t>„</w:t>
      </w:r>
      <w:r w:rsidR="00BF77C8" w:rsidRPr="00BF77C8">
        <w:rPr>
          <w:rFonts w:ascii="Times New Roman" w:eastAsia="Times New Roman" w:hAnsi="Times New Roman" w:cs="Times New Roman"/>
          <w:b/>
          <w:sz w:val="20"/>
          <w:szCs w:val="20"/>
          <w:lang w:eastAsia="cs-CZ"/>
        </w:rPr>
        <w:t>Efektivita topologické optimalizace dílců s využitím 3D tiskových technologií“</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0888F1A3" w:rsidR="00E9090D" w:rsidRPr="00BF77C8" w:rsidRDefault="00E9090D" w:rsidP="00BF77C8">
      <w:pPr>
        <w:numPr>
          <w:ilvl w:val="0"/>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Název: </w:t>
      </w:r>
      <w:r w:rsidR="00BF77C8" w:rsidRPr="00BF77C8">
        <w:rPr>
          <w:rFonts w:ascii="Times New Roman" w:eastAsia="Times New Roman" w:hAnsi="Times New Roman" w:cs="Times New Roman"/>
          <w:b/>
          <w:sz w:val="20"/>
          <w:szCs w:val="20"/>
          <w:lang w:eastAsia="cs-CZ"/>
        </w:rPr>
        <w:t>Efektivita topologické optimalizace dílců s využitím 3D tiskových technologií</w:t>
      </w:r>
    </w:p>
    <w:p w14:paraId="2C6C0A0E" w14:textId="3E4E6EAD"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BF77C8">
        <w:rPr>
          <w:rFonts w:ascii="Times New Roman" w:eastAsia="Times New Roman" w:hAnsi="Times New Roman" w:cs="Times New Roman"/>
          <w:b/>
          <w:sz w:val="20"/>
          <w:szCs w:val="20"/>
          <w:lang w:eastAsia="cs-CZ"/>
        </w:rPr>
        <w:t>TN02000033/19</w:t>
      </w:r>
    </w:p>
    <w:p w14:paraId="47CA918E" w14:textId="5F1B0F88"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BF77C8" w:rsidRPr="00BF77C8">
        <w:rPr>
          <w:rFonts w:ascii="Times New Roman" w:eastAsia="Times New Roman" w:hAnsi="Times New Roman" w:cs="Times New Roman"/>
          <w:b/>
          <w:sz w:val="20"/>
          <w:szCs w:val="20"/>
          <w:lang w:eastAsia="cs-CZ"/>
        </w:rPr>
        <w:t>1/2025 – 12/2026</w:t>
      </w:r>
    </w:p>
    <w:p w14:paraId="413EBF97" w14:textId="692CE127"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E10FFE">
        <w:rPr>
          <w:rFonts w:ascii="Times New Roman" w:eastAsia="Times New Roman" w:hAnsi="Times New Roman" w:cs="Times New Roman"/>
          <w:sz w:val="20"/>
          <w:szCs w:val="20"/>
          <w:lang w:eastAsia="cs-CZ"/>
        </w:rPr>
        <w:t>Ú</w:t>
      </w:r>
      <w:r w:rsidR="00E10FFE" w:rsidRPr="00E9090D">
        <w:rPr>
          <w:rFonts w:ascii="Times New Roman" w:eastAsia="Times New Roman" w:hAnsi="Times New Roman" w:cs="Times New Roman"/>
          <w:sz w:val="20"/>
          <w:szCs w:val="20"/>
          <w:lang w:eastAsia="cs-CZ"/>
        </w:rPr>
        <w:t>častníka</w:t>
      </w:r>
      <w:r w:rsidR="00E10FFE">
        <w:rPr>
          <w:rFonts w:ascii="Times New Roman" w:eastAsia="Times New Roman" w:hAnsi="Times New Roman" w:cs="Times New Roman"/>
          <w:sz w:val="20"/>
          <w:szCs w:val="20"/>
          <w:lang w:eastAsia="cs-CZ"/>
        </w:rPr>
        <w:t xml:space="preserve"> Dílčího</w:t>
      </w:r>
      <w:r w:rsidR="00003930">
        <w:rPr>
          <w:rFonts w:ascii="Times New Roman" w:eastAsia="Times New Roman" w:hAnsi="Times New Roman" w:cs="Times New Roman"/>
          <w:sz w:val="20"/>
          <w:szCs w:val="20"/>
          <w:lang w:eastAsia="cs-CZ"/>
        </w:rPr>
        <w:t xml:space="preserve">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330E93C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5F0899B3" w14:textId="163F0BCB" w:rsidR="00BF77C8" w:rsidRPr="00BF77C8" w:rsidRDefault="00E9090D" w:rsidP="00F476FA">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E10FFE">
        <w:rPr>
          <w:rFonts w:ascii="Times New Roman" w:eastAsia="Times New Roman" w:hAnsi="Times New Roman" w:cs="Times New Roman"/>
          <w:sz w:val="20"/>
          <w:szCs w:val="20"/>
          <w:lang w:eastAsia="cs-CZ"/>
        </w:rPr>
        <w:t>Ú</w:t>
      </w:r>
      <w:r w:rsidR="00E10FFE" w:rsidRPr="00E9090D">
        <w:rPr>
          <w:rFonts w:ascii="Times New Roman" w:eastAsia="Times New Roman" w:hAnsi="Times New Roman" w:cs="Times New Roman"/>
          <w:sz w:val="20"/>
          <w:szCs w:val="20"/>
          <w:lang w:eastAsia="cs-CZ"/>
        </w:rPr>
        <w:t xml:space="preserve">častníka </w:t>
      </w:r>
      <w:r w:rsidR="00E10FFE">
        <w:rPr>
          <w:rFonts w:ascii="Times New Roman" w:eastAsia="Times New Roman" w:hAnsi="Times New Roman" w:cs="Times New Roman"/>
          <w:sz w:val="20"/>
          <w:szCs w:val="20"/>
          <w:lang w:eastAsia="cs-CZ"/>
        </w:rPr>
        <w:t>Dílčího</w:t>
      </w:r>
      <w:r w:rsidRPr="00E9090D">
        <w:rPr>
          <w:rFonts w:ascii="Times New Roman" w:eastAsia="Times New Roman" w:hAnsi="Times New Roman" w:cs="Times New Roman"/>
          <w:sz w:val="20"/>
          <w:szCs w:val="20"/>
          <w:lang w:eastAsia="cs-CZ"/>
        </w:rPr>
        <w:t xml:space="preserve">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4868331B" w14:textId="00F144B6" w:rsidR="00E9090D" w:rsidRPr="00BF77C8" w:rsidRDefault="00BF77C8" w:rsidP="00BF77C8">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E10FFE">
        <w:rPr>
          <w:rFonts w:ascii="Times New Roman" w:eastAsia="Times New Roman" w:hAnsi="Times New Roman" w:cs="Times New Roman"/>
          <w:sz w:val="20"/>
          <w:szCs w:val="20"/>
          <w:lang w:eastAsia="cs-CZ"/>
        </w:rPr>
        <w:t>Ú</w:t>
      </w:r>
      <w:r w:rsidR="00E10FFE" w:rsidRPr="00E9090D">
        <w:rPr>
          <w:rFonts w:ascii="Times New Roman" w:eastAsia="Times New Roman" w:hAnsi="Times New Roman" w:cs="Times New Roman"/>
          <w:sz w:val="20"/>
          <w:szCs w:val="20"/>
          <w:lang w:eastAsia="cs-CZ"/>
        </w:rPr>
        <w:t xml:space="preserve">častníka </w:t>
      </w:r>
      <w:r w:rsidR="00E10FFE">
        <w:rPr>
          <w:rFonts w:ascii="Times New Roman" w:eastAsia="Times New Roman" w:hAnsi="Times New Roman" w:cs="Times New Roman"/>
          <w:sz w:val="20"/>
          <w:szCs w:val="20"/>
          <w:lang w:eastAsia="cs-CZ"/>
        </w:rPr>
        <w:t>Dílčího</w:t>
      </w:r>
      <w:r w:rsidRPr="00E9090D">
        <w:rPr>
          <w:rFonts w:ascii="Times New Roman" w:eastAsia="Times New Roman" w:hAnsi="Times New Roman" w:cs="Times New Roman"/>
          <w:sz w:val="20"/>
          <w:szCs w:val="20"/>
          <w:lang w:eastAsia="cs-CZ"/>
        </w:rPr>
        <w:t xml:space="preserve">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r w:rsidR="004B5858">
        <w:rPr>
          <w:rFonts w:ascii="Times New Roman" w:eastAsia="Times New Roman" w:hAnsi="Times New Roman" w:cs="Times New Roman"/>
          <w:b/>
          <w:sz w:val="20"/>
          <w:szCs w:val="20"/>
          <w:lang w:eastAsia="cs-CZ"/>
        </w:rPr>
        <w:t xml:space="preserve"> </w:t>
      </w:r>
      <w:proofErr w:type="spellStart"/>
      <w:r w:rsidR="004B5858">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7FDFB649"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E10FFE">
        <w:rPr>
          <w:rFonts w:ascii="Times New Roman" w:eastAsia="Times New Roman" w:hAnsi="Times New Roman" w:cs="Times New Roman"/>
          <w:sz w:val="20"/>
          <w:szCs w:val="20"/>
          <w:lang w:eastAsia="cs-CZ"/>
        </w:rPr>
        <w:t>Účastník Dílčího</w:t>
      </w:r>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26B651F3" w:rsidR="00003930" w:rsidRPr="007E790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7E790D">
        <w:rPr>
          <w:rFonts w:ascii="Times New Roman" w:eastAsia="Times New Roman" w:hAnsi="Times New Roman" w:cs="Times New Roman"/>
          <w:sz w:val="20"/>
          <w:szCs w:val="20"/>
          <w:lang w:eastAsia="cs-CZ"/>
        </w:rPr>
        <w:t>Všichni další účastníci Dílčího projektu se zavazují poskytnout Hlavnímu řešiteli veškerou nezbytnou a potřebnou spolupráci a součinnost k tomu, aby Účastník Dílčího projektu</w:t>
      </w:r>
      <w:r w:rsidR="0032206D" w:rsidRPr="007E790D">
        <w:rPr>
          <w:rFonts w:ascii="Times New Roman" w:eastAsia="Times New Roman" w:hAnsi="Times New Roman" w:cs="Times New Roman"/>
          <w:sz w:val="20"/>
          <w:szCs w:val="20"/>
          <w:lang w:eastAsia="cs-CZ"/>
        </w:rPr>
        <w:t xml:space="preserve"> 1</w:t>
      </w:r>
      <w:r w:rsidRPr="007E790D">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7E790D">
        <w:rPr>
          <w:rFonts w:ascii="Times New Roman" w:eastAsia="Times New Roman" w:hAnsi="Times New Roman" w:cs="Times New Roman"/>
          <w:sz w:val="20"/>
          <w:szCs w:val="20"/>
          <w:lang w:eastAsia="cs-CZ"/>
        </w:rPr>
        <w:t>5</w:t>
      </w:r>
      <w:r w:rsidRPr="007E790D">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3B7293BF"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359AD044" w14:textId="0F349E4B" w:rsidR="00317BC6" w:rsidRDefault="00317BC6"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70A951B3" w14:textId="77777777" w:rsidR="00317BC6" w:rsidRDefault="00317BC6"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xml:space="preserve">, </w:t>
      </w:r>
      <w:r w:rsidR="0082573D" w:rsidRPr="00B71572">
        <w:rPr>
          <w:rFonts w:ascii="Times New Roman" w:eastAsia="Times New Roman" w:hAnsi="Times New Roman" w:cs="Times New Roman"/>
          <w:iCs/>
          <w:color w:val="000000"/>
          <w:sz w:val="20"/>
          <w:szCs w:val="20"/>
          <w:lang w:eastAsia="cs-CZ"/>
        </w:rPr>
        <w:lastRenderedPageBreak/>
        <w:t>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08E4CE05" w14:textId="3CB9CCE2" w:rsidR="00C364E1" w:rsidRPr="008C45A3" w:rsidRDefault="00C364E1" w:rsidP="008C45A3">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8C45A3" w:rsidRPr="008C45A3">
        <w:rPr>
          <w:rFonts w:ascii="Times New Roman" w:eastAsia="Times New Roman" w:hAnsi="Times New Roman" w:cs="Times New Roman"/>
          <w:sz w:val="20"/>
          <w:szCs w:val="20"/>
          <w:lang w:eastAsia="cs-CZ"/>
        </w:rPr>
        <w:t xml:space="preserve">TUL CXI vstupuje do projektu DP19 s následujícím know-how v oblasti materiálových vlastností a technologického vybavení pro zpracování termoplastických a kovových materiálů s využitím technologií SLS, MJF, FFF a SLM. Dále znalostním a SW vybavením pro </w:t>
      </w:r>
      <w:r w:rsidR="008C45A3" w:rsidRPr="008C45A3">
        <w:rPr>
          <w:rFonts w:ascii="Times New Roman" w:eastAsia="Times New Roman" w:hAnsi="Times New Roman" w:cs="Times New Roman"/>
          <w:sz w:val="20"/>
          <w:szCs w:val="20"/>
          <w:lang w:eastAsia="cs-CZ"/>
        </w:rPr>
        <w:lastRenderedPageBreak/>
        <w:t>oblasti CAD konstrukce včetně topologických optimalizací, které značně ovlivňují výslednou hmotnost celého dílu či sestavy.</w:t>
      </w:r>
      <w:r w:rsidR="008C45A3">
        <w:rPr>
          <w:rFonts w:ascii="Times New Roman" w:eastAsia="Times New Roman" w:hAnsi="Times New Roman" w:cs="Times New Roman"/>
          <w:sz w:val="20"/>
          <w:szCs w:val="20"/>
          <w:lang w:eastAsia="cs-CZ"/>
        </w:rPr>
        <w:t xml:space="preserve"> </w:t>
      </w:r>
      <w:r w:rsidR="008C45A3" w:rsidRPr="008C45A3">
        <w:rPr>
          <w:rFonts w:ascii="Times New Roman" w:eastAsia="Times New Roman" w:hAnsi="Times New Roman" w:cs="Times New Roman"/>
          <w:sz w:val="20"/>
          <w:szCs w:val="20"/>
          <w:lang w:eastAsia="cs-CZ"/>
        </w:rPr>
        <w:t xml:space="preserve">Důvodem zapojení do DP je </w:t>
      </w:r>
      <w:r w:rsidR="008C45A3">
        <w:rPr>
          <w:rFonts w:ascii="Times New Roman" w:eastAsia="Times New Roman" w:hAnsi="Times New Roman" w:cs="Times New Roman"/>
          <w:sz w:val="20"/>
          <w:szCs w:val="20"/>
          <w:lang w:eastAsia="cs-CZ"/>
        </w:rPr>
        <w:t xml:space="preserve">rovněž </w:t>
      </w:r>
      <w:r w:rsidR="008C45A3" w:rsidRPr="008C45A3">
        <w:rPr>
          <w:rFonts w:ascii="Times New Roman" w:eastAsia="Times New Roman" w:hAnsi="Times New Roman" w:cs="Times New Roman"/>
          <w:sz w:val="20"/>
          <w:szCs w:val="20"/>
          <w:lang w:eastAsia="cs-CZ"/>
        </w:rPr>
        <w:t>významná znalost materiálových vlastností recyklovaných termoplastických materiálů. Jejich potenciální využití při návrhu a efektivní výrobě přípravků a funkčních sestav s ohledem na enviro</w:t>
      </w:r>
      <w:r w:rsidR="008C45A3">
        <w:rPr>
          <w:rFonts w:ascii="Times New Roman" w:eastAsia="Times New Roman" w:hAnsi="Times New Roman" w:cs="Times New Roman"/>
          <w:sz w:val="20"/>
          <w:szCs w:val="20"/>
          <w:lang w:eastAsia="cs-CZ"/>
        </w:rPr>
        <w:t>n</w:t>
      </w:r>
      <w:r w:rsidR="008C45A3" w:rsidRPr="008C45A3">
        <w:rPr>
          <w:rFonts w:ascii="Times New Roman" w:eastAsia="Times New Roman" w:hAnsi="Times New Roman" w:cs="Times New Roman"/>
          <w:sz w:val="20"/>
          <w:szCs w:val="20"/>
          <w:lang w:eastAsia="cs-CZ"/>
        </w:rPr>
        <w:t>mentální dopad pomocí technologií 3D tisku.</w:t>
      </w:r>
    </w:p>
    <w:p w14:paraId="4CC0543B" w14:textId="5362EB24" w:rsidR="00C364E1" w:rsidRPr="008C45A3" w:rsidRDefault="00C364E1" w:rsidP="008C45A3">
      <w:pPr>
        <w:pStyle w:val="Odstavecseseznamem"/>
        <w:numPr>
          <w:ilvl w:val="1"/>
          <w:numId w:val="16"/>
        </w:numPr>
        <w:jc w:val="both"/>
        <w:rPr>
          <w:sz w:val="20"/>
        </w:rPr>
      </w:pPr>
      <w:r w:rsidRPr="00531831">
        <w:rPr>
          <w:sz w:val="20"/>
        </w:rPr>
        <w:t xml:space="preserve">Účastník Dílčího projektu 2: </w:t>
      </w:r>
      <w:r w:rsidR="00531831" w:rsidRPr="008C45A3">
        <w:rPr>
          <w:sz w:val="20"/>
        </w:rPr>
        <w:t xml:space="preserve">MALINA – </w:t>
      </w:r>
      <w:proofErr w:type="spellStart"/>
      <w:r w:rsidR="00531831" w:rsidRPr="008C45A3">
        <w:rPr>
          <w:sz w:val="20"/>
        </w:rPr>
        <w:t>Safety</w:t>
      </w:r>
      <w:proofErr w:type="spellEnd"/>
      <w:r w:rsidR="00531831" w:rsidRPr="008C45A3">
        <w:rPr>
          <w:sz w:val="20"/>
        </w:rPr>
        <w:t xml:space="preserve"> s.r.o. je vlastníkem relevantního průmyslového vzoru EUIPO 005658952-0001, chránícího tvar produktu UniMask. Jedná se o kompaktní ochranný štít s přívodem filtrovaného vzduchu klasifikovaný jako kukla a poskytující ochranu dýchacích cest, očí a obličeje. Tvar tohoto produktu bude v rámci Dílčího projektu využit pro návrh a topologickou optimalizaci technologických přípravků pro účely zefektivnění sériové výroby.</w:t>
      </w:r>
      <w:r w:rsidR="008C45A3" w:rsidRPr="008C45A3">
        <w:rPr>
          <w:sz w:val="20"/>
        </w:rPr>
        <w:t xml:space="preserve"> </w:t>
      </w:r>
      <w:r w:rsidR="00531831" w:rsidRPr="008C45A3">
        <w:rPr>
          <w:sz w:val="20"/>
        </w:rPr>
        <w:t xml:space="preserve">Dále MALINA – </w:t>
      </w:r>
      <w:proofErr w:type="spellStart"/>
      <w:r w:rsidR="00531831" w:rsidRPr="008C45A3">
        <w:rPr>
          <w:sz w:val="20"/>
        </w:rPr>
        <w:t>Safety</w:t>
      </w:r>
      <w:proofErr w:type="spellEnd"/>
      <w:r w:rsidR="00531831" w:rsidRPr="008C45A3">
        <w:rPr>
          <w:sz w:val="20"/>
        </w:rPr>
        <w:t xml:space="preserve"> s.r.o. do dílčího projektu vstupuje s know-how pro výrobu kanystrových filtrů, konkrétně know-how rotačního zalévání těsnící hmotou. Pro tuto technologii budou navrhovány a topologicky optimalizovány nové komponenty pomocí 3D tisku.</w:t>
      </w:r>
    </w:p>
    <w:p w14:paraId="325C78BB" w14:textId="65B8C8EC" w:rsidR="00AB7EBB" w:rsidRPr="00424185" w:rsidRDefault="007E790D" w:rsidP="00626E4F">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 xml:space="preserve">: </w:t>
      </w:r>
      <w:r w:rsidR="00AB7EBB">
        <w:rPr>
          <w:rFonts w:ascii="Times New Roman" w:eastAsia="Times New Roman" w:hAnsi="Times New Roman" w:cs="Times New Roman"/>
          <w:sz w:val="20"/>
          <w:szCs w:val="20"/>
          <w:lang w:eastAsia="cs-CZ"/>
        </w:rPr>
        <w:t xml:space="preserve">Společnost </w:t>
      </w:r>
      <w:proofErr w:type="spellStart"/>
      <w:r w:rsidR="00AB7EBB">
        <w:rPr>
          <w:rFonts w:ascii="Times New Roman" w:eastAsia="Times New Roman" w:hAnsi="Times New Roman" w:cs="Times New Roman"/>
          <w:sz w:val="20"/>
          <w:szCs w:val="20"/>
          <w:lang w:eastAsia="cs-CZ"/>
        </w:rPr>
        <w:t>Meretech</w:t>
      </w:r>
      <w:proofErr w:type="spellEnd"/>
      <w:r w:rsidR="00AB7EBB">
        <w:rPr>
          <w:rFonts w:ascii="Times New Roman" w:eastAsia="Times New Roman" w:hAnsi="Times New Roman" w:cs="Times New Roman"/>
          <w:sz w:val="20"/>
          <w:szCs w:val="20"/>
          <w:lang w:eastAsia="cs-CZ"/>
        </w:rPr>
        <w:t xml:space="preserve"> dokáže</w:t>
      </w:r>
      <w:r w:rsidR="00AB7EBB" w:rsidRPr="00424185">
        <w:rPr>
          <w:rFonts w:ascii="Times New Roman" w:eastAsia="Times New Roman" w:hAnsi="Times New Roman" w:cs="Times New Roman"/>
          <w:sz w:val="20"/>
          <w:szCs w:val="20"/>
          <w:lang w:eastAsia="cs-CZ"/>
        </w:rPr>
        <w:t xml:space="preserve"> využít a přenést možnosti 3D tisku (různé technologie z plastů i kovů) do praktického využití v průmyslu. Na otočný kryt horkovzdušné pistole</w:t>
      </w:r>
      <w:r w:rsidR="00626E4F">
        <w:rPr>
          <w:rFonts w:ascii="Times New Roman" w:eastAsia="Times New Roman" w:hAnsi="Times New Roman" w:cs="Times New Roman"/>
          <w:sz w:val="20"/>
          <w:szCs w:val="20"/>
          <w:lang w:eastAsia="cs-CZ"/>
        </w:rPr>
        <w:t xml:space="preserve"> má </w:t>
      </w:r>
      <w:proofErr w:type="spellStart"/>
      <w:r w:rsidR="00626E4F">
        <w:rPr>
          <w:rFonts w:ascii="Times New Roman" w:eastAsia="Times New Roman" w:hAnsi="Times New Roman" w:cs="Times New Roman"/>
          <w:sz w:val="20"/>
          <w:szCs w:val="20"/>
          <w:lang w:eastAsia="cs-CZ"/>
        </w:rPr>
        <w:t>Meretech</w:t>
      </w:r>
      <w:proofErr w:type="spellEnd"/>
      <w:r w:rsidR="00626E4F">
        <w:rPr>
          <w:rFonts w:ascii="Times New Roman" w:eastAsia="Times New Roman" w:hAnsi="Times New Roman" w:cs="Times New Roman"/>
          <w:sz w:val="20"/>
          <w:szCs w:val="20"/>
          <w:lang w:eastAsia="cs-CZ"/>
        </w:rPr>
        <w:t xml:space="preserve"> rovněž </w:t>
      </w:r>
      <w:r w:rsidR="00AB7EBB" w:rsidRPr="00424185">
        <w:rPr>
          <w:rFonts w:ascii="Times New Roman" w:eastAsia="Times New Roman" w:hAnsi="Times New Roman" w:cs="Times New Roman"/>
          <w:sz w:val="20"/>
          <w:szCs w:val="20"/>
          <w:lang w:eastAsia="cs-CZ"/>
        </w:rPr>
        <w:t>zapsán celoevropský patent</w:t>
      </w:r>
      <w:r w:rsidR="00626E4F">
        <w:rPr>
          <w:rFonts w:ascii="Times New Roman" w:eastAsia="Times New Roman" w:hAnsi="Times New Roman" w:cs="Times New Roman"/>
          <w:sz w:val="20"/>
          <w:szCs w:val="20"/>
          <w:lang w:eastAsia="cs-CZ"/>
        </w:rPr>
        <w:t xml:space="preserve"> s názvem „</w:t>
      </w:r>
      <w:r w:rsidR="00626E4F" w:rsidRPr="00626E4F">
        <w:rPr>
          <w:rFonts w:ascii="Times New Roman" w:eastAsia="Times New Roman" w:hAnsi="Times New Roman" w:cs="Times New Roman"/>
          <w:sz w:val="20"/>
          <w:szCs w:val="20"/>
          <w:lang w:eastAsia="cs-CZ"/>
        </w:rPr>
        <w:t xml:space="preserve">Hand hot air </w:t>
      </w:r>
      <w:proofErr w:type="spellStart"/>
      <w:r w:rsidR="00626E4F" w:rsidRPr="00626E4F">
        <w:rPr>
          <w:rFonts w:ascii="Times New Roman" w:eastAsia="Times New Roman" w:hAnsi="Times New Roman" w:cs="Times New Roman"/>
          <w:sz w:val="20"/>
          <w:szCs w:val="20"/>
          <w:lang w:eastAsia="cs-CZ"/>
        </w:rPr>
        <w:t>welding</w:t>
      </w:r>
      <w:proofErr w:type="spellEnd"/>
      <w:r w:rsidR="00626E4F" w:rsidRPr="00626E4F">
        <w:rPr>
          <w:rFonts w:ascii="Times New Roman" w:eastAsia="Times New Roman" w:hAnsi="Times New Roman" w:cs="Times New Roman"/>
          <w:sz w:val="20"/>
          <w:szCs w:val="20"/>
          <w:lang w:eastAsia="cs-CZ"/>
        </w:rPr>
        <w:t xml:space="preserve"> </w:t>
      </w:r>
      <w:proofErr w:type="spellStart"/>
      <w:r w:rsidR="00626E4F" w:rsidRPr="00626E4F">
        <w:rPr>
          <w:rFonts w:ascii="Times New Roman" w:eastAsia="Times New Roman" w:hAnsi="Times New Roman" w:cs="Times New Roman"/>
          <w:sz w:val="20"/>
          <w:szCs w:val="20"/>
          <w:lang w:eastAsia="cs-CZ"/>
        </w:rPr>
        <w:t>device</w:t>
      </w:r>
      <w:proofErr w:type="spellEnd"/>
      <w:r w:rsidR="00626E4F">
        <w:rPr>
          <w:rFonts w:ascii="Times New Roman" w:eastAsia="Times New Roman" w:hAnsi="Times New Roman" w:cs="Times New Roman"/>
          <w:sz w:val="20"/>
          <w:szCs w:val="20"/>
          <w:lang w:eastAsia="cs-CZ"/>
        </w:rPr>
        <w:t>“ (</w:t>
      </w:r>
      <w:proofErr w:type="spellStart"/>
      <w:r w:rsidR="00626E4F">
        <w:rPr>
          <w:rFonts w:ascii="Times New Roman" w:eastAsia="Times New Roman" w:hAnsi="Times New Roman" w:cs="Times New Roman"/>
          <w:sz w:val="20"/>
          <w:szCs w:val="20"/>
          <w:lang w:eastAsia="cs-CZ"/>
        </w:rPr>
        <w:t>reg</w:t>
      </w:r>
      <w:proofErr w:type="spellEnd"/>
      <w:r w:rsidR="00626E4F">
        <w:rPr>
          <w:rFonts w:ascii="Times New Roman" w:eastAsia="Times New Roman" w:hAnsi="Times New Roman" w:cs="Times New Roman"/>
          <w:sz w:val="20"/>
          <w:szCs w:val="20"/>
          <w:lang w:eastAsia="cs-CZ"/>
        </w:rPr>
        <w:t xml:space="preserve">. č. </w:t>
      </w:r>
      <w:r w:rsidR="00626E4F" w:rsidRPr="00626E4F">
        <w:rPr>
          <w:rFonts w:ascii="Times New Roman" w:eastAsia="Times New Roman" w:hAnsi="Times New Roman" w:cs="Times New Roman"/>
          <w:sz w:val="20"/>
          <w:szCs w:val="20"/>
          <w:lang w:eastAsia="cs-CZ"/>
        </w:rPr>
        <w:t>PS4481EP-DE</w:t>
      </w:r>
      <w:r w:rsidR="00626E4F">
        <w:rPr>
          <w:rFonts w:ascii="Times New Roman" w:eastAsia="Times New Roman" w:hAnsi="Times New Roman" w:cs="Times New Roman"/>
          <w:sz w:val="20"/>
          <w:szCs w:val="20"/>
          <w:lang w:eastAsia="cs-CZ"/>
        </w:rPr>
        <w:t>, PS4481EP-IT)</w:t>
      </w:r>
      <w:r w:rsidR="00AB7EBB" w:rsidRPr="00424185">
        <w:rPr>
          <w:rFonts w:ascii="Times New Roman" w:eastAsia="Times New Roman" w:hAnsi="Times New Roman" w:cs="Times New Roman"/>
          <w:sz w:val="20"/>
          <w:szCs w:val="20"/>
          <w:lang w:eastAsia="cs-CZ"/>
        </w:rPr>
        <w:t>.</w:t>
      </w:r>
    </w:p>
    <w:p w14:paraId="681B6D6B" w14:textId="6B0B7A37" w:rsidR="007E790D" w:rsidRPr="007E790D" w:rsidRDefault="007E790D" w:rsidP="00AB7EBB">
      <w:pPr>
        <w:suppressAutoHyphens/>
        <w:autoSpaceDE w:val="0"/>
        <w:autoSpaceDN w:val="0"/>
        <w:spacing w:after="0" w:line="240" w:lineRule="auto"/>
        <w:ind w:left="1080"/>
        <w:contextualSpacing/>
        <w:jc w:val="both"/>
        <w:rPr>
          <w:rFonts w:ascii="Times New Roman" w:eastAsia="Times New Roman" w:hAnsi="Times New Roman" w:cs="Times New Roman"/>
          <w:sz w:val="20"/>
          <w:szCs w:val="20"/>
          <w:lang w:eastAsia="cs-CZ"/>
        </w:rPr>
      </w:pP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 xml:space="preserve">Smluvní strany výslovně prohlašují, že duševní vlastnictví a znalosti vnesené Účastníkem Dílčího </w:t>
      </w:r>
      <w:bookmarkStart w:id="1" w:name="_Hlk171670481"/>
      <w:r w:rsidRPr="00595E55">
        <w:rPr>
          <w:sz w:val="20"/>
        </w:rPr>
        <w:t>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bookmarkEnd w:id="1"/>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w:t>
      </w:r>
      <w:r w:rsidRPr="00816CE1">
        <w:rPr>
          <w:rFonts w:ascii="Tms Rmn" w:eastAsia="Calibri" w:hAnsi="Tms Rmn" w:cs="Tms Rmn"/>
          <w:noProof/>
          <w:sz w:val="20"/>
          <w:szCs w:val="20"/>
        </w:rPr>
        <w:lastRenderedPageBreak/>
        <w:t xml:space="preserve">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 xml:space="preserve">duševnímu vlastnictví nebo svůj spoluvlastnický podíl k duševnímu spoluvlastnictví na třetí osobu, je povinna přednostně nabídnout své vlastnické </w:t>
      </w:r>
      <w:r w:rsidRPr="00E9090D">
        <w:rPr>
          <w:rFonts w:ascii="Tms Rmn" w:eastAsia="Calibri" w:hAnsi="Tms Rmn" w:cs="Tms Rmn"/>
          <w:noProof/>
          <w:sz w:val="20"/>
          <w:szCs w:val="20"/>
        </w:rPr>
        <w:lastRenderedPageBreak/>
        <w:t>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anonymizace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55C85FA4"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lastRenderedPageBreak/>
        <w:t>Tato smlouva je vyhotovena v</w:t>
      </w:r>
      <w:r w:rsidR="00702F74">
        <w:rPr>
          <w:rFonts w:ascii="Times New Roman" w:eastAsia="Times New Roman" w:hAnsi="Times New Roman" w:cs="Times New Roman"/>
          <w:color w:val="000000"/>
          <w:sz w:val="20"/>
          <w:szCs w:val="20"/>
          <w:lang w:eastAsia="cs-CZ"/>
        </w:rPr>
        <w:t>e</w:t>
      </w:r>
      <w:r w:rsidRPr="00E9090D">
        <w:rPr>
          <w:rFonts w:ascii="Times New Roman" w:eastAsia="Times New Roman" w:hAnsi="Times New Roman" w:cs="Times New Roman"/>
          <w:color w:val="000000"/>
          <w:sz w:val="20"/>
          <w:szCs w:val="20"/>
          <w:lang w:eastAsia="cs-CZ"/>
        </w:rPr>
        <w:t xml:space="preserve">  </w:t>
      </w:r>
      <w:r w:rsidR="00D205B8">
        <w:rPr>
          <w:rFonts w:ascii="Times New Roman" w:eastAsia="Times New Roman" w:hAnsi="Times New Roman" w:cs="Times New Roman"/>
          <w:sz w:val="20"/>
          <w:szCs w:val="20"/>
          <w:lang w:eastAsia="cs-CZ"/>
        </w:rPr>
        <w:t>čtyřech</w:t>
      </w:r>
      <w:r w:rsidR="00702F74">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D205B8" w:rsidRPr="00E9090D" w14:paraId="5F1C50BE" w14:textId="77777777" w:rsidTr="00084FE0">
        <w:trPr>
          <w:trHeight w:val="1640"/>
        </w:trPr>
        <w:tc>
          <w:tcPr>
            <w:tcW w:w="4846" w:type="dxa"/>
            <w:tcBorders>
              <w:top w:val="single" w:sz="18" w:space="0" w:color="000000"/>
              <w:left w:val="single" w:sz="18" w:space="0" w:color="000000"/>
              <w:bottom w:val="single" w:sz="18" w:space="0" w:color="000000"/>
            </w:tcBorders>
          </w:tcPr>
          <w:p w14:paraId="7FC94F0B"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Pr>
                <w:rFonts w:ascii="Times New Roman" w:eastAsia="Times New Roman" w:hAnsi="Times New Roman" w:cs="Times New Roman"/>
                <w:sz w:val="20"/>
                <w:szCs w:val="20"/>
                <w:lang w:eastAsia="cs-CZ"/>
              </w:rPr>
              <w:t xml:space="preserve"> a Účastníka Dílčího projektu 1</w:t>
            </w:r>
          </w:p>
          <w:p w14:paraId="68EA475D"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7EC0AA0D"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4048AACF"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3ECDAB3B"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732EBCB7" w14:textId="1FD8E512"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r w:rsidR="008239AE">
              <w:rPr>
                <w:rFonts w:ascii="Times New Roman" w:eastAsia="Times New Roman" w:hAnsi="Times New Roman" w:cs="Times New Roman"/>
                <w:bCs/>
                <w:sz w:val="20"/>
                <w:szCs w:val="20"/>
                <w:lang w:eastAsia="cs-CZ"/>
              </w:rPr>
              <w:t xml:space="preserve"> </w:t>
            </w:r>
            <w:proofErr w:type="spellStart"/>
            <w:r w:rsidR="008239AE" w:rsidRPr="008239AE">
              <w:rPr>
                <w:rFonts w:ascii="Times New Roman" w:eastAsia="Times New Roman" w:hAnsi="Times New Roman" w:cs="Times New Roman"/>
                <w:bCs/>
                <w:sz w:val="20"/>
                <w:szCs w:val="20"/>
                <w:lang w:eastAsia="cs-CZ"/>
              </w:rPr>
              <w:t>dr.h.c</w:t>
            </w:r>
            <w:proofErr w:type="spellEnd"/>
            <w:r w:rsidR="008239AE" w:rsidRPr="008239AE">
              <w:rPr>
                <w:rFonts w:ascii="Times New Roman" w:eastAsia="Times New Roman" w:hAnsi="Times New Roman" w:cs="Times New Roman"/>
                <w:bCs/>
                <w:sz w:val="20"/>
                <w:szCs w:val="20"/>
                <w:lang w:eastAsia="cs-CZ"/>
              </w:rPr>
              <w:t>.</w:t>
            </w:r>
          </w:p>
          <w:p w14:paraId="630AA0DB" w14:textId="6F1562A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4B5858">
              <w:rPr>
                <w:rFonts w:ascii="Times New Roman" w:eastAsia="Times New Roman" w:hAnsi="Times New Roman" w:cs="Times New Roman"/>
                <w:sz w:val="20"/>
                <w:szCs w:val="20"/>
                <w:lang w:eastAsia="cs-CZ"/>
              </w:rPr>
              <w:t xml:space="preserve"> 21. 8. 2024</w:t>
            </w:r>
            <w:r w:rsidRPr="00E9090D">
              <w:rPr>
                <w:rFonts w:ascii="Times New Roman" w:eastAsia="Times New Roman" w:hAnsi="Times New Roman" w:cs="Times New Roman"/>
                <w:sz w:val="20"/>
                <w:szCs w:val="20"/>
                <w:lang w:eastAsia="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29C9CC73"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2</w:t>
            </w:r>
          </w:p>
          <w:p w14:paraId="3DB517EB"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6763586D"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6944476E"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7B752E22"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5977D320"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D6726FA" w14:textId="77777777" w:rsidR="00D205B8" w:rsidRDefault="00D205B8" w:rsidP="00D205B8">
            <w:pPr>
              <w:autoSpaceDE w:val="0"/>
              <w:autoSpaceDN w:val="0"/>
              <w:spacing w:after="0" w:line="240" w:lineRule="auto"/>
              <w:jc w:val="center"/>
              <w:rPr>
                <w:rFonts w:ascii="Times New Roman" w:eastAsia="Times New Roman" w:hAnsi="Times New Roman" w:cs="Times New Roman"/>
                <w:sz w:val="20"/>
                <w:szCs w:val="20"/>
                <w:lang w:eastAsia="cs-CZ"/>
              </w:rPr>
            </w:pPr>
            <w:r w:rsidRPr="00E9478E">
              <w:rPr>
                <w:rFonts w:ascii="Times New Roman" w:eastAsia="Times New Roman" w:hAnsi="Times New Roman" w:cs="Times New Roman"/>
                <w:sz w:val="20"/>
                <w:szCs w:val="20"/>
                <w:lang w:eastAsia="cs-CZ"/>
              </w:rPr>
              <w:t xml:space="preserve">Ing. </w:t>
            </w:r>
            <w:r>
              <w:rPr>
                <w:rFonts w:ascii="Times New Roman" w:eastAsia="Times New Roman" w:hAnsi="Times New Roman" w:cs="Times New Roman"/>
                <w:sz w:val="20"/>
                <w:szCs w:val="20"/>
                <w:lang w:eastAsia="cs-CZ"/>
              </w:rPr>
              <w:t>Radek Malina</w:t>
            </w:r>
            <w:r w:rsidRPr="00E9090D">
              <w:rPr>
                <w:rFonts w:ascii="Times New Roman" w:eastAsia="Times New Roman" w:hAnsi="Times New Roman" w:cs="Times New Roman"/>
                <w:sz w:val="20"/>
                <w:szCs w:val="20"/>
                <w:lang w:eastAsia="cs-CZ"/>
              </w:rPr>
              <w:t xml:space="preserve"> </w:t>
            </w:r>
          </w:p>
          <w:p w14:paraId="311DCBB3" w14:textId="5493B274" w:rsidR="00D205B8" w:rsidRPr="00E9090D" w:rsidRDefault="00D205B8" w:rsidP="00D205B8">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Jablonci nad Nisou</w:t>
            </w:r>
            <w:r w:rsidRPr="00E9090D">
              <w:rPr>
                <w:rFonts w:ascii="Times New Roman" w:eastAsia="Times New Roman" w:hAnsi="Times New Roman" w:cs="Times New Roman"/>
                <w:sz w:val="20"/>
                <w:szCs w:val="20"/>
                <w:lang w:eastAsia="cs-CZ"/>
              </w:rPr>
              <w:t xml:space="preserve"> dne</w:t>
            </w:r>
            <w:r w:rsidR="004B5858">
              <w:rPr>
                <w:rFonts w:ascii="Times New Roman" w:eastAsia="Times New Roman" w:hAnsi="Times New Roman" w:cs="Times New Roman"/>
                <w:sz w:val="20"/>
                <w:szCs w:val="20"/>
                <w:lang w:eastAsia="cs-CZ"/>
              </w:rPr>
              <w:t xml:space="preserve"> 20. 8. 2024</w:t>
            </w:r>
            <w:r w:rsidRPr="00E9090D">
              <w:rPr>
                <w:rFonts w:ascii="Times New Roman" w:eastAsia="Times New Roman" w:hAnsi="Times New Roman" w:cs="Times New Roman"/>
                <w:sz w:val="20"/>
                <w:szCs w:val="20"/>
                <w:lang w:eastAsia="cs-CZ"/>
              </w:rPr>
              <w:t xml:space="preserve">      </w:t>
            </w:r>
          </w:p>
        </w:tc>
      </w:tr>
      <w:tr w:rsidR="00D205B8" w:rsidRPr="00E9090D" w14:paraId="414B6BB8" w14:textId="77777777" w:rsidTr="00084FE0">
        <w:trPr>
          <w:gridAfter w:val="1"/>
          <w:wAfter w:w="5301" w:type="dxa"/>
          <w:trHeight w:val="1640"/>
        </w:trPr>
        <w:tc>
          <w:tcPr>
            <w:tcW w:w="4846" w:type="dxa"/>
            <w:tcBorders>
              <w:top w:val="single" w:sz="18" w:space="0" w:color="000000"/>
              <w:left w:val="single" w:sz="18" w:space="0" w:color="000000"/>
              <w:bottom w:val="single" w:sz="18" w:space="0" w:color="000000"/>
            </w:tcBorders>
          </w:tcPr>
          <w:p w14:paraId="5C526423"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5FD867C2"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0C115D8A"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113E255E" w14:textId="77777777" w:rsidR="00D205B8"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182C3D66"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p>
          <w:p w14:paraId="743C3902" w14:textId="77777777" w:rsidR="00D205B8" w:rsidRPr="00E9090D" w:rsidRDefault="00D205B8" w:rsidP="00084FE0">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45640274" w14:textId="6BF2D050" w:rsidR="00D205B8" w:rsidRPr="00E9090D" w:rsidRDefault="00D205B8" w:rsidP="00084FE0">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Martin </w:t>
            </w:r>
            <w:proofErr w:type="spellStart"/>
            <w:r>
              <w:rPr>
                <w:rFonts w:ascii="Times New Roman" w:eastAsia="Times New Roman" w:hAnsi="Times New Roman" w:cs="Times New Roman"/>
                <w:sz w:val="20"/>
                <w:szCs w:val="20"/>
                <w:lang w:eastAsia="cs-CZ"/>
              </w:rPr>
              <w:t>Preissler</w:t>
            </w:r>
            <w:proofErr w:type="spellEnd"/>
          </w:p>
          <w:p w14:paraId="28BEF861" w14:textId="6D74205F" w:rsidR="00D205B8" w:rsidRPr="00E9090D" w:rsidRDefault="00D205B8" w:rsidP="00D205B8">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Jablonci nad Nisou </w:t>
            </w:r>
            <w:r w:rsidRPr="00E9090D">
              <w:rPr>
                <w:rFonts w:ascii="Times New Roman" w:eastAsia="Times New Roman" w:hAnsi="Times New Roman" w:cs="Times New Roman"/>
                <w:sz w:val="20"/>
                <w:szCs w:val="20"/>
                <w:lang w:eastAsia="cs-CZ"/>
              </w:rPr>
              <w:t>dne</w:t>
            </w:r>
            <w:r w:rsidR="004B5858">
              <w:rPr>
                <w:rFonts w:ascii="Times New Roman" w:eastAsia="Times New Roman" w:hAnsi="Times New Roman" w:cs="Times New Roman"/>
                <w:sz w:val="20"/>
                <w:szCs w:val="20"/>
                <w:lang w:eastAsia="cs-CZ"/>
              </w:rPr>
              <w:t xml:space="preserve"> 21. 8. 2024</w:t>
            </w:r>
            <w:r w:rsidRPr="00E9090D">
              <w:rPr>
                <w:rFonts w:ascii="Times New Roman" w:eastAsia="Times New Roman" w:hAnsi="Times New Roman" w:cs="Times New Roman"/>
                <w:sz w:val="20"/>
                <w:szCs w:val="20"/>
                <w:lang w:eastAsia="cs-CZ"/>
              </w:rPr>
              <w:t xml:space="preserve">      </w:t>
            </w:r>
          </w:p>
        </w:tc>
      </w:tr>
    </w:tbl>
    <w:p w14:paraId="05703A74" w14:textId="77777777" w:rsidR="00D205B8" w:rsidRPr="00E9090D" w:rsidRDefault="00D205B8" w:rsidP="00D205B8">
      <w:pPr>
        <w:autoSpaceDE w:val="0"/>
        <w:autoSpaceDN w:val="0"/>
        <w:spacing w:after="0" w:line="240" w:lineRule="auto"/>
        <w:jc w:val="both"/>
        <w:rPr>
          <w:rFonts w:ascii="Times New Roman" w:eastAsia="Times New Roman" w:hAnsi="Times New Roman" w:cs="Times New Roman"/>
          <w:sz w:val="20"/>
          <w:szCs w:val="20"/>
          <w:lang w:eastAsia="cs-CZ"/>
        </w:rPr>
      </w:pPr>
    </w:p>
    <w:p w14:paraId="3D7F27FE" w14:textId="77777777" w:rsidR="00D205B8" w:rsidRPr="00E9090D" w:rsidRDefault="00D205B8" w:rsidP="00D205B8">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2477EE">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A040" w14:textId="77777777" w:rsidR="007B1D34" w:rsidRDefault="007B1D34" w:rsidP="00DA7F51">
      <w:pPr>
        <w:spacing w:after="0" w:line="240" w:lineRule="auto"/>
      </w:pPr>
      <w:r>
        <w:separator/>
      </w:r>
    </w:p>
  </w:endnote>
  <w:endnote w:type="continuationSeparator" w:id="0">
    <w:p w14:paraId="4733841C" w14:textId="77777777" w:rsidR="007B1D34" w:rsidRDefault="007B1D34"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6F9ADE33" w:rsidR="00DA7F51" w:rsidRDefault="00DA7F51">
        <w:pPr>
          <w:pStyle w:val="Zpat"/>
          <w:jc w:val="center"/>
        </w:pPr>
        <w:r>
          <w:fldChar w:fldCharType="begin"/>
        </w:r>
        <w:r>
          <w:instrText>PAGE   \* MERGEFORMAT</w:instrText>
        </w:r>
        <w:r>
          <w:fldChar w:fldCharType="separate"/>
        </w:r>
        <w:r w:rsidR="004B5858" w:rsidRPr="004B5858">
          <w:rPr>
            <w:noProof/>
            <w:lang w:val="cs-CZ"/>
          </w:rPr>
          <w:t>11</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DDCB0" w14:textId="77777777" w:rsidR="007B1D34" w:rsidRDefault="007B1D34" w:rsidP="00DA7F51">
      <w:pPr>
        <w:spacing w:after="0" w:line="240" w:lineRule="auto"/>
      </w:pPr>
      <w:r>
        <w:separator/>
      </w:r>
    </w:p>
  </w:footnote>
  <w:footnote w:type="continuationSeparator" w:id="0">
    <w:p w14:paraId="22A50988" w14:textId="77777777" w:rsidR="007B1D34" w:rsidRDefault="007B1D34"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5" name="Obrázek 5"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84F6D"/>
    <w:rsid w:val="00110082"/>
    <w:rsid w:val="00120459"/>
    <w:rsid w:val="00123B85"/>
    <w:rsid w:val="00173016"/>
    <w:rsid w:val="00175E1C"/>
    <w:rsid w:val="001819EB"/>
    <w:rsid w:val="001868BE"/>
    <w:rsid w:val="001874EE"/>
    <w:rsid w:val="00224031"/>
    <w:rsid w:val="002477EE"/>
    <w:rsid w:val="00266769"/>
    <w:rsid w:val="002964EA"/>
    <w:rsid w:val="002A5CA9"/>
    <w:rsid w:val="002D3EB0"/>
    <w:rsid w:val="002D46E1"/>
    <w:rsid w:val="00317BC6"/>
    <w:rsid w:val="0032206D"/>
    <w:rsid w:val="00353415"/>
    <w:rsid w:val="00375BFD"/>
    <w:rsid w:val="003C4DEA"/>
    <w:rsid w:val="003D3A17"/>
    <w:rsid w:val="003E2521"/>
    <w:rsid w:val="00423872"/>
    <w:rsid w:val="004444F9"/>
    <w:rsid w:val="0047227D"/>
    <w:rsid w:val="004A0402"/>
    <w:rsid w:val="004A7DAB"/>
    <w:rsid w:val="004B5858"/>
    <w:rsid w:val="004C03C5"/>
    <w:rsid w:val="00531831"/>
    <w:rsid w:val="00551D15"/>
    <w:rsid w:val="00577F7F"/>
    <w:rsid w:val="00583417"/>
    <w:rsid w:val="00595E55"/>
    <w:rsid w:val="005A74C7"/>
    <w:rsid w:val="005C2614"/>
    <w:rsid w:val="00626E4F"/>
    <w:rsid w:val="00645E34"/>
    <w:rsid w:val="0065665F"/>
    <w:rsid w:val="00673480"/>
    <w:rsid w:val="006B3592"/>
    <w:rsid w:val="00702F74"/>
    <w:rsid w:val="00777600"/>
    <w:rsid w:val="007A5FA5"/>
    <w:rsid w:val="007B1D34"/>
    <w:rsid w:val="007E790D"/>
    <w:rsid w:val="00816CE1"/>
    <w:rsid w:val="008239AE"/>
    <w:rsid w:val="0082573D"/>
    <w:rsid w:val="008568FF"/>
    <w:rsid w:val="0086277E"/>
    <w:rsid w:val="008C2AF8"/>
    <w:rsid w:val="008C3C05"/>
    <w:rsid w:val="008C45A3"/>
    <w:rsid w:val="008E7B78"/>
    <w:rsid w:val="008F6128"/>
    <w:rsid w:val="00996B3B"/>
    <w:rsid w:val="00A15753"/>
    <w:rsid w:val="00A526C8"/>
    <w:rsid w:val="00A60E92"/>
    <w:rsid w:val="00A646BB"/>
    <w:rsid w:val="00A82316"/>
    <w:rsid w:val="00A9029C"/>
    <w:rsid w:val="00AB7EBB"/>
    <w:rsid w:val="00AD2733"/>
    <w:rsid w:val="00AD292A"/>
    <w:rsid w:val="00AE1E7A"/>
    <w:rsid w:val="00AE5A4A"/>
    <w:rsid w:val="00B019FA"/>
    <w:rsid w:val="00B62E1F"/>
    <w:rsid w:val="00B64B10"/>
    <w:rsid w:val="00B71572"/>
    <w:rsid w:val="00B8204D"/>
    <w:rsid w:val="00B8248E"/>
    <w:rsid w:val="00BA2743"/>
    <w:rsid w:val="00BC2079"/>
    <w:rsid w:val="00BF1B9A"/>
    <w:rsid w:val="00BF77C8"/>
    <w:rsid w:val="00C06C15"/>
    <w:rsid w:val="00C364E1"/>
    <w:rsid w:val="00C64C52"/>
    <w:rsid w:val="00C66392"/>
    <w:rsid w:val="00C84643"/>
    <w:rsid w:val="00CD0224"/>
    <w:rsid w:val="00CF5931"/>
    <w:rsid w:val="00D205B8"/>
    <w:rsid w:val="00D270B0"/>
    <w:rsid w:val="00D30DC7"/>
    <w:rsid w:val="00D514AF"/>
    <w:rsid w:val="00DA7F51"/>
    <w:rsid w:val="00DB2491"/>
    <w:rsid w:val="00DF29F6"/>
    <w:rsid w:val="00DF4FE8"/>
    <w:rsid w:val="00E10FFE"/>
    <w:rsid w:val="00E17B97"/>
    <w:rsid w:val="00E257BB"/>
    <w:rsid w:val="00E51D49"/>
    <w:rsid w:val="00E71482"/>
    <w:rsid w:val="00E77393"/>
    <w:rsid w:val="00E9090D"/>
    <w:rsid w:val="00E9478E"/>
    <w:rsid w:val="00EE2DAC"/>
    <w:rsid w:val="00F120BD"/>
    <w:rsid w:val="00F1378F"/>
    <w:rsid w:val="00F165E5"/>
    <w:rsid w:val="00F476FA"/>
    <w:rsid w:val="00F850ED"/>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77016">
      <w:bodyDiv w:val="1"/>
      <w:marLeft w:val="0"/>
      <w:marRight w:val="0"/>
      <w:marTop w:val="0"/>
      <w:marBottom w:val="0"/>
      <w:divBdr>
        <w:top w:val="none" w:sz="0" w:space="0" w:color="auto"/>
        <w:left w:val="none" w:sz="0" w:space="0" w:color="auto"/>
        <w:bottom w:val="none" w:sz="0" w:space="0" w:color="auto"/>
        <w:right w:val="none" w:sz="0" w:space="0" w:color="auto"/>
      </w:divBdr>
    </w:div>
    <w:div w:id="17845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4D7C-3F8A-44E4-BA35-39163ED27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D3008-1391-4F9E-A59B-3879E91B886B}">
  <ds:schemaRefs>
    <ds:schemaRef ds:uri="http://schemas.microsoft.com/sharepoint/v3/contenttype/forms"/>
  </ds:schemaRefs>
</ds:datastoreItem>
</file>

<file path=customXml/itemProps3.xml><?xml version="1.0" encoding="utf-8"?>
<ds:datastoreItem xmlns:ds="http://schemas.openxmlformats.org/officeDocument/2006/customXml" ds:itemID="{1BB66251-A9BD-4BC0-AAF8-EE8D6E5CB071}">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6e0fb9b0-b993-473a-b020-0e26f7bcde7a"/>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5F43C80D-E64A-451D-914D-BFF235C0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5032</Words>
  <Characters>29695</Characters>
  <Application>Microsoft Office Word</Application>
  <DocSecurity>4</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2024-07-22T08:50:00Z</cp:lastPrinted>
  <dcterms:created xsi:type="dcterms:W3CDTF">2024-08-22T08:25:00Z</dcterms:created>
  <dcterms:modified xsi:type="dcterms:W3CDTF">2024-08-22T08:25:00Z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