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355" w:h="322" w:wrap="none" w:hAnchor="page" w:x="455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3"/>
          <w:b/>
          <w:bCs/>
        </w:rPr>
        <w:t>RÁMCOVÁ KUPNÍ SMLOUVA</w:t>
      </w:r>
      <w:bookmarkEnd w:id="0"/>
    </w:p>
    <w:p>
      <w:pPr>
        <w:pStyle w:val="Style4"/>
        <w:keepNext w:val="0"/>
        <w:keepLines w:val="0"/>
        <w:framePr w:w="1037" w:h="269" w:wrap="none" w:hAnchor="page" w:x="9021" w:y="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2024006690</w:t>
      </w: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135" w:right="1359" w:bottom="633" w:left="138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bookmarkStart w:id="2" w:name="bookmark2"/>
      <w:r>
        <w:rPr>
          <w:rStyle w:val="CharStyle16"/>
        </w:rPr>
        <w:t>uzavřená v souladu s ustanovením § 2079 a násl. zákona č. 89/2012 Sb., občanský zákoník, mezi níže uvedenými smluvními stranami</w:t>
      </w:r>
      <w:bookmarkEnd w:id="2"/>
    </w:p>
    <w:tbl>
      <w:tblPr>
        <w:tblOverlap w:val="never"/>
        <w:jc w:val="center"/>
        <w:tblLayout w:type="fixed"/>
      </w:tblPr>
      <w:tblGrid>
        <w:gridCol w:w="3067"/>
        <w:gridCol w:w="6053"/>
      </w:tblGrid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0" w:right="0" w:firstLine="0"/>
              <w:jc w:val="left"/>
            </w:pPr>
            <w:r>
              <w:rPr>
                <w:rStyle w:val="CharStyle21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1"/>
              </w:rPr>
              <w:t>Kamenice 798/1 d, 625 00 Brno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1"/>
              </w:rPr>
              <w:t>MUDr. Hana Albrechtová, ředitelka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21"/>
                <w:spacing w:val="3"/>
                <w:shd w:val="clear" w:color="auto" w:fill="000000"/>
              </w:rPr>
              <w:t>.....</w:t>
            </w:r>
            <w:r>
              <w:rPr>
                <w:rStyle w:val="CharStyle21"/>
                <w:spacing w:val="4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1"/>
                <w:shd w:val="clear" w:color="auto" w:fill="000000"/>
              </w:rPr>
              <w:t>...........</w:t>
            </w:r>
            <w:r>
              <w:rPr>
                <w:rStyle w:val="CharStyle21"/>
                <w:spacing w:val="2"/>
                <w:shd w:val="clear" w:color="auto" w:fill="000000"/>
              </w:rPr>
              <w:t>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1"/>
                <w:spacing w:val="1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1"/>
                <w:spacing w:val="2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CharStyle2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8"/>
                <w:shd w:val="clear" w:color="auto" w:fill="000000"/>
              </w:rPr>
              <w:t>..</w:t>
            </w:r>
            <w:r>
              <w:rPr>
                <w:rStyle w:val="CharStyle21"/>
                <w:spacing w:val="9"/>
                <w:shd w:val="clear" w:color="auto" w:fill="000000"/>
              </w:rPr>
              <w:t>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8"/>
                <w:shd w:val="clear" w:color="auto" w:fill="000000"/>
              </w:rPr>
              <w:t>.</w:t>
            </w:r>
            <w:r>
              <w:rPr>
                <w:rStyle w:val="CharStyle21"/>
                <w:spacing w:val="9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6"/>
                <w:shd w:val="clear" w:color="auto" w:fill="000000"/>
              </w:rPr>
              <w:t>....</w:t>
            </w:r>
            <w:r>
              <w:rPr>
                <w:rStyle w:val="CharStyle21"/>
                <w:spacing w:val="7"/>
                <w:shd w:val="clear" w:color="auto" w:fill="000000"/>
              </w:rPr>
              <w:t>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18"/>
                <w:shd w:val="clear" w:color="auto" w:fill="000000"/>
              </w:rPr>
              <w:t>...</w:t>
            </w:r>
            <w:r>
              <w:rPr>
                <w:rStyle w:val="CharStyle21"/>
                <w:spacing w:val="55"/>
                <w:shd w:val="clear" w:color="auto" w:fill="000000"/>
              </w:rPr>
              <w:t>.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IČ: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1"/>
              </w:rPr>
              <w:t>00346292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1"/>
              </w:rPr>
              <w:t>CZ00346292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1"/>
              </w:rPr>
              <w:t>Krajský soud v Brně sp. zn. Pr 1245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21"/>
              </w:rPr>
              <w:t>MONETA Money Bank, a.s., č. ú. 117203514/0600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(dále jen „kupující“)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</w:rPr>
        <w:t>a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101"/>
        <w:gridCol w:w="4555"/>
      </w:tblGrid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1"/>
                <w:b/>
                <w:bCs/>
              </w:rPr>
              <w:t>INTERCARE s.r.o.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1"/>
              </w:rPr>
              <w:t>Na Cibulce 846, 266 01, Beroun - Závodí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1"/>
              </w:rPr>
              <w:t>MUDr. Miloš Kalina, jednatel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1"/>
                <w:spacing w:val="9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2"/>
                <w:shd w:val="clear" w:color="auto" w:fill="000000"/>
              </w:rPr>
              <w:t>.</w:t>
            </w:r>
            <w:r>
              <w:rPr>
                <w:rStyle w:val="CharStyle21"/>
                <w:spacing w:val="3"/>
                <w:shd w:val="clear" w:color="auto" w:fill="000000"/>
              </w:rPr>
              <w:t>........</w:t>
            </w:r>
            <w:r>
              <w:rPr>
                <w:rStyle w:val="CharStyle21"/>
                <w:shd w:val="clear" w:color="auto" w:fill="000000"/>
              </w:rPr>
              <w:t>​..</w:t>
            </w:r>
            <w:r>
              <w:rPr>
                <w:rStyle w:val="CharStyle21"/>
                <w:spacing w:val="1"/>
                <w:shd w:val="clear" w:color="auto" w:fill="000000"/>
              </w:rPr>
              <w:t>..........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1"/>
                <w:spacing w:val="1"/>
                <w:shd w:val="clear" w:color="auto" w:fill="000000"/>
                <w:lang w:val="en-US" w:eastAsia="en-US" w:bidi="en-US"/>
              </w:rPr>
              <w:t>.......................................</w:t>
            </w:r>
            <w:r>
              <w:rPr>
                <w:rStyle w:val="CharStyle21"/>
                <w:spacing w:val="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6"/>
                <w:shd w:val="clear" w:color="auto" w:fill="000000"/>
              </w:rPr>
              <w:t>...</w:t>
            </w:r>
            <w:r>
              <w:rPr>
                <w:rStyle w:val="CharStyle21"/>
                <w:spacing w:val="7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8"/>
                <w:shd w:val="clear" w:color="auto" w:fill="000000"/>
              </w:rPr>
              <w:t>.</w:t>
            </w:r>
            <w:r>
              <w:rPr>
                <w:rStyle w:val="CharStyle21"/>
                <w:spacing w:val="9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8"/>
                <w:shd w:val="clear" w:color="auto" w:fill="000000"/>
              </w:rPr>
              <w:t>.</w:t>
            </w:r>
            <w:r>
              <w:rPr>
                <w:rStyle w:val="CharStyle21"/>
                <w:spacing w:val="9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10"/>
                <w:shd w:val="clear" w:color="auto" w:fill="000000"/>
              </w:rPr>
              <w:t>..</w:t>
            </w:r>
            <w:r>
              <w:rPr>
                <w:rStyle w:val="CharStyle21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1"/>
              </w:rPr>
              <w:t>26698293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1"/>
              </w:rPr>
              <w:t>CZ26698293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1"/>
              </w:rPr>
              <w:t>C 88126 vedená u Městského soudu v Praze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1"/>
              </w:rPr>
              <w:t>390419359/0800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8"/>
        </w:rPr>
        <w:t>(dále jen „prodávající“)</w:t>
      </w:r>
    </w:p>
    <w:p>
      <w:pPr>
        <w:widowControl w:val="0"/>
        <w:spacing w:after="119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 xml:space="preserve">Prodávající je oprávněn na základě svého vlastnického práva nakládat se zbožím ve formě </w:t>
      </w:r>
      <w:r>
        <w:rPr>
          <w:rStyle w:val="CharStyle10"/>
          <w:b/>
          <w:bCs/>
        </w:rPr>
        <w:t xml:space="preserve">obvazů na popáleniny, </w:t>
      </w:r>
      <w:r>
        <w:rPr>
          <w:rStyle w:val="CharStyle10"/>
        </w:rPr>
        <w:t>jejichž specifikace, včetně jejích jednotkových cen, je uvedena v příloze č. 1, která je nedílnou součástí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Součástí dodávky zboží podle čl. 2 této smlouvy je vždy rovněž dodání dokladů, které se k dodávanému zboží vztahují a návody k použití v českém jazyce.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10"/>
        </w:rPr>
        <w:t xml:space="preserve">Prodávající se zavazuje plnit svůj závazek k dodání zboží podle čl. 1 této smlouvy vždy nejpozdéji do </w:t>
      </w:r>
      <w:r>
        <w:rPr>
          <w:rStyle w:val="CharStyle10"/>
          <w:b/>
          <w:bCs/>
        </w:rPr>
        <w:t xml:space="preserve">5-ti pracovních dní </w:t>
      </w:r>
      <w:r>
        <w:rPr>
          <w:rStyle w:val="CharStyle10"/>
        </w:rPr>
        <w:t>ode dne účinnosti příslušné dílčí kupní smlouvy. Tento závazek se bude považovat za splněný po předání a převzetí příslušného zboží formou písemného předávacího protokolu, podepsaného oběma stranami. Místem dodání je centrální sklad v sídle kupujícího, Kamenice 798/1 d, Brno, 625 00.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Kupující se zavazuje převzít objednané zboží podle čl. 1 této smlouvy, prosté všech zjevných vad, ve lhůté a místě podle této smlouvy. Kupující je oprávněn odmítnout převzetí zboží, bude-li se na něm vyskytovat jakákoliv vada.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Nebezpečí škody na převáděném zboží podle čí. 1 této smlouvy a vlastnické právo k tomuto zboží přechází z prodávajícího na kupujícího dnem faktického převzetí tohoto zboží.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76" w:lineRule="auto"/>
        <w:ind w:left="420" w:right="0" w:hanging="420"/>
        <w:jc w:val="both"/>
      </w:pPr>
      <w:r>
        <w:rPr>
          <w:rStyle w:val="CharStyle10"/>
        </w:rPr>
        <w:t>Kupující se zavazuje zaplatit prodávajícímu za předmět koupě a prodeje podle čl. 1 této smlouvy kupní cenu ve výši součinu počtu odebraných jednotek příslušného zboží a jednotkových cen tohoto zboží. Jednotkové ceny zboží jsou uvedeny v ceníku, který je jako příloha č. 1 nedílnou součástí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zákonné změny sazby DPH.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Faktura/daňový doklad bude doručena elektronicky na email: 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.................................</w:t>
      </w:r>
      <w:r>
        <w:rPr>
          <w:rStyle w:val="CharStyle10"/>
          <w:shd w:val="clear" w:color="auto" w:fill="000000"/>
          <w:lang w:val="en-US" w:eastAsia="en-US" w:bidi="en-US"/>
        </w:rPr>
        <w:t>.</w:t>
      </w:r>
      <w:r>
        <w:rPr>
          <w:rStyle w:val="CharStyle10"/>
          <w:shd w:val="clear" w:color="auto" w:fill="000000"/>
        </w:rPr>
        <w:t>​</w:t>
      </w:r>
      <w:r>
        <w:rPr>
          <w:rStyle w:val="CharStyle10"/>
          <w:spacing w:val="55"/>
          <w:shd w:val="clear" w:color="auto" w:fill="000000"/>
        </w:rPr>
        <w:t>.</w:t>
      </w:r>
      <w:r>
        <w:rPr>
          <w:rStyle w:val="CharStyle10"/>
        </w:rPr>
        <w:t xml:space="preserve"> 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10"/>
          <w:u w:val="single"/>
          <w:lang w:val="en-US" w:eastAsia="en-US" w:bidi="en-US"/>
        </w:rPr>
        <w:t>.</w:t>
      </w:r>
      <w:r>
        <w:rPr>
          <w:rStyle w:val="CharStyle10"/>
          <w:lang w:val="en-US" w:eastAsia="en-US" w:bidi="en-US"/>
        </w:rPr>
        <w:t xml:space="preserve"> </w:t>
      </w:r>
      <w:r>
        <w:rPr>
          <w:rStyle w:val="CharStyle10"/>
        </w:rPr>
        <w:t xml:space="preserve">Na faktuře/daňovém dokladu musí být mimo jiné vždy uvedeno toto číslo veřejné zakázky, ke které se faktura vztahuje: </w:t>
      </w:r>
      <w:r>
        <w:rPr>
          <w:rStyle w:val="CharStyle10"/>
          <w:b/>
          <w:bCs/>
        </w:rPr>
        <w:t xml:space="preserve">P24V00002603. </w:t>
      </w:r>
      <w:r>
        <w:rPr>
          <w:rStyle w:val="CharStyle10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S převodem zboží je podle čl. 1 této smlouvy spojena záruka za jeho jakost v trvání doby použitelnosti vyznačené na zboží, nejméně však v trvání minimálně 36-ti měsíců ode dne dodání příslušného zboží. V rámci záruky se prodávající zavazuje, že zboží podle čl. 1 této smlouvy bude nové, v neporušeném balení s řádným označením, s minimální skladovací životností po celou dobu uvedené záruční lhůty a bude mít po tuto dobu vlastnosti, které jsou stanoveny právními předpisy nebo technickými normami nebo jsou u zboží tohoto druhu obvyklé, a že bude po dobu záruční lhůty bezplatně odstraňovat vady, které se na zboží podle čl. 1 této smlouvy vyskytnou. Vzhledem k povaze příslušného zboží lze provést odstranění reklamované vady jen výměnou vadného zboží za nové bezvadné, a to nejpozději do 48 hodin od doručení příslušné reklamace kupujícího.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Pro případ prodlení se splněním závazku prodávajícího k dodání zboží ve lhůtě podle čl. 4 této smlouvy se prodávající zavazuje platit kupujícímu smluvní pokutu ve výši 0,1 % z kupní ceny podle čl. 7 této smlouvy za každý započatý den tohoto prodlení. Pro případ prodlení s odstraněním vady ve lhůtě podle čl. 9 této smlouvy se prodávající zavazuje platit kupujícímu smluvní pokutu ve výši 0,1% z kupní ceny zboží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0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line="240" w:lineRule="auto"/>
        <w:ind w:left="640" w:right="0" w:hanging="420"/>
        <w:jc w:val="both"/>
      </w:pPr>
      <w:r>
        <w:rPr>
          <w:rStyle w:val="CharStyle10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line="240" w:lineRule="auto"/>
        <w:ind w:left="640" w:right="0" w:hanging="420"/>
        <w:jc w:val="both"/>
      </w:pPr>
      <w:r>
        <w:rPr>
          <w:rStyle w:val="CharStyle10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line="240" w:lineRule="auto"/>
        <w:ind w:left="640" w:right="0" w:hanging="420"/>
        <w:jc w:val="both"/>
      </w:pPr>
      <w:r>
        <w:rPr>
          <w:rStyle w:val="CharStyle10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line="240" w:lineRule="auto"/>
        <w:ind w:left="640" w:right="0" w:hanging="420"/>
        <w:jc w:val="both"/>
      </w:pPr>
      <w:r>
        <w:rPr>
          <w:rStyle w:val="CharStyle10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line="240" w:lineRule="auto"/>
        <w:ind w:left="640" w:right="0" w:hanging="420"/>
        <w:jc w:val="both"/>
      </w:pPr>
      <w:r>
        <w:rPr>
          <w:rStyle w:val="CharStyle10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line="240" w:lineRule="auto"/>
        <w:ind w:left="640" w:right="0" w:hanging="420"/>
        <w:jc w:val="both"/>
      </w:pPr>
      <w:r>
        <w:rPr>
          <w:rStyle w:val="CharStyle10"/>
        </w:rPr>
        <w:t>Tato smlouva nabývá účinnosti po jejím podpisu oběma smluvními stranami dnem jejího uveřejnění v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line="240" w:lineRule="auto"/>
        <w:ind w:left="0" w:right="0" w:firstLine="220"/>
        <w:jc w:val="left"/>
      </w:pPr>
      <w:r>
        <w:rPr>
          <w:rStyle w:val="CharStyle10"/>
        </w:rPr>
        <w:t xml:space="preserve">Tato smlouva se uzavírá na dobu určitou, a to do </w:t>
      </w:r>
      <w:r>
        <w:rPr>
          <w:rStyle w:val="CharStyle10"/>
          <w:b/>
          <w:bCs/>
        </w:rPr>
        <w:t>31. 12. 2026.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2" w:val="left"/>
        </w:tabs>
        <w:bidi w:val="0"/>
        <w:spacing w:before="0" w:after="740" w:line="240" w:lineRule="auto"/>
        <w:ind w:left="640" w:right="0" w:hanging="420"/>
        <w:jc w:val="both"/>
      </w:pPr>
      <w:r>
        <mc:AlternateContent>
          <mc:Choice Requires="wps">
            <w:drawing>
              <wp:anchor distT="0" distB="1767840" distL="114300" distR="1357630" simplePos="0" relativeHeight="125829378" behindDoc="0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749300</wp:posOffset>
                </wp:positionV>
                <wp:extent cx="692150" cy="18288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21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5.849999999999994pt;margin-top:59.pt;width:54.5pt;height:14.4pt;z-index:-125829375;mso-wrap-distance-left:9.pt;mso-wrap-distance-right:106.90000000000001pt;mso-wrap-distance-bottom:139.20000000000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892810" distB="323215" distL="126365" distR="114300" simplePos="0" relativeHeight="125829380" behindDoc="0" locked="0" layoutInCell="1" allowOverlap="1">
            <wp:simplePos x="0" y="0"/>
            <wp:positionH relativeFrom="page">
              <wp:posOffset>848360</wp:posOffset>
            </wp:positionH>
            <wp:positionV relativeFrom="paragraph">
              <wp:posOffset>1642110</wp:posOffset>
            </wp:positionV>
            <wp:extent cx="1926590" cy="737870"/>
            <wp:wrapSquare wrapText="righ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26590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2392045</wp:posOffset>
                </wp:positionV>
                <wp:extent cx="530225" cy="30797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307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5.849999999999994pt;margin-top:188.34999999999999pt;width:41.75pt;height:24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ředitelka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0"/>
        </w:rPr>
        <w:t>Dáno ve dvou originálních písemných vyhotoveních, z nichž každá ze smluvních stran obdrží po jednom.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2040" w:right="0" w:firstLine="0"/>
        <w:jc w:val="left"/>
      </w:pPr>
      <w:r>
        <w:rPr>
          <w:rStyle w:val="CharStyle10"/>
        </w:rPr>
        <w:t>V Berouně dne 5. 8. 2024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  <w:rPr>
          <w:sz w:val="30"/>
          <w:szCs w:val="30"/>
        </w:rPr>
      </w:pPr>
      <w:r>
        <w:rPr>
          <w:rStyle w:val="CharStyle43"/>
          <w:b/>
          <w:bCs/>
          <w:spacing w:val="1"/>
          <w:shd w:val="clear" w:color="auto" w:fill="000000"/>
        </w:rPr>
        <w:t>........</w:t>
      </w:r>
      <w:r>
        <w:rPr>
          <w:rStyle w:val="CharStyle43"/>
          <w:b/>
          <w:bCs/>
          <w:spacing w:val="2"/>
          <w:shd w:val="clear" w:color="auto" w:fill="000000"/>
        </w:rPr>
        <w:t>..........</w:t>
      </w:r>
      <w:bookmarkStart w:id="4" w:name="bookmark4"/>
      <w:r>
        <w:rPr>
          <w:rStyle w:val="CharStyle43"/>
          <w:rFonts w:ascii="Arial" w:eastAsia="Arial" w:hAnsi="Arial" w:cs="Arial"/>
          <w:smallCaps/>
          <w:sz w:val="30"/>
          <w:szCs w:val="30"/>
          <w:shd w:val="clear" w:color="auto" w:fill="000000"/>
        </w:rPr>
        <w:t>​</w:t>
      </w:r>
      <w:r>
        <w:rPr>
          <w:rStyle w:val="CharStyle43"/>
          <w:rFonts w:ascii="Arial" w:eastAsia="Arial" w:hAnsi="Arial" w:cs="Arial"/>
          <w:smallCaps/>
          <w:spacing w:val="5"/>
          <w:sz w:val="30"/>
          <w:szCs w:val="30"/>
          <w:shd w:val="clear" w:color="auto" w:fill="000000"/>
        </w:rPr>
        <w:t>....</w:t>
      </w:r>
      <w:r>
        <w:rPr>
          <w:rStyle w:val="CharStyle43"/>
          <w:rFonts w:ascii="Arial" w:eastAsia="Arial" w:hAnsi="Arial" w:cs="Arial"/>
          <w:smallCaps/>
          <w:spacing w:val="6"/>
          <w:sz w:val="30"/>
          <w:szCs w:val="30"/>
          <w:shd w:val="clear" w:color="auto" w:fill="000000"/>
        </w:rPr>
        <w:t>...</w:t>
      </w:r>
      <w:r>
        <w:rPr>
          <w:rStyle w:val="CharStyle43"/>
          <w:rFonts w:ascii="Arial" w:eastAsia="Arial" w:hAnsi="Arial" w:cs="Arial"/>
          <w:smallCaps/>
          <w:sz w:val="30"/>
          <w:szCs w:val="30"/>
          <w:shd w:val="clear" w:color="auto" w:fill="000000"/>
        </w:rPr>
        <w:t>.</w:t>
      </w:r>
      <w:bookmarkEnd w:id="4"/>
    </w:p>
    <w:p>
      <w:pPr>
        <w:pStyle w:val="Style49"/>
        <w:keepNext w:val="0"/>
        <w:keepLines w:val="0"/>
        <w:widowControl w:val="0"/>
        <w:shd w:val="clear" w:color="auto" w:fill="auto"/>
        <w:tabs>
          <w:tab w:pos="1474" w:val="left"/>
        </w:tabs>
        <w:bidi w:val="0"/>
        <w:spacing w:before="0" w:after="0"/>
        <w:ind w:left="0" w:right="1460" w:firstLine="0"/>
        <w:jc w:val="right"/>
      </w:pPr>
      <w:r>
        <w:rPr>
          <w:rStyle w:val="CharStyle50"/>
          <w:b/>
          <w:bCs/>
          <w:spacing w:val="5"/>
          <w:shd w:val="clear" w:color="auto" w:fill="000000"/>
        </w:rPr>
        <w:t>.......</w:t>
      </w:r>
      <w:r>
        <w:rPr>
          <w:rStyle w:val="CharStyle50"/>
          <w:b/>
          <w:bCs/>
          <w:shd w:val="clear" w:color="auto" w:fill="000000"/>
        </w:rPr>
        <w:t>​..........​</w:t>
      </w:r>
      <w:r>
        <w:rPr>
          <w:rStyle w:val="CharStyle50"/>
          <w:b/>
          <w:bCs/>
          <w:spacing w:val="8"/>
          <w:shd w:val="clear" w:color="auto" w:fill="000000"/>
        </w:rPr>
        <w:t>.....</w:t>
      </w:r>
      <w:r>
        <w:rPr>
          <w:rStyle w:val="CharStyle50"/>
          <w:b/>
          <w:bCs/>
          <w:spacing w:val="2"/>
          <w:shd w:val="clear" w:color="auto" w:fill="000000"/>
        </w:rPr>
        <w:t>.......</w:t>
      </w:r>
      <w:r>
        <w:rPr>
          <w:rStyle w:val="CharStyle50"/>
          <w:b/>
          <w:bCs/>
          <w:spacing w:val="3"/>
          <w:shd w:val="clear" w:color="auto" w:fill="000000"/>
        </w:rPr>
        <w:t>...</w:t>
      </w:r>
      <w:r>
        <w:rPr>
          <w:rStyle w:val="CharStyle50"/>
          <w:b/>
          <w:bCs/>
          <w:spacing w:val="9"/>
          <w:shd w:val="clear" w:color="auto" w:fill="000000"/>
        </w:rPr>
        <w:t>.</w:t>
      </w:r>
      <w:r>
        <w:rPr>
          <w:rStyle w:val="CharStyle50"/>
          <w:b/>
          <w:bCs/>
          <w:spacing w:val="10"/>
          <w:shd w:val="clear" w:color="auto" w:fill="000000"/>
        </w:rPr>
        <w:t>..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50"/>
          <w:b/>
          <w:bCs/>
          <w:spacing w:val="6"/>
          <w:shd w:val="clear" w:color="auto" w:fill="000000"/>
        </w:rPr>
        <w:t>..</w:t>
      </w:r>
      <w:r>
        <w:rPr>
          <w:rStyle w:val="CharStyle50"/>
          <w:b/>
          <w:bCs/>
          <w:spacing w:val="7"/>
          <w:shd w:val="clear" w:color="auto" w:fill="000000"/>
        </w:rPr>
        <w:t>....</w:t>
      </w:r>
      <w:r>
        <w:rPr>
          <w:rStyle w:val="CharStyle50"/>
          <w:b/>
          <w:bCs/>
          <w:shd w:val="clear" w:color="auto" w:fill="000000"/>
        </w:rPr>
        <w:t>​</w:t>
      </w:r>
      <w:r>
        <w:rPr>
          <w:rStyle w:val="CharStyle50"/>
          <w:b/>
          <w:bCs/>
          <w:spacing w:val="10"/>
          <w:shd w:val="clear" w:color="auto" w:fill="000000"/>
        </w:rPr>
        <w:t>...</w:t>
      </w:r>
      <w:r>
        <w:rPr>
          <w:rStyle w:val="CharStyle50"/>
          <w:b/>
          <w:bCs/>
          <w:spacing w:val="11"/>
          <w:shd w:val="clear" w:color="auto" w:fill="000000"/>
        </w:rPr>
        <w:t>.</w:t>
      </w:r>
      <w:r>
        <w:rPr>
          <w:rStyle w:val="CharStyle50"/>
          <w:b/>
          <w:bCs/>
          <w:shd w:val="clear" w:color="auto" w:fill="000000"/>
        </w:rPr>
        <w:t>​</w:t>
      </w:r>
      <w:r>
        <w:rPr>
          <w:rStyle w:val="CharStyle50"/>
          <w:b/>
          <w:bCs/>
          <w:spacing w:val="1"/>
          <w:shd w:val="clear" w:color="auto" w:fill="000000"/>
        </w:rPr>
        <w:t>............</w:t>
      </w:r>
      <w:r>
        <w:rPr>
          <w:rStyle w:val="CharStyle50"/>
          <w:b/>
          <w:bCs/>
          <w:spacing w:val="2"/>
          <w:shd w:val="clear" w:color="auto" w:fill="000000"/>
        </w:rPr>
        <w:t>.</w:t>
      </w:r>
      <w:r>
        <w:rPr>
          <w:rStyle w:val="CharStyle50"/>
          <w:b/>
          <w:bCs/>
          <w:shd w:val="clear" w:color="auto" w:fill="000000"/>
        </w:rPr>
        <w:t>​</w:t>
      </w:r>
      <w:r>
        <w:rPr>
          <w:rStyle w:val="CharStyle50"/>
          <w:b/>
          <w:bCs/>
          <w:spacing w:val="7"/>
          <w:shd w:val="clear" w:color="auto" w:fill="000000"/>
        </w:rPr>
        <w:t>..</w:t>
      </w:r>
      <w:r>
        <w:rPr>
          <w:rStyle w:val="CharStyle50"/>
          <w:b/>
          <w:bCs/>
          <w:shd w:val="clear" w:color="auto" w:fill="000000"/>
        </w:rPr>
        <w:t>​</w:t>
      </w:r>
      <w:r>
        <w:rPr>
          <w:rStyle w:val="CharStyle50"/>
          <w:b/>
          <w:bCs/>
          <w:spacing w:val="3"/>
          <w:shd w:val="clear" w:color="auto" w:fill="000000"/>
        </w:rPr>
        <w:t>........</w:t>
      </w:r>
      <w:r>
        <w:rPr>
          <w:rStyle w:val="CharStyle50"/>
          <w:b/>
          <w:bCs/>
          <w:spacing w:val="4"/>
          <w:shd w:val="clear" w:color="auto" w:fill="000000"/>
        </w:rPr>
        <w:t>...</w:t>
      </w:r>
      <w:r>
        <w:rPr>
          <w:rStyle w:val="CharStyle50"/>
          <w:b/>
          <w:bCs/>
        </w:rPr>
        <w:br/>
      </w:r>
      <w:r>
        <w:rPr>
          <w:rStyle w:val="CharStyle50"/>
          <w:b/>
          <w:bCs/>
          <w:shd w:val="clear" w:color="auto" w:fill="000000"/>
        </w:rPr>
        <w:t>​</w:t>
      </w:r>
      <w:r>
        <w:rPr>
          <w:rStyle w:val="CharStyle50"/>
          <w:b/>
          <w:bCs/>
          <w:spacing w:val="1"/>
          <w:shd w:val="clear" w:color="auto" w:fill="000000"/>
        </w:rPr>
        <w:t>...</w:t>
      </w:r>
      <w:r>
        <w:rPr>
          <w:rStyle w:val="CharStyle50"/>
          <w:b/>
          <w:bCs/>
          <w:spacing w:val="2"/>
          <w:shd w:val="clear" w:color="auto" w:fill="000000"/>
        </w:rPr>
        <w:t>..</w:t>
      </w:r>
      <w:r>
        <w:rPr>
          <w:rStyle w:val="CharStyle50"/>
          <w:b/>
          <w:bCs/>
          <w:shd w:val="clear" w:color="auto" w:fill="000000"/>
        </w:rPr>
        <w:t>​........................</w:t>
      </w:r>
      <w:r>
        <w:rPr>
          <w:rStyle w:val="CharStyle50"/>
          <w:b/>
          <w:bCs/>
          <w:spacing w:val="1"/>
          <w:shd w:val="clear" w:color="auto" w:fill="000000"/>
        </w:rPr>
        <w:t>..............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40" w:right="0" w:firstLine="80"/>
        <w:jc w:val="left"/>
      </w:pPr>
      <w:r>
        <w:rPr>
          <w:rStyle w:val="CharStyle10"/>
        </w:rPr>
        <w:t>MUDr. Miloš Kalina jednatel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2040" w:right="0" w:firstLine="0"/>
        <w:jc w:val="left"/>
      </w:pPr>
      <w:r>
        <w:rPr>
          <w:rStyle w:val="CharStyle10"/>
          <w:b/>
          <w:bCs/>
        </w:rPr>
        <w:t>Prodávající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0" w:right="1309" w:bottom="1122" w:left="1086" w:header="0" w:footer="3" w:gutter="0"/>
          <w:cols w:space="720"/>
          <w:noEndnote/>
          <w:rtlGutter w:val="0"/>
          <w:docGrid w:linePitch="360"/>
        </w:sectPr>
      </w:pPr>
      <w:r>
        <w:rPr>
          <w:rStyle w:val="CharStyle10"/>
        </w:rPr>
        <w:t>Příloha č. 1 Specifikace, ceník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457200</wp:posOffset>
                </wp:positionV>
                <wp:extent cx="737870" cy="15875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  <w:b/>
                                <w:bCs/>
                              </w:rPr>
                              <w:t>Položka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7.450000000000003pt;margin-top:36.pt;width:58.100000000000001pt;height:12.5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Položka č.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2057400</wp:posOffset>
                </wp:positionV>
                <wp:extent cx="749935" cy="15875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  <w:b/>
                                <w:bCs/>
                              </w:rPr>
                              <w:t>Položka č.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7.450000000000003pt;margin-top:162.pt;width:59.050000000000004pt;height:12.5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  <w:b/>
                          <w:bCs/>
                        </w:rPr>
                        <w:t>Položka č. 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0"/>
          <w:b/>
          <w:bCs/>
        </w:rPr>
        <w:t>Příloha č. 1 Specifikace, ceník</w:t>
      </w:r>
    </w:p>
    <w:tbl>
      <w:tblPr>
        <w:tblOverlap w:val="never"/>
        <w:jc w:val="left"/>
        <w:tblLayout w:type="fixed"/>
      </w:tblPr>
      <w:tblGrid>
        <w:gridCol w:w="4632"/>
        <w:gridCol w:w="4358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rStyle w:val="CharStyle21"/>
              </w:rPr>
              <w:t>901111</w:t>
            </w:r>
          </w:p>
        </w:tc>
      </w:tr>
      <w:tr>
        <w:trPr>
          <w:trHeight w:val="68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Výrobce: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rStyle w:val="CharStyle21"/>
              </w:rPr>
              <w:t>BURNSHIELD (PTY) LTD, PO Box 14737, Wadeville 1422, South Africa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Jednotková cena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rStyle w:val="CharStyle21"/>
              </w:rPr>
              <w:t>100,00 Kč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Jednotková cena včetně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26" w:vSpace="451" w:wrap="notBeside" w:vAnchor="text" w:hAnchor="text" w:x="258" w:y="452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both"/>
            </w:pPr>
            <w:r>
              <w:rPr>
                <w:rStyle w:val="CharStyle21"/>
              </w:rPr>
              <w:t>112,00 Kč</w:t>
            </w:r>
          </w:p>
        </w:tc>
      </w:tr>
    </w:tbl>
    <w:p>
      <w:pPr>
        <w:pStyle w:val="Style17"/>
        <w:keepNext w:val="0"/>
        <w:keepLines w:val="0"/>
        <w:framePr w:w="3110" w:h="259" w:hSpace="257" w:wrap="notBeside" w:vAnchor="text" w:hAnchor="text" w:x="147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  <w:b/>
          <w:bCs/>
        </w:rPr>
        <w:t>Obvaz na popáleniny 10 x 10 cm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4632"/>
        <w:gridCol w:w="4358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Model - typové/výrobní označeni: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both"/>
            </w:pPr>
            <w:r>
              <w:rPr>
                <w:rStyle w:val="CharStyle21"/>
              </w:rPr>
              <w:t>901001</w:t>
            </w:r>
          </w:p>
        </w:tc>
      </w:tr>
      <w:tr>
        <w:trPr>
          <w:trHeight w:val="68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Výrobce: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left"/>
            </w:pPr>
            <w:r>
              <w:rPr>
                <w:rStyle w:val="CharStyle21"/>
              </w:rPr>
              <w:t>BURNSHIELD (PTY) LTD, PO Box 14737, Wadeville 1422, South Africa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Jednotková cena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both"/>
            </w:pPr>
            <w:r>
              <w:rPr>
                <w:rStyle w:val="CharStyle21"/>
              </w:rPr>
              <w:t>310,00 Kč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b/>
                <w:bCs/>
              </w:rPr>
              <w:t>Jednotková cena včetně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framePr w:w="8990" w:h="1541" w:vSpace="446" w:wrap="notBeside" w:vAnchor="text" w:hAnchor="text" w:x="258" w:y="447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both"/>
            </w:pPr>
            <w:r>
              <w:rPr>
                <w:rStyle w:val="CharStyle21"/>
              </w:rPr>
              <w:t>347,20 Kč</w:t>
            </w:r>
          </w:p>
        </w:tc>
      </w:tr>
    </w:tbl>
    <w:p>
      <w:pPr>
        <w:pStyle w:val="Style17"/>
        <w:keepNext w:val="0"/>
        <w:keepLines w:val="0"/>
        <w:framePr w:w="3110" w:h="254" w:hSpace="257" w:wrap="notBeside" w:vAnchor="text" w:hAnchor="text" w:x="147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8"/>
          <w:b/>
          <w:bCs/>
        </w:rPr>
        <w:t>Obvaz na popáleniny 20 x 45 cm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18"/>
        <w:gridCol w:w="1157"/>
        <w:gridCol w:w="4862"/>
        <w:gridCol w:w="2966"/>
      </w:tblGrid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Požadavky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  <w:b/>
                <w:bCs/>
              </w:rPr>
              <w:t>Účastníkem nabízená hodnota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Rozměr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10x10 cm</w:t>
            </w:r>
          </w:p>
          <w:p>
            <w:pPr>
              <w:pStyle w:val="Style20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20 x 45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10 x1 0 cm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20 x 45 cm</w:t>
            </w:r>
          </w:p>
        </w:tc>
      </w:tr>
      <w:tr>
        <w:trPr>
          <w:trHeight w:val="149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Vlastnosti roušky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both"/>
            </w:pPr>
            <w:r>
              <w:rPr>
                <w:rStyle w:val="CharStyle21"/>
              </w:rPr>
              <w:t>Jednorázové sterilní chladící krytí určené pro základní okamžitou léčbu a ošetření termických popálenin a opařenin prvního, druhého a třetího stupně, během prvních kritických 24 hodin po popálení.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ano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Vhodný pro pediatrické pacienty.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ano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Připraveno k okamžitému použití.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ano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Nelepí se na ránu.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ano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Po 1 ks.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ano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Exspirace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36 měsíců.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ano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1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Evidence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VZP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both"/>
            </w:pPr>
            <w:r>
              <w:rPr>
                <w:rStyle w:val="CharStyle21"/>
              </w:rPr>
              <w:t>Zařazeno v seznamu ZUM, hrazené zdravotní pojišťovnou.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ano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0097578 (10 x 10 cm)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1"/>
              </w:rPr>
              <w:t>0097580 (20 x 45 cm)</w:t>
            </w:r>
          </w:p>
        </w:tc>
      </w:tr>
    </w:tbl>
    <w:p>
      <w:pPr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160" w:right="1309" w:bottom="1122" w:left="1086" w:header="732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39" w:right="0" w:bottom="74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3"/>
        <w:keepNext/>
        <w:keepLines/>
        <w:framePr w:w="662" w:h="696" w:wrap="none" w:vAnchor="text" w:hAnchor="page" w:x="10707" w:y="21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bookmarkStart w:id="6" w:name="bookmark6"/>
      <w:r>
        <w:rPr>
          <w:rStyle w:val="CharStyle64"/>
        </w:rPr>
        <w:t>ML</w:t>
      </w:r>
      <w:bookmarkEnd w:id="6"/>
    </w:p>
    <w:p>
      <w:pPr>
        <w:widowControl w:val="0"/>
        <w:spacing w:after="40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39" w:right="588" w:bottom="743" w:left="103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10227310</wp:posOffset>
              </wp:positionV>
              <wp:extent cx="315785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5785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28_2024: Obvazy na popáleniny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799999999999997pt;margin-top:805.30000000000007pt;width:248.65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28_2024: Obvazy na popáleniny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10060940</wp:posOffset>
              </wp:positionV>
              <wp:extent cx="313944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3944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28_2024: Obvazy na popáleniny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6.799999999999997pt;margin-top:792.20000000000005pt;width:247.20000000000002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28_2024: Obvazy na popáleniny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10227310</wp:posOffset>
              </wp:positionV>
              <wp:extent cx="3157855" cy="1130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5785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28_2024: Obvazy na popáleniny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1.799999999999997pt;margin-top:805.30000000000007pt;width:248.65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28_2024: Obvazy na popáleniny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10227310</wp:posOffset>
              </wp:positionV>
              <wp:extent cx="3157855" cy="11303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5785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28_2024: Obvazy na popáleniny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799999999999997pt;margin-top:805.30000000000007pt;width:248.65000000000001pt;height:8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28_2024: Obvazy na popáleniny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obrázku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4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">
    <w:name w:val="Nadpis #2_"/>
    <w:basedOn w:val="DefaultParagraphFont"/>
    <w:link w:val="Style42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single"/>
    </w:rPr>
  </w:style>
  <w:style w:type="character" w:customStyle="1" w:styleId="CharStyle50">
    <w:name w:val="Základní text (2)_"/>
    <w:basedOn w:val="DefaultParagraphFont"/>
    <w:link w:val="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4">
    <w:name w:val="Nadpis #1_"/>
    <w:basedOn w:val="DefaultParagraphFont"/>
    <w:link w:val="Styl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29A"/>
      <w:sz w:val="66"/>
      <w:szCs w:val="66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obrázku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4"/>
    <w:basedOn w:val="Normal"/>
    <w:link w:val="CharStyle16"/>
    <w:pPr>
      <w:widowControl w:val="0"/>
      <w:shd w:val="clear" w:color="auto" w:fill="auto"/>
      <w:spacing w:after="500"/>
      <w:ind w:left="2080" w:hanging="134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2">
    <w:name w:val="Nadpis #2"/>
    <w:basedOn w:val="Normal"/>
    <w:link w:val="CharStyle43"/>
    <w:pPr>
      <w:widowControl w:val="0"/>
      <w:shd w:val="clear" w:color="auto" w:fill="auto"/>
      <w:ind w:right="1460"/>
      <w:jc w:val="right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single"/>
    </w:rPr>
  </w:style>
  <w:style w:type="paragraph" w:customStyle="1" w:styleId="Style49">
    <w:name w:val="Základní text (2)"/>
    <w:basedOn w:val="Normal"/>
    <w:link w:val="CharStyle50"/>
    <w:pPr>
      <w:widowControl w:val="0"/>
      <w:shd w:val="clear" w:color="auto" w:fill="auto"/>
      <w:spacing w:after="500" w:line="259" w:lineRule="auto"/>
      <w:ind w:right="73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63">
    <w:name w:val="Nadpis #1"/>
    <w:basedOn w:val="Normal"/>
    <w:link w:val="CharStyle64"/>
    <w:pPr>
      <w:widowControl w:val="0"/>
      <w:shd w:val="clear" w:color="auto" w:fill="auto"/>
      <w:ind w:left="-2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29A"/>
      <w:sz w:val="66"/>
      <w:szCs w:val="6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