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 Smlouvě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651/2024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NS24070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dle ust. § 2586 a násl. zákona č. 89/2012 Sb., občanského zákoníku, ve znění</w:t>
        <w:br/>
        <w:t>pozdějších předpisů (dále jen „dodatek“)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Skalka TG 2 - generátor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  <w:bookmarkEnd w:id="1"/>
      <w:bookmarkEnd w:id="2"/>
    </w:p>
    <w:p>
      <w:pPr>
        <w:pStyle w:val="Style11"/>
        <w:keepNext/>
        <w:keepLines/>
        <w:widowControl w:val="0"/>
        <w:shd w:val="clear" w:color="auto" w:fill="auto"/>
        <w:tabs>
          <w:tab w:pos="3926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6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je zapsán v obchodním rejstříku Krajského soudu v Ústí nad Labem v oddílu A, vložce č. 13052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ve věcech technických: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60400" distB="0" distL="0" distR="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660400</wp:posOffset>
                </wp:positionV>
                <wp:extent cx="2115185" cy="103632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5185" cy="1036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Adresa: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Zastoupený, e-mail, tel.: zástupce ve věcech smluvních: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50000000000006pt;margin-top:52.pt;width:166.55000000000001pt;height:81.600000000000009pt;z-index:-125829375;mso-wrap-distance-left:0;mso-wrap-distance-top:5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Zastoupený, e-mail, tel.: zástupce ve věcech smluvních: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60400" distB="326390" distL="0" distR="0" simplePos="0" relativeHeight="125829380" behindDoc="0" locked="0" layoutInCell="1" allowOverlap="1">
                <wp:simplePos x="0" y="0"/>
                <wp:positionH relativeFrom="page">
                  <wp:posOffset>3405505</wp:posOffset>
                </wp:positionH>
                <wp:positionV relativeFrom="paragraph">
                  <wp:posOffset>660400</wp:posOffset>
                </wp:positionV>
                <wp:extent cx="2170430" cy="7099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043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Hansen Elektric, spol. s 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Těšínská 2977/79c, 746 01 Opava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47973862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CZ47973862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8.14999999999998pt;margin-top:52.pt;width:170.90000000000001pt;height:55.899999999999999pt;z-index:-125829373;mso-wrap-distance-left:0;mso-wrap-distance-top:52.pt;mso-wrap-distance-right:0;mso-wrap-distance-bottom:25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Hansen Elektric,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Těšínská 2977/79c, 746 01 Opava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47973862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CZ47973862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Krajský soud v Ostravě, v oddílu C, vložce č. 5399.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3" w:name="bookmark3"/>
      <w:bookmarkEnd w:id="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oprávněných zástupců objednatele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změnu předmětu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Cenové nabídky NS-24070B ze dne 12.08.2024,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bookmarkEnd w:id="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 Cenové nabídky NS-24070B ze dne 12.08.2024.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cenovou nabídku změn závazku.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oprávnění zástupci objednatele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původní znění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investora: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 v rozsahu přílohy tohoto dodatku – Cenové nabídky NS-24070B ze dne 12.08.2024, která se tímto stává nedílnou součástí smlouvy,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bod 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celková smluvní cena bez DPH</w:t>
        <w:tab/>
        <w:t>461 000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26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celková smluvní cena bez DPH</w:t>
        <w:tab/>
        <w:t>1 203 000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14" w:left="1393" w:right="1386" w:bottom="1220" w:header="58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NS-24070B ze dne 12.08.2024</w:t>
      </w:r>
    </w:p>
    <w:p>
      <w:pPr>
        <w:widowControl w:val="0"/>
        <w:spacing w:before="104" w:after="10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88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8872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Opavě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743" w:bottom="1167" w:header="0" w:footer="3" w:gutter="0"/>
          <w:cols w:num="2" w:space="230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Hansen Elektric,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2743" w:bottom="1167" w:header="0" w:footer="3" w:gutter="0"/>
      <w:cols w:num="2" w:space="2309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5989955</wp:posOffset>
              </wp:positionH>
              <wp:positionV relativeFrom="page">
                <wp:posOffset>9981565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5000000000003pt;margin-top:785.95000000000005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3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