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356" w:type="dxa"/>
        <w:tblInd w:w="-147" w:type="dxa"/>
        <w:tblLook w:val="04A0" w:firstRow="1" w:lastRow="0" w:firstColumn="1" w:lastColumn="0" w:noHBand="0" w:noVBand="1"/>
      </w:tblPr>
      <w:tblGrid>
        <w:gridCol w:w="4678"/>
        <w:gridCol w:w="4678"/>
      </w:tblGrid>
      <w:tr w:rsidR="000700F3" w14:paraId="52DCAC79" w14:textId="77777777" w:rsidTr="000700F3">
        <w:tc>
          <w:tcPr>
            <w:tcW w:w="4678" w:type="dxa"/>
          </w:tcPr>
          <w:p w14:paraId="2D40B27D" w14:textId="77777777" w:rsidR="00690FE8" w:rsidRDefault="000B784E" w:rsidP="00690FE8">
            <w:pPr>
              <w:jc w:val="center"/>
              <w:rPr>
                <w:b/>
                <w:bCs/>
                <w:sz w:val="32"/>
                <w:szCs w:val="19"/>
                <w:lang w:val="en-AU"/>
              </w:rPr>
            </w:pPr>
            <w:r>
              <w:rPr>
                <w:sz w:val="32"/>
                <w:szCs w:val="19"/>
                <w:highlight w:val="yellow"/>
                <w:lang w:val="en-AU"/>
              </w:rPr>
              <w:br/>
            </w:r>
            <w:r w:rsidR="000700F3" w:rsidRPr="00690FE8">
              <w:rPr>
                <w:b/>
                <w:bCs/>
                <w:sz w:val="32"/>
                <w:szCs w:val="19"/>
                <w:lang w:val="en-AU"/>
              </w:rPr>
              <w:t>Sponsorship</w:t>
            </w:r>
          </w:p>
          <w:p w14:paraId="3A76BEE0" w14:textId="77777777" w:rsidR="00690FE8" w:rsidRDefault="000700F3" w:rsidP="00690FE8">
            <w:pPr>
              <w:jc w:val="center"/>
              <w:rPr>
                <w:b/>
                <w:bCs/>
                <w:sz w:val="32"/>
                <w:szCs w:val="19"/>
                <w:lang w:val="en-AU"/>
              </w:rPr>
            </w:pPr>
            <w:r w:rsidRPr="00690FE8">
              <w:rPr>
                <w:b/>
                <w:bCs/>
                <w:sz w:val="32"/>
                <w:szCs w:val="19"/>
                <w:lang w:val="en-AU"/>
              </w:rPr>
              <w:t xml:space="preserve"> (Advertisement &amp; Promotional opportunities) </w:t>
            </w:r>
          </w:p>
          <w:p w14:paraId="25462906" w14:textId="260C21BB" w:rsidR="00690FE8" w:rsidRDefault="000700F3" w:rsidP="00690FE8">
            <w:pPr>
              <w:jc w:val="center"/>
              <w:rPr>
                <w:b/>
                <w:bCs/>
                <w:sz w:val="32"/>
                <w:szCs w:val="19"/>
                <w:lang w:val="en-AU"/>
              </w:rPr>
            </w:pPr>
            <w:r w:rsidRPr="00690FE8">
              <w:rPr>
                <w:b/>
                <w:bCs/>
                <w:sz w:val="32"/>
                <w:szCs w:val="19"/>
                <w:lang w:val="en-AU"/>
              </w:rPr>
              <w:t>Agreement</w:t>
            </w:r>
          </w:p>
          <w:p w14:paraId="2694CA8F" w14:textId="46577C3E" w:rsidR="000700F3" w:rsidRPr="00690FE8" w:rsidRDefault="000700F3" w:rsidP="00690FE8">
            <w:pPr>
              <w:jc w:val="center"/>
              <w:rPr>
                <w:b/>
                <w:bCs/>
                <w:sz w:val="19"/>
                <w:highlight w:val="darkGray"/>
                <w:u w:val="single"/>
                <w:lang w:val="en-AU"/>
              </w:rPr>
            </w:pPr>
            <w:r w:rsidRPr="00690FE8">
              <w:rPr>
                <w:b/>
                <w:bCs/>
                <w:sz w:val="32"/>
                <w:szCs w:val="19"/>
                <w:lang w:val="en-AU"/>
              </w:rPr>
              <w:t xml:space="preserve"> </w:t>
            </w:r>
            <w:r w:rsidR="00362F61" w:rsidRPr="00690FE8">
              <w:rPr>
                <w:b/>
                <w:bCs/>
                <w:lang w:val="en-AU"/>
              </w:rPr>
              <w:t>(the “Agreement”)</w:t>
            </w:r>
          </w:p>
          <w:p w14:paraId="4A886B1B" w14:textId="77777777" w:rsidR="000700F3" w:rsidRDefault="000700F3" w:rsidP="000700F3">
            <w:pPr>
              <w:jc w:val="both"/>
              <w:rPr>
                <w:b/>
                <w:szCs w:val="20"/>
                <w:lang w:val="en-AU"/>
              </w:rPr>
            </w:pPr>
          </w:p>
          <w:p w14:paraId="00886F5B" w14:textId="77777777" w:rsidR="00BD02D9" w:rsidRPr="00BD02D9" w:rsidRDefault="00BD02D9" w:rsidP="00BD02D9">
            <w:pPr>
              <w:jc w:val="center"/>
              <w:rPr>
                <w:rFonts w:cstheme="minorHAnsi"/>
                <w:b/>
                <w:bCs/>
                <w:color w:val="000000"/>
                <w:sz w:val="18"/>
                <w:szCs w:val="18"/>
              </w:rPr>
            </w:pPr>
            <w:r>
              <w:rPr>
                <w:rFonts w:ascii="Trebuchet MS" w:hAnsi="Trebuchet MS"/>
                <w:color w:val="000000"/>
                <w:sz w:val="18"/>
                <w:szCs w:val="18"/>
              </w:rPr>
              <w:br/>
            </w:r>
            <w:r w:rsidRPr="00BD02D9">
              <w:rPr>
                <w:rFonts w:cstheme="minorHAnsi"/>
                <w:b/>
                <w:bCs/>
                <w:color w:val="000000"/>
              </w:rPr>
              <w:t>NAIRF-24-04843</w:t>
            </w:r>
          </w:p>
          <w:p w14:paraId="201DF762" w14:textId="77777777" w:rsidR="00BD02D9" w:rsidRDefault="00BD02D9" w:rsidP="000700F3">
            <w:pPr>
              <w:jc w:val="both"/>
              <w:rPr>
                <w:b/>
                <w:szCs w:val="20"/>
                <w:lang w:val="en-AU"/>
              </w:rPr>
            </w:pPr>
          </w:p>
          <w:p w14:paraId="066A0310" w14:textId="77777777" w:rsidR="000700F3" w:rsidRDefault="000700F3" w:rsidP="000700F3">
            <w:pPr>
              <w:jc w:val="both"/>
              <w:rPr>
                <w:b/>
                <w:szCs w:val="20"/>
                <w:lang w:val="en-AU"/>
              </w:rPr>
            </w:pPr>
            <w:r w:rsidRPr="00FD6150">
              <w:rPr>
                <w:b/>
                <w:szCs w:val="20"/>
                <w:lang w:val="en-AU"/>
              </w:rPr>
              <w:t>BY AND BETWEEN</w:t>
            </w:r>
          </w:p>
          <w:p w14:paraId="1B8F2D39" w14:textId="77777777" w:rsidR="00A32CFC" w:rsidRPr="00FD6150" w:rsidRDefault="00A32CFC" w:rsidP="000700F3">
            <w:pPr>
              <w:jc w:val="both"/>
              <w:rPr>
                <w:b/>
                <w:szCs w:val="20"/>
                <w:lang w:val="en-AU"/>
              </w:rPr>
            </w:pPr>
          </w:p>
          <w:p w14:paraId="37A65997" w14:textId="11DCFFDA" w:rsidR="003251F6" w:rsidRDefault="00690FE8" w:rsidP="000700F3">
            <w:pPr>
              <w:jc w:val="both"/>
              <w:rPr>
                <w:szCs w:val="20"/>
                <w:lang w:val="en-AU"/>
              </w:rPr>
            </w:pPr>
            <w:r w:rsidRPr="00690FE8">
              <w:rPr>
                <w:b/>
                <w:bCs/>
                <w:szCs w:val="20"/>
                <w:lang w:val="en-AU"/>
              </w:rPr>
              <w:t>Boston Scientific Česká republika s.r.o.,</w:t>
            </w:r>
            <w:r w:rsidRPr="00690FE8">
              <w:rPr>
                <w:szCs w:val="20"/>
                <w:lang w:val="en-AU"/>
              </w:rPr>
              <w:t xml:space="preserve"> an organization incorporated under the laws of Czech Republic with the registered office at the address: Praha 5 - Smíchov, Karla Engliše 3219/4, PSČ 15000, Czech Republic,registered in the Commercial Register administered by the Municipal Court in Prague under File No. C 56799, CZ25635972 (taxpayer ID number), ID number 25635972, hereinafter referred to as “</w:t>
            </w:r>
            <w:r w:rsidR="00C86CF1">
              <w:rPr>
                <w:szCs w:val="20"/>
                <w:lang w:val="en-AU"/>
              </w:rPr>
              <w:t>the company</w:t>
            </w:r>
            <w:r w:rsidRPr="00690FE8">
              <w:rPr>
                <w:szCs w:val="20"/>
                <w:lang w:val="en-AU"/>
              </w:rPr>
              <w:t>”, represented by</w:t>
            </w:r>
            <w:r>
              <w:rPr>
                <w:szCs w:val="20"/>
                <w:lang w:val="en-AU"/>
              </w:rPr>
              <w:t xml:space="preserve"> </w:t>
            </w:r>
            <w:r w:rsidRPr="00690FE8">
              <w:rPr>
                <w:szCs w:val="20"/>
                <w:lang w:val="en-AU"/>
              </w:rPr>
              <w:t xml:space="preserve">Matěj Sahula, proxy. </w:t>
            </w:r>
          </w:p>
          <w:p w14:paraId="654849DB" w14:textId="77777777" w:rsidR="00690FE8" w:rsidRPr="00FD6150" w:rsidRDefault="00690FE8" w:rsidP="000700F3">
            <w:pPr>
              <w:jc w:val="both"/>
              <w:rPr>
                <w:b/>
                <w:szCs w:val="20"/>
                <w:lang w:val="en-AU"/>
              </w:rPr>
            </w:pPr>
          </w:p>
          <w:p w14:paraId="03C7C9DB" w14:textId="77777777" w:rsidR="000700F3" w:rsidRPr="00FD6150" w:rsidRDefault="000700F3" w:rsidP="000700F3">
            <w:pPr>
              <w:jc w:val="both"/>
              <w:rPr>
                <w:b/>
                <w:szCs w:val="20"/>
                <w:lang w:val="en-AU"/>
              </w:rPr>
            </w:pPr>
            <w:r w:rsidRPr="00FD6150">
              <w:rPr>
                <w:b/>
                <w:szCs w:val="20"/>
                <w:lang w:val="en-AU"/>
              </w:rPr>
              <w:t>AND</w:t>
            </w:r>
          </w:p>
          <w:p w14:paraId="58CB5E12" w14:textId="77777777" w:rsidR="00297017" w:rsidRPr="00297017" w:rsidRDefault="00297017" w:rsidP="00297017">
            <w:pPr>
              <w:jc w:val="both"/>
              <w:rPr>
                <w:b/>
                <w:bCs/>
                <w:szCs w:val="20"/>
                <w:lang w:val="en-AU"/>
              </w:rPr>
            </w:pPr>
            <w:r w:rsidRPr="00297017">
              <w:rPr>
                <w:b/>
                <w:bCs/>
                <w:szCs w:val="20"/>
                <w:lang w:val="en-AU"/>
              </w:rPr>
              <w:tab/>
            </w:r>
          </w:p>
          <w:p w14:paraId="65590536" w14:textId="3CC94885" w:rsidR="00BD02D9" w:rsidRPr="00FD6150" w:rsidRDefault="00297017" w:rsidP="00BD02D9">
            <w:pPr>
              <w:jc w:val="both"/>
              <w:rPr>
                <w:szCs w:val="20"/>
                <w:lang w:val="en-AU"/>
              </w:rPr>
            </w:pPr>
            <w:r w:rsidRPr="00297017">
              <w:rPr>
                <w:b/>
                <w:bCs/>
                <w:szCs w:val="20"/>
                <w:lang w:val="en-AU"/>
              </w:rPr>
              <w:t>Nemocnice ve Frýdku-Místku</w:t>
            </w:r>
            <w:r w:rsidR="00690FE8" w:rsidRPr="00690FE8">
              <w:rPr>
                <w:b/>
                <w:bCs/>
                <w:szCs w:val="20"/>
                <w:lang w:val="en-AU"/>
              </w:rPr>
              <w:t>,</w:t>
            </w:r>
            <w:r w:rsidR="00690FE8" w:rsidRPr="00690FE8">
              <w:rPr>
                <w:szCs w:val="20"/>
                <w:lang w:val="en-AU"/>
              </w:rPr>
              <w:t xml:space="preserve"> an organization incorporated under the laws of Cezch Republic with a registered address in </w:t>
            </w:r>
            <w:r w:rsidRPr="00297017">
              <w:rPr>
                <w:szCs w:val="20"/>
                <w:lang w:val="en-AU"/>
              </w:rPr>
              <w:t>Frýdek-Místek, El. Krásnohorské 321,</w:t>
            </w:r>
            <w:r>
              <w:rPr>
                <w:szCs w:val="20"/>
                <w:lang w:val="en-AU"/>
              </w:rPr>
              <w:t xml:space="preserve"> </w:t>
            </w:r>
            <w:r w:rsidRPr="00297017">
              <w:rPr>
                <w:szCs w:val="20"/>
                <w:lang w:val="en-AU"/>
              </w:rPr>
              <w:t>73818</w:t>
            </w:r>
            <w:r w:rsidR="00690FE8" w:rsidRPr="00690FE8">
              <w:rPr>
                <w:szCs w:val="20"/>
                <w:lang w:val="en-AU"/>
              </w:rPr>
              <w:t xml:space="preserve"> registered in public register administered by Regional court in </w:t>
            </w:r>
            <w:r w:rsidR="00B073F0">
              <w:rPr>
                <w:szCs w:val="20"/>
                <w:lang w:val="en-AU"/>
              </w:rPr>
              <w:t>Ostrava</w:t>
            </w:r>
            <w:r w:rsidR="00690FE8" w:rsidRPr="00690FE8">
              <w:rPr>
                <w:szCs w:val="20"/>
                <w:lang w:val="en-AU"/>
              </w:rPr>
              <w:t xml:space="preserve"> under File No. </w:t>
            </w:r>
            <w:r w:rsidR="00B073F0">
              <w:rPr>
                <w:szCs w:val="20"/>
                <w:lang w:val="en-AU"/>
              </w:rPr>
              <w:t>Pr 938</w:t>
            </w:r>
            <w:r w:rsidR="00690FE8" w:rsidRPr="00690FE8">
              <w:rPr>
                <w:szCs w:val="20"/>
                <w:lang w:val="en-AU"/>
              </w:rPr>
              <w:t>, hereinafter referred to as “</w:t>
            </w:r>
            <w:r w:rsidR="00C86CF1">
              <w:rPr>
                <w:szCs w:val="20"/>
                <w:lang w:val="en-AU"/>
              </w:rPr>
              <w:t>the Organization</w:t>
            </w:r>
            <w:r w:rsidR="00690FE8" w:rsidRPr="00690FE8">
              <w:rPr>
                <w:szCs w:val="20"/>
                <w:lang w:val="en-AU"/>
              </w:rPr>
              <w:t xml:space="preserve">”. </w:t>
            </w:r>
            <w:r w:rsidR="00BD02D9">
              <w:rPr>
                <w:szCs w:val="20"/>
                <w:lang w:val="en-AU"/>
              </w:rPr>
              <w:t xml:space="preserve">The organization is being </w:t>
            </w:r>
            <w:r w:rsidR="00BD02D9" w:rsidRPr="00C22BF3">
              <w:rPr>
                <w:szCs w:val="20"/>
                <w:lang w:val="en-AU"/>
              </w:rPr>
              <w:t>legally represented by director Ing. Tomas Stejskal, MBA</w:t>
            </w:r>
            <w:r w:rsidR="00BD02D9">
              <w:rPr>
                <w:szCs w:val="20"/>
                <w:lang w:val="en-AU"/>
              </w:rPr>
              <w:t>, LL.M</w:t>
            </w:r>
            <w:r w:rsidR="00BD02D9" w:rsidRPr="00C22BF3">
              <w:rPr>
                <w:szCs w:val="20"/>
                <w:lang w:val="en-AU"/>
              </w:rPr>
              <w:t>.</w:t>
            </w:r>
          </w:p>
          <w:p w14:paraId="2329CE72" w14:textId="77777777" w:rsidR="00BD02D9" w:rsidRPr="00B6218B" w:rsidRDefault="00BD02D9" w:rsidP="00BD02D9">
            <w:pPr>
              <w:jc w:val="both"/>
              <w:rPr>
                <w:szCs w:val="20"/>
                <w:lang w:val="en-AU"/>
              </w:rPr>
            </w:pPr>
            <w:r w:rsidRPr="00FD6150">
              <w:rPr>
                <w:szCs w:val="20"/>
                <w:lang w:val="en-AU"/>
              </w:rPr>
              <w:t xml:space="preserve">Together hereinafter referred as “Parties”, or each individually as a “Party”. </w:t>
            </w:r>
          </w:p>
          <w:p w14:paraId="5D5B4C37" w14:textId="575355D9" w:rsidR="00297017" w:rsidRPr="00690FE8" w:rsidRDefault="00297017" w:rsidP="000700F3">
            <w:pPr>
              <w:shd w:val="clear" w:color="auto" w:fill="FFFFFF"/>
              <w:spacing w:line="100" w:lineRule="atLeast"/>
              <w:rPr>
                <w:szCs w:val="20"/>
                <w:lang w:val="en-AU"/>
              </w:rPr>
            </w:pPr>
          </w:p>
          <w:p w14:paraId="223E6495" w14:textId="77777777" w:rsidR="000700F3" w:rsidRPr="00FD6150" w:rsidRDefault="000700F3" w:rsidP="000700F3">
            <w:pPr>
              <w:shd w:val="clear" w:color="auto" w:fill="FFFFFF"/>
              <w:spacing w:line="100" w:lineRule="atLeast"/>
              <w:rPr>
                <w:b/>
                <w:szCs w:val="20"/>
                <w:lang w:val="en-AU"/>
              </w:rPr>
            </w:pPr>
            <w:r w:rsidRPr="00FD6150">
              <w:rPr>
                <w:b/>
                <w:szCs w:val="20"/>
                <w:lang w:val="en-AU"/>
              </w:rPr>
              <w:t>Article 1 – Subject of the Agreement, Remuneration</w:t>
            </w:r>
          </w:p>
          <w:p w14:paraId="4EA57501" w14:textId="2628DF96" w:rsidR="000700F3" w:rsidRPr="00FD6150" w:rsidRDefault="000700F3" w:rsidP="000700F3">
            <w:pPr>
              <w:shd w:val="clear" w:color="auto" w:fill="FFFFFF"/>
              <w:spacing w:line="100" w:lineRule="atLeast"/>
              <w:ind w:left="720" w:hanging="720"/>
              <w:jc w:val="both"/>
              <w:rPr>
                <w:szCs w:val="20"/>
                <w:lang w:val="en-AU"/>
              </w:rPr>
            </w:pPr>
            <w:r w:rsidRPr="00FD6150">
              <w:rPr>
                <w:rFonts w:eastAsia="Calibri"/>
                <w:szCs w:val="20"/>
                <w:lang w:val="en-AU" w:eastAsia="en-US"/>
              </w:rPr>
              <w:t>1.1</w:t>
            </w:r>
            <w:r w:rsidRPr="00FD6150">
              <w:rPr>
                <w:rFonts w:eastAsia="Calibri"/>
                <w:szCs w:val="20"/>
                <w:lang w:val="en-AU" w:eastAsia="en-US"/>
              </w:rPr>
              <w:tab/>
            </w:r>
            <w:r w:rsidRPr="00FD6150">
              <w:rPr>
                <w:szCs w:val="20"/>
                <w:lang w:val="en-AU"/>
              </w:rPr>
              <w:t xml:space="preserve">The Organization, </w:t>
            </w:r>
            <w:r w:rsidR="006412EE">
              <w:rPr>
                <w:szCs w:val="20"/>
                <w:lang w:val="en-AU"/>
              </w:rPr>
              <w:t>in connection with holding of</w:t>
            </w:r>
            <w:r w:rsidRPr="00FD6150">
              <w:rPr>
                <w:szCs w:val="20"/>
                <w:lang w:val="en-AU"/>
              </w:rPr>
              <w:t xml:space="preserve"> </w:t>
            </w:r>
            <w:r w:rsidR="006412EE">
              <w:rPr>
                <w:szCs w:val="20"/>
                <w:lang w:val="en-AU"/>
              </w:rPr>
              <w:t>m</w:t>
            </w:r>
            <w:r w:rsidRPr="00FD6150">
              <w:rPr>
                <w:szCs w:val="20"/>
                <w:lang w:val="en-AU"/>
              </w:rPr>
              <w:t xml:space="preserve">edical </w:t>
            </w:r>
            <w:r w:rsidR="006412EE">
              <w:rPr>
                <w:szCs w:val="20"/>
                <w:lang w:val="en-AU"/>
              </w:rPr>
              <w:t>e</w:t>
            </w:r>
            <w:r w:rsidRPr="00FD6150">
              <w:rPr>
                <w:szCs w:val="20"/>
                <w:lang w:val="en-AU"/>
              </w:rPr>
              <w:t xml:space="preserve">ducational </w:t>
            </w:r>
            <w:r w:rsidR="006412EE">
              <w:rPr>
                <w:szCs w:val="20"/>
                <w:lang w:val="en-AU"/>
              </w:rPr>
              <w:t>e</w:t>
            </w:r>
            <w:r w:rsidRPr="00FD6150">
              <w:rPr>
                <w:szCs w:val="20"/>
                <w:lang w:val="en-AU"/>
              </w:rPr>
              <w:t xml:space="preserve">vent, </w:t>
            </w:r>
            <w:r w:rsidR="00A32CFC" w:rsidRPr="00A32CFC">
              <w:rPr>
                <w:b/>
                <w:bCs/>
                <w:szCs w:val="20"/>
                <w:lang w:val="en-AU"/>
              </w:rPr>
              <w:t xml:space="preserve">XVIII. Beskydský endoskopický workshop </w:t>
            </w:r>
            <w:r w:rsidRPr="00FD6150">
              <w:rPr>
                <w:szCs w:val="20"/>
                <w:lang w:val="en-AU"/>
              </w:rPr>
              <w:t xml:space="preserve">(“the Event”), which will take place </w:t>
            </w:r>
            <w:r w:rsidR="004D55D3" w:rsidRPr="004D55D3">
              <w:rPr>
                <w:b/>
                <w:bCs/>
                <w:szCs w:val="20"/>
                <w:lang w:val="en-AU"/>
              </w:rPr>
              <w:t xml:space="preserve">on </w:t>
            </w:r>
            <w:r w:rsidR="00A32CFC">
              <w:rPr>
                <w:b/>
                <w:bCs/>
                <w:szCs w:val="20"/>
                <w:lang w:val="en-AU"/>
              </w:rPr>
              <w:t>September 20</w:t>
            </w:r>
            <w:r w:rsidR="004D55D3" w:rsidRPr="004D55D3">
              <w:rPr>
                <w:b/>
                <w:bCs/>
                <w:szCs w:val="20"/>
                <w:vertAlign w:val="superscript"/>
                <w:lang w:val="en-AU"/>
              </w:rPr>
              <w:t>th</w:t>
            </w:r>
            <w:r w:rsidR="004D55D3" w:rsidRPr="004D55D3">
              <w:rPr>
                <w:b/>
                <w:bCs/>
                <w:szCs w:val="20"/>
                <w:lang w:val="en-AU"/>
              </w:rPr>
              <w:t xml:space="preserve"> </w:t>
            </w:r>
            <w:r w:rsidR="00297017">
              <w:rPr>
                <w:b/>
                <w:bCs/>
                <w:szCs w:val="20"/>
                <w:lang w:val="en-AU"/>
              </w:rPr>
              <w:t xml:space="preserve">2024 </w:t>
            </w:r>
            <w:r w:rsidR="004D55D3" w:rsidRPr="004D55D3">
              <w:rPr>
                <w:b/>
                <w:bCs/>
                <w:szCs w:val="20"/>
                <w:lang w:val="en-AU"/>
              </w:rPr>
              <w:t xml:space="preserve">in </w:t>
            </w:r>
            <w:r w:rsidR="00A32CFC">
              <w:rPr>
                <w:b/>
                <w:bCs/>
                <w:szCs w:val="20"/>
                <w:lang w:val="en-AU"/>
              </w:rPr>
              <w:t>Beskydy Gastrocenter</w:t>
            </w:r>
            <w:r w:rsidRPr="00FD6150">
              <w:rPr>
                <w:szCs w:val="20"/>
                <w:lang w:val="en-AU"/>
              </w:rPr>
              <w:t>, offers under this agreement the advertisement &amp; promotional activity described in 1.2. When applicable, a copy of the program of this Event is attached hereto in Annex 1.</w:t>
            </w:r>
          </w:p>
          <w:p w14:paraId="3C868F24" w14:textId="77777777" w:rsidR="000700F3" w:rsidRPr="00FD6150" w:rsidRDefault="000700F3" w:rsidP="000700F3">
            <w:pPr>
              <w:shd w:val="clear" w:color="auto" w:fill="FFFFFF"/>
              <w:spacing w:line="100" w:lineRule="atLeast"/>
              <w:ind w:left="720" w:hanging="720"/>
              <w:jc w:val="both"/>
              <w:rPr>
                <w:szCs w:val="20"/>
                <w:lang w:val="en-AU"/>
              </w:rPr>
            </w:pPr>
            <w:r w:rsidRPr="00FD6150">
              <w:rPr>
                <w:rFonts w:eastAsia="Calibri"/>
                <w:szCs w:val="20"/>
                <w:lang w:val="en-AU" w:eastAsia="en-US"/>
              </w:rPr>
              <w:lastRenderedPageBreak/>
              <w:t>1.2</w:t>
            </w:r>
            <w:r w:rsidRPr="00FD6150">
              <w:rPr>
                <w:rFonts w:eastAsia="Calibri"/>
                <w:szCs w:val="20"/>
                <w:lang w:val="en-AU" w:eastAsia="en-US"/>
              </w:rPr>
              <w:tab/>
              <w:t xml:space="preserve">The </w:t>
            </w:r>
            <w:r w:rsidRPr="00FD6150">
              <w:rPr>
                <w:szCs w:val="20"/>
                <w:lang w:val="en-AU"/>
              </w:rPr>
              <w:t>Company wishes to purchase the following advertising &amp; promotional activity at the Event to be used for the promotion of the Company during the Event:</w:t>
            </w:r>
          </w:p>
          <w:p w14:paraId="112E2183" w14:textId="77777777" w:rsidR="000700F3" w:rsidRPr="000700F3" w:rsidRDefault="000700F3">
            <w:pPr>
              <w:rPr>
                <w:lang w:val="en-US"/>
              </w:rPr>
            </w:pPr>
          </w:p>
        </w:tc>
        <w:tc>
          <w:tcPr>
            <w:tcW w:w="4678" w:type="dxa"/>
          </w:tcPr>
          <w:p w14:paraId="1CCB71D3" w14:textId="77777777" w:rsidR="00690FE8" w:rsidRDefault="000B784E" w:rsidP="00690FE8">
            <w:pPr>
              <w:jc w:val="center"/>
              <w:rPr>
                <w:rFonts w:cs="Calibri"/>
                <w:b/>
                <w:bCs/>
                <w:color w:val="000000" w:themeColor="text1"/>
                <w:sz w:val="32"/>
                <w:szCs w:val="32"/>
              </w:rPr>
            </w:pPr>
            <w:r>
              <w:rPr>
                <w:rFonts w:cs="Calibri"/>
                <w:color w:val="000000" w:themeColor="text1"/>
                <w:szCs w:val="36"/>
                <w:highlight w:val="yellow"/>
              </w:rPr>
              <w:lastRenderedPageBreak/>
              <w:br/>
            </w:r>
            <w:r w:rsidR="000700F3" w:rsidRPr="00690FE8">
              <w:rPr>
                <w:rFonts w:cs="Calibri"/>
                <w:b/>
                <w:bCs/>
                <w:color w:val="000000" w:themeColor="text1"/>
                <w:sz w:val="32"/>
                <w:szCs w:val="32"/>
              </w:rPr>
              <w:t>Smlouv</w:t>
            </w:r>
            <w:r w:rsidR="000172AE" w:rsidRPr="00690FE8">
              <w:rPr>
                <w:rFonts w:cs="Calibri"/>
                <w:b/>
                <w:bCs/>
                <w:color w:val="000000" w:themeColor="text1"/>
                <w:sz w:val="32"/>
                <w:szCs w:val="32"/>
              </w:rPr>
              <w:t>a</w:t>
            </w:r>
            <w:r w:rsidR="000700F3" w:rsidRPr="00690FE8">
              <w:rPr>
                <w:rFonts w:cs="Calibri"/>
                <w:b/>
                <w:bCs/>
                <w:color w:val="000000" w:themeColor="text1"/>
                <w:sz w:val="32"/>
                <w:szCs w:val="32"/>
              </w:rPr>
              <w:t xml:space="preserve"> o sponzorství</w:t>
            </w:r>
          </w:p>
          <w:p w14:paraId="3511B2DD" w14:textId="0FA08999" w:rsidR="000700F3" w:rsidRPr="00690FE8" w:rsidRDefault="000700F3" w:rsidP="00690FE8">
            <w:pPr>
              <w:jc w:val="center"/>
              <w:rPr>
                <w:b/>
                <w:bCs/>
                <w:sz w:val="24"/>
                <w:szCs w:val="24"/>
              </w:rPr>
            </w:pPr>
            <w:r w:rsidRPr="00690FE8">
              <w:rPr>
                <w:rFonts w:cs="Calibri"/>
                <w:b/>
                <w:bCs/>
                <w:color w:val="000000" w:themeColor="text1"/>
                <w:sz w:val="32"/>
                <w:szCs w:val="32"/>
              </w:rPr>
              <w:t xml:space="preserve"> (reklamní a propagační příležitosti)</w:t>
            </w:r>
            <w:r w:rsidRPr="00690FE8">
              <w:rPr>
                <w:b/>
                <w:bCs/>
                <w:sz w:val="32"/>
                <w:szCs w:val="32"/>
              </w:rPr>
              <w:t xml:space="preserve"> </w:t>
            </w:r>
            <w:r w:rsidR="00362F61" w:rsidRPr="00690FE8">
              <w:rPr>
                <w:b/>
                <w:bCs/>
                <w:sz w:val="32"/>
                <w:szCs w:val="32"/>
              </w:rPr>
              <w:br/>
            </w:r>
            <w:r w:rsidR="00362F61" w:rsidRPr="00690FE8">
              <w:rPr>
                <w:b/>
                <w:bCs/>
                <w:sz w:val="24"/>
                <w:szCs w:val="24"/>
              </w:rPr>
              <w:t>(dále jen „Smlouva“)</w:t>
            </w:r>
          </w:p>
          <w:p w14:paraId="095ED4C1" w14:textId="77777777" w:rsidR="00690FE8" w:rsidRDefault="00690FE8" w:rsidP="000700F3">
            <w:pPr>
              <w:jc w:val="both"/>
              <w:rPr>
                <w:b/>
                <w:szCs w:val="20"/>
              </w:rPr>
            </w:pPr>
          </w:p>
          <w:p w14:paraId="77B9A992" w14:textId="77777777" w:rsidR="00BD02D9" w:rsidRPr="00BD02D9" w:rsidRDefault="00BD02D9" w:rsidP="00BD02D9">
            <w:pPr>
              <w:jc w:val="center"/>
              <w:rPr>
                <w:rFonts w:cstheme="minorHAnsi"/>
                <w:b/>
                <w:bCs/>
                <w:color w:val="000000"/>
              </w:rPr>
            </w:pPr>
            <w:r w:rsidRPr="00BD02D9">
              <w:rPr>
                <w:rFonts w:cstheme="minorHAnsi"/>
                <w:b/>
                <w:bCs/>
                <w:color w:val="000000"/>
              </w:rPr>
              <w:br/>
              <w:t>NAIRF-24-04843</w:t>
            </w:r>
          </w:p>
          <w:p w14:paraId="031285A6" w14:textId="77777777" w:rsidR="00BD02D9" w:rsidRDefault="00BD02D9" w:rsidP="000700F3">
            <w:pPr>
              <w:jc w:val="both"/>
              <w:rPr>
                <w:b/>
                <w:szCs w:val="20"/>
              </w:rPr>
            </w:pPr>
          </w:p>
          <w:p w14:paraId="03079338" w14:textId="77777777" w:rsidR="000700F3" w:rsidRDefault="000700F3" w:rsidP="000700F3">
            <w:pPr>
              <w:jc w:val="both"/>
              <w:rPr>
                <w:b/>
                <w:szCs w:val="20"/>
              </w:rPr>
            </w:pPr>
            <w:r w:rsidRPr="00441525">
              <w:rPr>
                <w:b/>
                <w:szCs w:val="20"/>
              </w:rPr>
              <w:t xml:space="preserve">SMLUVNÍ STRANY </w:t>
            </w:r>
          </w:p>
          <w:p w14:paraId="0ECBB858" w14:textId="77777777" w:rsidR="00A32CFC" w:rsidRPr="00441525" w:rsidRDefault="00A32CFC" w:rsidP="000700F3">
            <w:pPr>
              <w:jc w:val="both"/>
              <w:rPr>
                <w:b/>
                <w:szCs w:val="20"/>
              </w:rPr>
            </w:pPr>
          </w:p>
          <w:p w14:paraId="36A827C3" w14:textId="60025E85" w:rsidR="000700F3" w:rsidRDefault="00690FE8" w:rsidP="000700F3">
            <w:pPr>
              <w:jc w:val="both"/>
            </w:pPr>
            <w:r w:rsidRPr="00690FE8">
              <w:rPr>
                <w:b/>
                <w:bCs/>
              </w:rPr>
              <w:t>Boston Scientific Česká republika s.r.o.,</w:t>
            </w:r>
            <w:r w:rsidRPr="00690FE8">
              <w:t xml:space="preserve"> korporace založená podle práva České republiky, se sídlem na adrese: Praha 5 - Smíchov, Karla Engliše 3219/4, PSČ 15000, Česká republika, zapsaná v obchodním rejstříku vedeném Městským soudem v Praze, pod sp. zn. C 56799, daňové identifikační číslo: CZ25635972, identifikační číslo 25635972, dále jen „</w:t>
            </w:r>
            <w:r w:rsidR="00C86CF1">
              <w:t>Společnost</w:t>
            </w:r>
            <w:r w:rsidRPr="00690FE8">
              <w:t>“, zastoupená Matějem Sahulou, prokuristou společnosti.</w:t>
            </w:r>
          </w:p>
          <w:p w14:paraId="342107F6" w14:textId="77777777" w:rsidR="00690FE8" w:rsidRPr="00690FE8" w:rsidRDefault="00690FE8" w:rsidP="000700F3">
            <w:pPr>
              <w:jc w:val="both"/>
              <w:rPr>
                <w:b/>
                <w:szCs w:val="20"/>
              </w:rPr>
            </w:pPr>
          </w:p>
          <w:p w14:paraId="6C0A24E0" w14:textId="77777777" w:rsidR="000700F3" w:rsidRPr="00C31BBD" w:rsidRDefault="000700F3" w:rsidP="000700F3">
            <w:pPr>
              <w:jc w:val="both"/>
              <w:rPr>
                <w:b/>
                <w:szCs w:val="20"/>
              </w:rPr>
            </w:pPr>
            <w:r w:rsidRPr="00C31BBD">
              <w:rPr>
                <w:b/>
                <w:szCs w:val="20"/>
              </w:rPr>
              <w:t>A</w:t>
            </w:r>
          </w:p>
          <w:p w14:paraId="3019FA98" w14:textId="77777777" w:rsidR="00297017" w:rsidRPr="00297017" w:rsidRDefault="00297017" w:rsidP="00297017">
            <w:pPr>
              <w:jc w:val="both"/>
              <w:rPr>
                <w:b/>
                <w:bCs/>
                <w:szCs w:val="20"/>
              </w:rPr>
            </w:pPr>
            <w:r w:rsidRPr="00297017">
              <w:rPr>
                <w:b/>
                <w:bCs/>
                <w:szCs w:val="20"/>
              </w:rPr>
              <w:tab/>
            </w:r>
          </w:p>
          <w:p w14:paraId="1F3CBD33" w14:textId="403796BD" w:rsidR="00BD02D9" w:rsidRPr="00BD02D9" w:rsidRDefault="00297017" w:rsidP="00BD02D9">
            <w:pPr>
              <w:jc w:val="both"/>
              <w:rPr>
                <w:szCs w:val="20"/>
              </w:rPr>
            </w:pPr>
            <w:r w:rsidRPr="00297017">
              <w:rPr>
                <w:b/>
                <w:bCs/>
                <w:szCs w:val="20"/>
              </w:rPr>
              <w:t>Nemocnice ve Frýdku-Místku</w:t>
            </w:r>
            <w:r w:rsidR="00690FE8" w:rsidRPr="00690FE8">
              <w:rPr>
                <w:b/>
                <w:bCs/>
                <w:szCs w:val="20"/>
              </w:rPr>
              <w:t>,</w:t>
            </w:r>
            <w:r w:rsidR="00690FE8" w:rsidRPr="00690FE8">
              <w:rPr>
                <w:szCs w:val="20"/>
              </w:rPr>
              <w:t xml:space="preserve"> </w:t>
            </w:r>
            <w:r>
              <w:rPr>
                <w:szCs w:val="20"/>
              </w:rPr>
              <w:t xml:space="preserve">příspěvková </w:t>
            </w:r>
            <w:r w:rsidR="00690FE8" w:rsidRPr="00690FE8">
              <w:rPr>
                <w:szCs w:val="20"/>
              </w:rPr>
              <w:t xml:space="preserve">organizace založená podle práva České Republiky, se sídlem na adrese: </w:t>
            </w:r>
            <w:r w:rsidRPr="00297017">
              <w:rPr>
                <w:szCs w:val="20"/>
              </w:rPr>
              <w:t>Frýdek-Místek, El. Krásnohorské 321, PSČ 73818</w:t>
            </w:r>
            <w:r w:rsidR="00690FE8" w:rsidRPr="00690FE8">
              <w:rPr>
                <w:szCs w:val="20"/>
              </w:rPr>
              <w:t xml:space="preserve">, zapsaná v věřejném rejstříku vedeném Krajským soudem v </w:t>
            </w:r>
            <w:r>
              <w:rPr>
                <w:szCs w:val="20"/>
              </w:rPr>
              <w:t>Ostravě</w:t>
            </w:r>
            <w:r w:rsidR="00690FE8" w:rsidRPr="00690FE8">
              <w:rPr>
                <w:szCs w:val="20"/>
              </w:rPr>
              <w:t xml:space="preserve"> .pod sp. </w:t>
            </w:r>
            <w:r>
              <w:rPr>
                <w:szCs w:val="20"/>
              </w:rPr>
              <w:t>Zn: Pr 938</w:t>
            </w:r>
            <w:r w:rsidR="00690FE8" w:rsidRPr="00690FE8">
              <w:rPr>
                <w:szCs w:val="20"/>
              </w:rPr>
              <w:t xml:space="preserve"> dále jen „</w:t>
            </w:r>
            <w:r w:rsidR="00C86CF1">
              <w:rPr>
                <w:szCs w:val="20"/>
              </w:rPr>
              <w:t>Organizace</w:t>
            </w:r>
            <w:r w:rsidR="00690FE8" w:rsidRPr="00690FE8">
              <w:rPr>
                <w:szCs w:val="20"/>
              </w:rPr>
              <w:t xml:space="preserve">“. </w:t>
            </w:r>
            <w:r w:rsidR="00690FE8" w:rsidRPr="00BD02D9">
              <w:rPr>
                <w:szCs w:val="20"/>
              </w:rPr>
              <w:t>Za organizaci jedná</w:t>
            </w:r>
            <w:r w:rsidR="00BD02D9" w:rsidRPr="00BD02D9">
              <w:rPr>
                <w:szCs w:val="20"/>
              </w:rPr>
              <w:t>ředitel Ing. Tomáš Stejskal, MBA., LL.M.</w:t>
            </w:r>
          </w:p>
          <w:p w14:paraId="6F4B2F18" w14:textId="0E9DD078" w:rsidR="00297017" w:rsidRPr="00BD02D9" w:rsidRDefault="00BD02D9" w:rsidP="00297017">
            <w:pPr>
              <w:jc w:val="both"/>
              <w:rPr>
                <w:szCs w:val="20"/>
              </w:rPr>
            </w:pPr>
            <w:r w:rsidRPr="00BD02D9">
              <w:rPr>
                <w:szCs w:val="20"/>
              </w:rPr>
              <w:t>Společně dále jen jako „Smluvní strany“ nebo každá samostatně jako „Smluvní strana“.</w:t>
            </w:r>
          </w:p>
          <w:p w14:paraId="68F7D14B" w14:textId="77777777" w:rsidR="00690FE8" w:rsidRDefault="00690FE8" w:rsidP="000700F3">
            <w:pPr>
              <w:shd w:val="clear" w:color="auto" w:fill="FFFFFF"/>
              <w:spacing w:line="100" w:lineRule="atLeast"/>
              <w:rPr>
                <w:b/>
                <w:szCs w:val="20"/>
              </w:rPr>
            </w:pPr>
          </w:p>
          <w:p w14:paraId="697AA542" w14:textId="77777777" w:rsidR="000700F3" w:rsidRPr="00C31BBD" w:rsidRDefault="000700F3" w:rsidP="000700F3">
            <w:pPr>
              <w:shd w:val="clear" w:color="auto" w:fill="FFFFFF"/>
              <w:spacing w:line="100" w:lineRule="atLeast"/>
              <w:rPr>
                <w:b/>
                <w:szCs w:val="20"/>
              </w:rPr>
            </w:pPr>
            <w:r>
              <w:rPr>
                <w:b/>
                <w:szCs w:val="20"/>
              </w:rPr>
              <w:t>Článek</w:t>
            </w:r>
            <w:r w:rsidRPr="00C31BBD">
              <w:rPr>
                <w:b/>
                <w:szCs w:val="20"/>
              </w:rPr>
              <w:t xml:space="preserve"> 1 – </w:t>
            </w:r>
            <w:r>
              <w:rPr>
                <w:b/>
                <w:szCs w:val="20"/>
              </w:rPr>
              <w:t xml:space="preserve">Předmět Smlouvy, </w:t>
            </w:r>
            <w:r w:rsidR="003251F6">
              <w:rPr>
                <w:b/>
                <w:szCs w:val="20"/>
              </w:rPr>
              <w:t>o</w:t>
            </w:r>
            <w:r>
              <w:rPr>
                <w:b/>
                <w:szCs w:val="20"/>
              </w:rPr>
              <w:t>dměna</w:t>
            </w:r>
          </w:p>
          <w:p w14:paraId="02FBFFEE" w14:textId="62F0CBFE" w:rsidR="003251F6" w:rsidRDefault="000700F3" w:rsidP="00690FE8">
            <w:pPr>
              <w:shd w:val="clear" w:color="auto" w:fill="FFFFFF"/>
              <w:spacing w:line="100" w:lineRule="atLeast"/>
              <w:ind w:left="720" w:hanging="720"/>
              <w:jc w:val="both"/>
              <w:rPr>
                <w:szCs w:val="20"/>
              </w:rPr>
            </w:pPr>
            <w:r w:rsidRPr="00C31BBD">
              <w:rPr>
                <w:rFonts w:eastAsia="Calibri"/>
                <w:szCs w:val="20"/>
                <w:lang w:eastAsia="en-US"/>
              </w:rPr>
              <w:t>1.1</w:t>
            </w:r>
            <w:r w:rsidRPr="00C31BBD">
              <w:rPr>
                <w:rFonts w:eastAsia="Calibri"/>
                <w:szCs w:val="20"/>
                <w:lang w:eastAsia="en-US"/>
              </w:rPr>
              <w:tab/>
            </w:r>
            <w:r w:rsidRPr="006412EE">
              <w:rPr>
                <w:szCs w:val="20"/>
              </w:rPr>
              <w:t>Organizace nabízí</w:t>
            </w:r>
            <w:r w:rsidR="003251F6" w:rsidRPr="006412EE">
              <w:rPr>
                <w:szCs w:val="20"/>
              </w:rPr>
              <w:t>,</w:t>
            </w:r>
            <w:r w:rsidRPr="006412EE">
              <w:rPr>
                <w:szCs w:val="20"/>
              </w:rPr>
              <w:t xml:space="preserve"> </w:t>
            </w:r>
            <w:r w:rsidR="00953439" w:rsidRPr="006412EE">
              <w:rPr>
                <w:szCs w:val="20"/>
              </w:rPr>
              <w:t xml:space="preserve">v souvislosti s </w:t>
            </w:r>
            <w:r w:rsidRPr="006412EE">
              <w:rPr>
                <w:szCs w:val="20"/>
              </w:rPr>
              <w:t xml:space="preserve"> pořádání</w:t>
            </w:r>
            <w:r w:rsidR="00953439" w:rsidRPr="006412EE">
              <w:rPr>
                <w:szCs w:val="20"/>
              </w:rPr>
              <w:t>m</w:t>
            </w:r>
            <w:r w:rsidRPr="006412EE">
              <w:rPr>
                <w:szCs w:val="20"/>
              </w:rPr>
              <w:t xml:space="preserve"> </w:t>
            </w:r>
            <w:r w:rsidR="00953439" w:rsidRPr="006412EE">
              <w:rPr>
                <w:szCs w:val="20"/>
              </w:rPr>
              <w:t>z</w:t>
            </w:r>
            <w:r w:rsidRPr="006412EE">
              <w:rPr>
                <w:szCs w:val="20"/>
              </w:rPr>
              <w:t xml:space="preserve">dravotnické vzdělávací akce </w:t>
            </w:r>
            <w:r w:rsidR="00A32CFC" w:rsidRPr="00A32CFC">
              <w:rPr>
                <w:b/>
                <w:bCs/>
                <w:szCs w:val="20"/>
              </w:rPr>
              <w:t xml:space="preserve">XVIII. Beskydský endoskopický workshop </w:t>
            </w:r>
            <w:r w:rsidRPr="006412EE">
              <w:rPr>
                <w:szCs w:val="20"/>
              </w:rPr>
              <w:t>(dále jen</w:t>
            </w:r>
            <w:r>
              <w:rPr>
                <w:szCs w:val="20"/>
              </w:rPr>
              <w:t xml:space="preserve"> „Akce“</w:t>
            </w:r>
            <w:r w:rsidRPr="00C31BBD">
              <w:rPr>
                <w:szCs w:val="20"/>
              </w:rPr>
              <w:t xml:space="preserve">), </w:t>
            </w:r>
            <w:r>
              <w:rPr>
                <w:szCs w:val="20"/>
              </w:rPr>
              <w:t xml:space="preserve">která se koná </w:t>
            </w:r>
            <w:r w:rsidR="00A32CFC">
              <w:rPr>
                <w:b/>
                <w:bCs/>
                <w:szCs w:val="20"/>
              </w:rPr>
              <w:t>20</w:t>
            </w:r>
            <w:r w:rsidR="004D55D3" w:rsidRPr="004D55D3">
              <w:rPr>
                <w:b/>
                <w:bCs/>
                <w:szCs w:val="20"/>
              </w:rPr>
              <w:t>.</w:t>
            </w:r>
            <w:r w:rsidR="00A32CFC">
              <w:rPr>
                <w:b/>
                <w:bCs/>
                <w:szCs w:val="20"/>
              </w:rPr>
              <w:t>9.</w:t>
            </w:r>
            <w:r w:rsidR="004D55D3" w:rsidRPr="004D55D3">
              <w:rPr>
                <w:b/>
                <w:bCs/>
                <w:szCs w:val="20"/>
              </w:rPr>
              <w:t xml:space="preserve">2024 </w:t>
            </w:r>
            <w:r w:rsidR="00A32CFC">
              <w:rPr>
                <w:b/>
                <w:bCs/>
                <w:szCs w:val="20"/>
              </w:rPr>
              <w:t>Beskydském gastrocentru</w:t>
            </w:r>
            <w:r w:rsidRPr="00C31BBD">
              <w:rPr>
                <w:szCs w:val="20"/>
              </w:rPr>
              <w:t xml:space="preserve">, </w:t>
            </w:r>
            <w:r>
              <w:rPr>
                <w:szCs w:val="20"/>
              </w:rPr>
              <w:t xml:space="preserve">v rámci této smlouvy reklamní a propagační činnost popsanou v článku </w:t>
            </w:r>
            <w:r w:rsidRPr="00C31BBD">
              <w:rPr>
                <w:szCs w:val="20"/>
              </w:rPr>
              <w:t xml:space="preserve">1.2. </w:t>
            </w:r>
            <w:r>
              <w:rPr>
                <w:szCs w:val="20"/>
              </w:rPr>
              <w:t>Pokud je k dispozici, tvoří Přílohu č. 1 této Smlouvy</w:t>
            </w:r>
            <w:r w:rsidRPr="00AD3AED">
              <w:rPr>
                <w:szCs w:val="20"/>
              </w:rPr>
              <w:t xml:space="preserve"> </w:t>
            </w:r>
            <w:r>
              <w:rPr>
                <w:szCs w:val="20"/>
              </w:rPr>
              <w:t>kopie programu této Akce</w:t>
            </w:r>
            <w:r w:rsidRPr="00C31BBD">
              <w:rPr>
                <w:szCs w:val="20"/>
              </w:rPr>
              <w:t>.</w:t>
            </w:r>
          </w:p>
          <w:p w14:paraId="4FAB91F8" w14:textId="77777777" w:rsidR="000700F3" w:rsidRPr="00C31BBD" w:rsidRDefault="000700F3" w:rsidP="000700F3">
            <w:pPr>
              <w:shd w:val="clear" w:color="auto" w:fill="FFFFFF"/>
              <w:spacing w:line="100" w:lineRule="atLeast"/>
              <w:ind w:left="720" w:hanging="720"/>
              <w:jc w:val="both"/>
              <w:rPr>
                <w:szCs w:val="20"/>
              </w:rPr>
            </w:pPr>
            <w:r w:rsidRPr="00C31BBD">
              <w:rPr>
                <w:rFonts w:eastAsia="Calibri"/>
                <w:szCs w:val="20"/>
                <w:lang w:eastAsia="en-US"/>
              </w:rPr>
              <w:t>1.2</w:t>
            </w:r>
            <w:r w:rsidRPr="00C31BBD">
              <w:rPr>
                <w:rFonts w:eastAsia="Calibri"/>
                <w:szCs w:val="20"/>
                <w:lang w:eastAsia="en-US"/>
              </w:rPr>
              <w:tab/>
            </w:r>
            <w:r>
              <w:rPr>
                <w:rFonts w:eastAsia="Calibri"/>
                <w:szCs w:val="20"/>
                <w:lang w:eastAsia="en-US"/>
              </w:rPr>
              <w:t>Společnost si přeje nakoupit dále uvedenou reklamní a propagační činnost na Akci, která bude využita pro propagaci Společnosti v průběhu Akce</w:t>
            </w:r>
            <w:r w:rsidRPr="00C31BBD">
              <w:rPr>
                <w:szCs w:val="20"/>
              </w:rPr>
              <w:t>:</w:t>
            </w:r>
          </w:p>
          <w:p w14:paraId="040BC6F7" w14:textId="77777777" w:rsidR="000700F3" w:rsidRDefault="000700F3"/>
        </w:tc>
      </w:tr>
    </w:tbl>
    <w:p w14:paraId="76D18761" w14:textId="77777777" w:rsidR="00F43924" w:rsidRDefault="00F43924"/>
    <w:tbl>
      <w:tblPr>
        <w:tblStyle w:val="Mkatabulky"/>
        <w:tblW w:w="8976" w:type="dxa"/>
        <w:tblLook w:val="04A0" w:firstRow="1" w:lastRow="0" w:firstColumn="1" w:lastColumn="0" w:noHBand="0" w:noVBand="1"/>
      </w:tblPr>
      <w:tblGrid>
        <w:gridCol w:w="4416"/>
        <w:gridCol w:w="4560"/>
      </w:tblGrid>
      <w:tr w:rsidR="006412EE" w14:paraId="4906DC80" w14:textId="77777777" w:rsidTr="00B073F0">
        <w:trPr>
          <w:trHeight w:val="543"/>
        </w:trPr>
        <w:tc>
          <w:tcPr>
            <w:tcW w:w="4416" w:type="dxa"/>
          </w:tcPr>
          <w:p w14:paraId="5F4383E1" w14:textId="77777777" w:rsidR="006412EE" w:rsidRPr="005C3B27" w:rsidRDefault="006412EE" w:rsidP="00E31117">
            <w:pPr>
              <w:rPr>
                <w:b/>
                <w:bCs/>
                <w:lang w:val="en-US" w:eastAsia="en-GB"/>
              </w:rPr>
            </w:pPr>
            <w:r>
              <w:rPr>
                <w:b/>
                <w:bCs/>
                <w:lang w:val="en-US" w:eastAsia="en-GB"/>
              </w:rPr>
              <w:t>Description of advertising &amp; promotional activity /</w:t>
            </w:r>
            <w:r>
              <w:rPr>
                <w:b/>
                <w:bCs/>
                <w:lang w:eastAsia="en-GB"/>
              </w:rPr>
              <w:t xml:space="preserve"> Popis reklamní a propagační činnosti</w:t>
            </w:r>
          </w:p>
        </w:tc>
        <w:tc>
          <w:tcPr>
            <w:tcW w:w="4560" w:type="dxa"/>
          </w:tcPr>
          <w:p w14:paraId="3C274174" w14:textId="2FE06863" w:rsidR="006412EE" w:rsidRPr="005C3B27" w:rsidRDefault="006412EE" w:rsidP="00E31117">
            <w:pPr>
              <w:rPr>
                <w:b/>
                <w:bCs/>
                <w:lang w:val="en-US" w:eastAsia="en-GB"/>
              </w:rPr>
            </w:pPr>
            <w:r>
              <w:rPr>
                <w:b/>
                <w:bCs/>
                <w:lang w:val="en-US" w:eastAsia="en-GB"/>
              </w:rPr>
              <w:t xml:space="preserve">Amount / </w:t>
            </w:r>
            <w:r>
              <w:rPr>
                <w:b/>
                <w:bCs/>
                <w:lang w:eastAsia="en-GB"/>
              </w:rPr>
              <w:t>Částka</w:t>
            </w:r>
          </w:p>
        </w:tc>
      </w:tr>
      <w:tr w:rsidR="006412EE" w14:paraId="5C9FFAF5" w14:textId="77777777" w:rsidTr="00B073F0">
        <w:trPr>
          <w:trHeight w:val="972"/>
        </w:trPr>
        <w:tc>
          <w:tcPr>
            <w:tcW w:w="4416" w:type="dxa"/>
          </w:tcPr>
          <w:p w14:paraId="4368A810" w14:textId="77777777" w:rsidR="00B073F0" w:rsidRDefault="00B073F0" w:rsidP="00B073F0">
            <w:pPr>
              <w:pStyle w:val="Odstavecseseznamem"/>
              <w:shd w:val="clear" w:color="auto" w:fill="FFFFFF"/>
              <w:spacing w:line="100" w:lineRule="atLeast"/>
              <w:ind w:left="1068"/>
              <w:rPr>
                <w:rFonts w:asciiTheme="minorHAnsi" w:hAnsiTheme="minorHAnsi" w:cstheme="minorHAnsi"/>
                <w:sz w:val="22"/>
                <w:szCs w:val="22"/>
              </w:rPr>
            </w:pPr>
          </w:p>
          <w:p w14:paraId="3A4979D8" w14:textId="77777777" w:rsidR="00B073F0" w:rsidRPr="00B073F0" w:rsidRDefault="00B073F0" w:rsidP="00B073F0">
            <w:pPr>
              <w:pStyle w:val="Odstavecseseznamem"/>
              <w:shd w:val="clear" w:color="auto" w:fill="FFFFFF"/>
              <w:spacing w:line="276" w:lineRule="auto"/>
              <w:ind w:left="708"/>
              <w:rPr>
                <w:rFonts w:asciiTheme="minorHAnsi" w:hAnsiTheme="minorHAnsi" w:cstheme="minorHAnsi"/>
                <w:sz w:val="22"/>
                <w:szCs w:val="22"/>
              </w:rPr>
            </w:pPr>
          </w:p>
          <w:p w14:paraId="5FA005FE" w14:textId="0B7338B8" w:rsidR="00B073F0" w:rsidRPr="00B073F0" w:rsidRDefault="00B073F0" w:rsidP="00B073F0">
            <w:pPr>
              <w:pStyle w:val="Odstavecseseznamem"/>
              <w:numPr>
                <w:ilvl w:val="0"/>
                <w:numId w:val="11"/>
              </w:numPr>
              <w:shd w:val="clear" w:color="auto" w:fill="FFFFFF"/>
              <w:spacing w:line="276" w:lineRule="auto"/>
              <w:ind w:left="708"/>
              <w:rPr>
                <w:rFonts w:asciiTheme="minorHAnsi" w:hAnsiTheme="minorHAnsi" w:cstheme="minorHAnsi"/>
                <w:sz w:val="22"/>
                <w:szCs w:val="22"/>
              </w:rPr>
            </w:pPr>
            <w:r w:rsidRPr="00B073F0">
              <w:rPr>
                <w:rFonts w:asciiTheme="minorHAnsi" w:hAnsiTheme="minorHAnsi" w:cstheme="minorHAnsi"/>
                <w:sz w:val="22"/>
                <w:szCs w:val="22"/>
              </w:rPr>
              <w:t>rental of advertising space – placement of Exhibition booth 2 m</w:t>
            </w:r>
            <w:r w:rsidRPr="00B073F0">
              <w:rPr>
                <w:rFonts w:asciiTheme="minorHAnsi" w:hAnsiTheme="minorHAnsi" w:cstheme="minorHAnsi"/>
                <w:sz w:val="22"/>
                <w:szCs w:val="22"/>
                <w:vertAlign w:val="superscript"/>
              </w:rPr>
              <w:t xml:space="preserve">2 </w:t>
            </w:r>
            <w:r w:rsidRPr="00B073F0">
              <w:rPr>
                <w:rFonts w:asciiTheme="minorHAnsi" w:hAnsiTheme="minorHAnsi" w:cstheme="minorHAnsi"/>
                <w:sz w:val="22"/>
                <w:szCs w:val="22"/>
              </w:rPr>
              <w:t>in the exhibition area of the workshop (the main communication areas of the hospital's internal department),</w:t>
            </w:r>
          </w:p>
          <w:p w14:paraId="1CB94C7B" w14:textId="56A1C4BD" w:rsidR="003118C5" w:rsidRPr="00B073F0" w:rsidRDefault="00B073F0" w:rsidP="00B073F0">
            <w:pPr>
              <w:pStyle w:val="Odstavecseseznamem"/>
              <w:numPr>
                <w:ilvl w:val="0"/>
                <w:numId w:val="11"/>
              </w:numPr>
              <w:shd w:val="clear" w:color="auto" w:fill="FFFFFF"/>
              <w:spacing w:line="276" w:lineRule="auto"/>
              <w:ind w:left="708"/>
              <w:rPr>
                <w:rFonts w:asciiTheme="minorHAnsi" w:hAnsiTheme="minorHAnsi" w:cstheme="minorHAnsi"/>
                <w:sz w:val="22"/>
                <w:szCs w:val="22"/>
              </w:rPr>
            </w:pPr>
            <w:r w:rsidRPr="00B073F0">
              <w:rPr>
                <w:rFonts w:asciiTheme="minorHAnsi" w:hAnsiTheme="minorHAnsi" w:cstheme="minorHAnsi"/>
                <w:sz w:val="22"/>
                <w:szCs w:val="22"/>
              </w:rPr>
              <w:t>placement of the logo on the invitation and on the printed posters that will be placed in the lecture room</w:t>
            </w:r>
            <w:r w:rsidR="003118C5" w:rsidRPr="00B073F0">
              <w:rPr>
                <w:rFonts w:asciiTheme="minorHAnsi" w:hAnsiTheme="minorHAnsi" w:cstheme="minorHAnsi"/>
                <w:sz w:val="22"/>
                <w:szCs w:val="22"/>
              </w:rPr>
              <w:t>.</w:t>
            </w:r>
          </w:p>
          <w:p w14:paraId="274600C7" w14:textId="7556C465" w:rsidR="006412EE" w:rsidRPr="00B073F0" w:rsidRDefault="006412EE" w:rsidP="00B073F0">
            <w:pPr>
              <w:shd w:val="clear" w:color="auto" w:fill="FFFFFF"/>
              <w:spacing w:line="276" w:lineRule="auto"/>
              <w:rPr>
                <w:rFonts w:cstheme="minorHAnsi"/>
              </w:rPr>
            </w:pPr>
            <w:r w:rsidRPr="00B073F0">
              <w:rPr>
                <w:rFonts w:cstheme="minorHAnsi"/>
              </w:rPr>
              <w:t>/</w:t>
            </w:r>
          </w:p>
          <w:p w14:paraId="122C805E" w14:textId="77777777" w:rsidR="003118C5" w:rsidRPr="00B073F0" w:rsidRDefault="003118C5" w:rsidP="00B073F0">
            <w:pPr>
              <w:pStyle w:val="Odstavecseseznamem"/>
              <w:shd w:val="clear" w:color="auto" w:fill="FFFFFF"/>
              <w:spacing w:line="276" w:lineRule="auto"/>
              <w:rPr>
                <w:rFonts w:asciiTheme="minorHAnsi" w:hAnsiTheme="minorHAnsi" w:cstheme="minorHAnsi"/>
                <w:sz w:val="22"/>
                <w:szCs w:val="22"/>
                <w:highlight w:val="darkGray"/>
              </w:rPr>
            </w:pPr>
          </w:p>
          <w:p w14:paraId="2FB10C17" w14:textId="30546EC5" w:rsidR="00B073F0" w:rsidRPr="00643DDB" w:rsidRDefault="00B073F0" w:rsidP="00B073F0">
            <w:pPr>
              <w:pStyle w:val="Odstavecseseznamem"/>
              <w:numPr>
                <w:ilvl w:val="0"/>
                <w:numId w:val="10"/>
              </w:numPr>
              <w:shd w:val="clear" w:color="auto" w:fill="FFFFFF"/>
              <w:spacing w:line="276" w:lineRule="auto"/>
              <w:rPr>
                <w:rFonts w:asciiTheme="minorHAnsi" w:hAnsiTheme="minorHAnsi" w:cstheme="minorHAnsi"/>
                <w:sz w:val="22"/>
                <w:szCs w:val="22"/>
              </w:rPr>
            </w:pPr>
            <w:r w:rsidRPr="00643DDB">
              <w:rPr>
                <w:rFonts w:asciiTheme="minorHAnsi" w:hAnsiTheme="minorHAnsi" w:cstheme="minorHAnsi"/>
                <w:sz w:val="22"/>
                <w:szCs w:val="22"/>
              </w:rPr>
              <w:t xml:space="preserve">pronájem reklamní plochy – umístění stánku  velikosti 2 m2 v prostorách pořádání workshopu (hlavní komunikační prostory interního oddělení nemocnice), </w:t>
            </w:r>
          </w:p>
          <w:p w14:paraId="7607DD37" w14:textId="77777777" w:rsidR="003118C5" w:rsidRPr="00643DDB" w:rsidRDefault="00B073F0" w:rsidP="00B073F0">
            <w:pPr>
              <w:pStyle w:val="Odstavecseseznamem"/>
              <w:numPr>
                <w:ilvl w:val="0"/>
                <w:numId w:val="10"/>
              </w:numPr>
              <w:shd w:val="clear" w:color="auto" w:fill="FFFFFF"/>
              <w:spacing w:line="276" w:lineRule="auto"/>
              <w:rPr>
                <w:rFonts w:asciiTheme="minorHAnsi" w:hAnsiTheme="minorHAnsi" w:cstheme="minorHAnsi"/>
                <w:sz w:val="22"/>
                <w:szCs w:val="24"/>
              </w:rPr>
            </w:pPr>
            <w:r w:rsidRPr="00643DDB">
              <w:rPr>
                <w:rFonts w:asciiTheme="minorHAnsi" w:hAnsiTheme="minorHAnsi" w:cstheme="minorHAnsi"/>
                <w:sz w:val="22"/>
                <w:szCs w:val="22"/>
              </w:rPr>
              <w:t>umístění loga na pozvánce a na tištěných plakátech, které budou umístěné v přednáškové místnosti</w:t>
            </w:r>
          </w:p>
          <w:p w14:paraId="4398A9CF" w14:textId="77B32C22" w:rsidR="00B073F0" w:rsidRPr="00B073F0" w:rsidRDefault="00B073F0" w:rsidP="00B073F0">
            <w:pPr>
              <w:pStyle w:val="Odstavecseseznamem"/>
              <w:shd w:val="clear" w:color="auto" w:fill="FFFFFF"/>
              <w:spacing w:line="100" w:lineRule="atLeast"/>
              <w:ind w:left="720"/>
              <w:rPr>
                <w:rFonts w:cstheme="minorHAnsi"/>
                <w:szCs w:val="20"/>
              </w:rPr>
            </w:pPr>
          </w:p>
        </w:tc>
        <w:tc>
          <w:tcPr>
            <w:tcW w:w="4560" w:type="dxa"/>
          </w:tcPr>
          <w:p w14:paraId="00C55B48" w14:textId="77777777" w:rsidR="006412EE" w:rsidRPr="003118C5" w:rsidRDefault="006412EE" w:rsidP="00E31117">
            <w:pPr>
              <w:jc w:val="both"/>
              <w:rPr>
                <w:rFonts w:cstheme="minorHAnsi"/>
                <w:szCs w:val="20"/>
                <w:lang w:val="en-GB"/>
              </w:rPr>
            </w:pPr>
          </w:p>
          <w:p w14:paraId="236A7402" w14:textId="77777777" w:rsidR="003118C5" w:rsidRPr="003118C5" w:rsidRDefault="003118C5" w:rsidP="00E31117">
            <w:pPr>
              <w:jc w:val="both"/>
              <w:rPr>
                <w:rFonts w:cstheme="minorHAnsi"/>
                <w:szCs w:val="20"/>
                <w:lang w:val="en-GB"/>
              </w:rPr>
            </w:pPr>
          </w:p>
          <w:p w14:paraId="53F607B9" w14:textId="77777777" w:rsidR="003118C5" w:rsidRPr="003118C5" w:rsidRDefault="003118C5" w:rsidP="00E31117">
            <w:pPr>
              <w:jc w:val="both"/>
              <w:rPr>
                <w:rFonts w:cstheme="minorHAnsi"/>
                <w:szCs w:val="20"/>
                <w:lang w:val="en-GB"/>
              </w:rPr>
            </w:pPr>
          </w:p>
          <w:p w14:paraId="4889D1CC" w14:textId="77777777" w:rsidR="003118C5" w:rsidRPr="003118C5" w:rsidRDefault="003118C5" w:rsidP="00E31117">
            <w:pPr>
              <w:jc w:val="both"/>
              <w:rPr>
                <w:rFonts w:cstheme="minorHAnsi"/>
                <w:szCs w:val="20"/>
                <w:lang w:val="en-GB"/>
              </w:rPr>
            </w:pPr>
          </w:p>
          <w:p w14:paraId="0D725E6E" w14:textId="77777777" w:rsidR="003118C5" w:rsidRPr="003118C5" w:rsidRDefault="003118C5" w:rsidP="00E31117">
            <w:pPr>
              <w:jc w:val="both"/>
              <w:rPr>
                <w:rFonts w:cstheme="minorHAnsi"/>
                <w:szCs w:val="20"/>
                <w:lang w:val="en-GB"/>
              </w:rPr>
            </w:pPr>
          </w:p>
          <w:p w14:paraId="681A6FEC" w14:textId="77777777" w:rsidR="003118C5" w:rsidRPr="003118C5" w:rsidRDefault="003118C5" w:rsidP="00E31117">
            <w:pPr>
              <w:jc w:val="both"/>
              <w:rPr>
                <w:rFonts w:cstheme="minorHAnsi"/>
                <w:szCs w:val="20"/>
                <w:lang w:val="en-GB"/>
              </w:rPr>
            </w:pPr>
          </w:p>
          <w:p w14:paraId="35EC766B" w14:textId="77777777" w:rsidR="003118C5" w:rsidRPr="003118C5" w:rsidRDefault="003118C5" w:rsidP="00E31117">
            <w:pPr>
              <w:jc w:val="both"/>
              <w:rPr>
                <w:rFonts w:cstheme="minorHAnsi"/>
                <w:szCs w:val="20"/>
                <w:lang w:val="en-GB"/>
              </w:rPr>
            </w:pPr>
          </w:p>
          <w:p w14:paraId="32AB0FC6" w14:textId="77777777" w:rsidR="003118C5" w:rsidRPr="003118C5" w:rsidRDefault="003118C5" w:rsidP="00E31117">
            <w:pPr>
              <w:jc w:val="both"/>
              <w:rPr>
                <w:rFonts w:cstheme="minorHAnsi"/>
                <w:szCs w:val="20"/>
                <w:lang w:val="en-GB"/>
              </w:rPr>
            </w:pPr>
          </w:p>
          <w:p w14:paraId="08DF9BBB" w14:textId="77777777" w:rsidR="003118C5" w:rsidRPr="003118C5" w:rsidRDefault="003118C5" w:rsidP="00E31117">
            <w:pPr>
              <w:jc w:val="both"/>
              <w:rPr>
                <w:rFonts w:cstheme="minorHAnsi"/>
                <w:szCs w:val="20"/>
                <w:lang w:val="en-GB"/>
              </w:rPr>
            </w:pPr>
          </w:p>
          <w:p w14:paraId="360739B2" w14:textId="77777777" w:rsidR="003118C5" w:rsidRPr="003118C5" w:rsidRDefault="003118C5" w:rsidP="00E31117">
            <w:pPr>
              <w:jc w:val="both"/>
              <w:rPr>
                <w:rFonts w:cstheme="minorHAnsi"/>
                <w:szCs w:val="20"/>
                <w:lang w:val="en-GB"/>
              </w:rPr>
            </w:pPr>
          </w:p>
          <w:p w14:paraId="1F570792" w14:textId="77777777" w:rsidR="003118C5" w:rsidRPr="003118C5" w:rsidRDefault="003118C5" w:rsidP="00E31117">
            <w:pPr>
              <w:jc w:val="both"/>
              <w:rPr>
                <w:rFonts w:cstheme="minorHAnsi"/>
                <w:szCs w:val="20"/>
                <w:lang w:val="en-GB"/>
              </w:rPr>
            </w:pPr>
          </w:p>
          <w:p w14:paraId="52B74A08" w14:textId="418565FE" w:rsidR="003118C5" w:rsidRPr="003118C5" w:rsidRDefault="00297017" w:rsidP="00E31117">
            <w:pPr>
              <w:jc w:val="both"/>
              <w:rPr>
                <w:rFonts w:cstheme="minorHAnsi"/>
                <w:b/>
                <w:bCs/>
                <w:szCs w:val="20"/>
              </w:rPr>
            </w:pPr>
            <w:r>
              <w:rPr>
                <w:rFonts w:cstheme="minorHAnsi"/>
                <w:b/>
                <w:bCs/>
                <w:szCs w:val="20"/>
                <w:lang w:val="en-GB"/>
              </w:rPr>
              <w:t>50</w:t>
            </w:r>
            <w:r w:rsidR="003118C5" w:rsidRPr="003118C5">
              <w:rPr>
                <w:rFonts w:cstheme="minorHAnsi"/>
                <w:b/>
                <w:bCs/>
                <w:szCs w:val="20"/>
                <w:lang w:val="en-GB"/>
              </w:rPr>
              <w:t xml:space="preserve"> 000 ,- CZK + VAT/DPH</w:t>
            </w:r>
          </w:p>
        </w:tc>
      </w:tr>
    </w:tbl>
    <w:p w14:paraId="706815C3" w14:textId="77777777" w:rsidR="000700F3" w:rsidRDefault="000700F3"/>
    <w:tbl>
      <w:tblPr>
        <w:tblStyle w:val="Mkatabulky"/>
        <w:tblW w:w="0" w:type="auto"/>
        <w:tblLayout w:type="fixed"/>
        <w:tblLook w:val="04A0" w:firstRow="1" w:lastRow="0" w:firstColumn="1" w:lastColumn="0" w:noHBand="0" w:noVBand="1"/>
      </w:tblPr>
      <w:tblGrid>
        <w:gridCol w:w="4531"/>
        <w:gridCol w:w="4531"/>
      </w:tblGrid>
      <w:tr w:rsidR="000700F3" w14:paraId="79C6F191" w14:textId="77777777" w:rsidTr="00FD6150">
        <w:tc>
          <w:tcPr>
            <w:tcW w:w="4531" w:type="dxa"/>
          </w:tcPr>
          <w:p w14:paraId="6417D04D" w14:textId="26A02FF1" w:rsidR="000700F3" w:rsidRPr="001D2788" w:rsidRDefault="000700F3" w:rsidP="000700F3">
            <w:pPr>
              <w:ind w:left="720" w:hanging="720"/>
              <w:jc w:val="both"/>
              <w:rPr>
                <w:rFonts w:eastAsia="Calibri"/>
                <w:lang w:val="en-GB" w:eastAsia="en-US"/>
              </w:rPr>
            </w:pPr>
            <w:r w:rsidRPr="001D2788">
              <w:t>1.3</w:t>
            </w:r>
            <w:r w:rsidRPr="001D2788">
              <w:tab/>
            </w:r>
            <w:r w:rsidRPr="001D2788">
              <w:rPr>
                <w:lang w:val="en-GB"/>
              </w:rPr>
              <w:t xml:space="preserve">The Company undertakes to pay to the Organization the amount of </w:t>
            </w:r>
            <w:r w:rsidR="00297017">
              <w:rPr>
                <w:rFonts w:eastAsia="Calibri"/>
                <w:b/>
                <w:bCs/>
                <w:lang w:val="en-GB" w:eastAsia="en-US"/>
              </w:rPr>
              <w:t>fif</w:t>
            </w:r>
            <w:r w:rsidR="000C0F6F" w:rsidRPr="000C0F6F">
              <w:rPr>
                <w:rFonts w:eastAsia="Calibri"/>
                <w:b/>
                <w:bCs/>
                <w:lang w:val="en-GB" w:eastAsia="en-US"/>
              </w:rPr>
              <w:t>ty thousand</w:t>
            </w:r>
            <w:r w:rsidRPr="000C0F6F">
              <w:rPr>
                <w:rFonts w:eastAsia="Calibri"/>
                <w:b/>
                <w:bCs/>
                <w:lang w:val="en-GB" w:eastAsia="en-US"/>
              </w:rPr>
              <w:t>, (</w:t>
            </w:r>
            <w:r w:rsidR="00297017">
              <w:rPr>
                <w:rFonts w:eastAsia="Calibri"/>
                <w:b/>
                <w:bCs/>
                <w:lang w:val="en-GB" w:eastAsia="en-US"/>
              </w:rPr>
              <w:t>5</w:t>
            </w:r>
            <w:r w:rsidR="000C0F6F" w:rsidRPr="000C0F6F">
              <w:rPr>
                <w:rFonts w:eastAsia="Calibri"/>
                <w:b/>
                <w:bCs/>
                <w:lang w:val="en-GB" w:eastAsia="en-US"/>
              </w:rPr>
              <w:t xml:space="preserve">0 000,- CZK </w:t>
            </w:r>
            <w:r w:rsidRPr="000C0F6F">
              <w:rPr>
                <w:rFonts w:eastAsia="Calibri"/>
                <w:b/>
                <w:bCs/>
                <w:lang w:val="en-GB" w:eastAsia="en-US"/>
              </w:rPr>
              <w:t xml:space="preserve">) </w:t>
            </w:r>
            <w:r w:rsidR="000C0F6F" w:rsidRPr="000C0F6F">
              <w:rPr>
                <w:rFonts w:eastAsia="Calibri"/>
                <w:b/>
                <w:bCs/>
                <w:lang w:val="en-GB" w:eastAsia="en-US"/>
              </w:rPr>
              <w:t>Czech crowns</w:t>
            </w:r>
            <w:r w:rsidRPr="001D2788">
              <w:rPr>
                <w:rFonts w:eastAsia="Calibri"/>
                <w:lang w:val="en-GB" w:eastAsia="en-US"/>
              </w:rPr>
              <w:t xml:space="preserve"> </w:t>
            </w:r>
            <w:r w:rsidR="00B47FE3" w:rsidRPr="001D2788">
              <w:rPr>
                <w:rFonts w:eastAsia="Calibri"/>
                <w:lang w:val="en-GB" w:eastAsia="en-US"/>
              </w:rPr>
              <w:t xml:space="preserve">excluding VAT </w:t>
            </w:r>
            <w:r w:rsidRPr="001D2788">
              <w:rPr>
                <w:rFonts w:eastAsia="Calibri"/>
                <w:lang w:val="en-GB" w:eastAsia="en-US"/>
              </w:rPr>
              <w:t>(“the Funds”)</w:t>
            </w:r>
            <w:r w:rsidR="0059511E" w:rsidRPr="001D2788">
              <w:rPr>
                <w:rFonts w:eastAsia="Calibri"/>
                <w:lang w:val="en-GB" w:eastAsia="en-US"/>
              </w:rPr>
              <w:t xml:space="preserve"> on the basis of the invoice or invoices of the Organization, which the Organization is entitled to issue at the earliest on the date agreed in Clause 1.4. Each invoice shall comply with all the requirements of the applicable legislation, including the amount of the Funds plus VAT at the rate in force and applicable on the date of the taxable transaction, if VAT is applicable to the Funds. The Organization is also </w:t>
            </w:r>
            <w:r w:rsidR="0059511E" w:rsidRPr="001D2788">
              <w:rPr>
                <w:rFonts w:eastAsia="Calibri"/>
                <w:lang w:val="en-GB" w:eastAsia="en-US"/>
              </w:rPr>
              <w:lastRenderedPageBreak/>
              <w:t>entitled to send the invoice and other tax documents to the Company by email</w:t>
            </w:r>
            <w:r w:rsidRPr="001D2788">
              <w:rPr>
                <w:rFonts w:eastAsia="Calibri"/>
                <w:lang w:val="en-GB" w:eastAsia="en-US"/>
              </w:rPr>
              <w:t>.</w:t>
            </w:r>
          </w:p>
          <w:p w14:paraId="009EFA8F" w14:textId="77777777" w:rsidR="003251F6" w:rsidRPr="001D2788" w:rsidRDefault="003251F6" w:rsidP="000700F3">
            <w:pPr>
              <w:ind w:left="720" w:hanging="720"/>
              <w:jc w:val="both"/>
              <w:rPr>
                <w:rFonts w:eastAsia="Calibri"/>
                <w:lang w:val="en-GB" w:eastAsia="en-US"/>
              </w:rPr>
            </w:pPr>
          </w:p>
          <w:p w14:paraId="6DFEF898" w14:textId="7F4D920D" w:rsidR="000700F3" w:rsidRPr="001D2788" w:rsidRDefault="000700F3" w:rsidP="000700F3">
            <w:pPr>
              <w:ind w:left="720" w:hanging="720"/>
              <w:jc w:val="both"/>
              <w:rPr>
                <w:rFonts w:eastAsia="Calibri"/>
                <w:highlight w:val="yellow"/>
                <w:lang w:val="en-GB" w:eastAsia="en-US"/>
              </w:rPr>
            </w:pPr>
            <w:r w:rsidRPr="001D2788">
              <w:rPr>
                <w:rFonts w:eastAsia="Calibri"/>
                <w:lang w:val="en-GB" w:eastAsia="en-US"/>
              </w:rPr>
              <w:t xml:space="preserve">1.4 </w:t>
            </w:r>
            <w:r w:rsidRPr="001D2788">
              <w:rPr>
                <w:rFonts w:eastAsia="Calibri"/>
                <w:lang w:val="en-GB" w:eastAsia="en-US"/>
              </w:rPr>
              <w:tab/>
            </w:r>
            <w:r w:rsidR="00D647D2" w:rsidRPr="00690FE8">
              <w:rPr>
                <w:rFonts w:eastAsia="Calibri"/>
                <w:lang w:val="en-GB" w:eastAsia="en-US"/>
              </w:rPr>
              <w:t xml:space="preserve">The Company shall pay the Funds in a single payment based on an invoice that the Organization is authorized to issue no earlier than after the Event. The invoice shall be payable within 45 days of its delivery to the Company </w:t>
            </w:r>
            <w:r w:rsidRPr="00690FE8">
              <w:rPr>
                <w:rFonts w:eastAsia="Calibri"/>
                <w:lang w:val="en-GB" w:eastAsia="en-US"/>
              </w:rPr>
              <w:t xml:space="preserve">to the following account of the Organization: </w:t>
            </w:r>
          </w:p>
          <w:p w14:paraId="6993C558" w14:textId="77777777" w:rsidR="000700F3" w:rsidRPr="00690FE8" w:rsidRDefault="000700F3" w:rsidP="000700F3">
            <w:pPr>
              <w:ind w:left="720"/>
              <w:jc w:val="both"/>
              <w:rPr>
                <w:lang w:val="en-GB"/>
              </w:rPr>
            </w:pPr>
          </w:p>
          <w:p w14:paraId="6DCB5D6D" w14:textId="77777777" w:rsidR="00BD02D9" w:rsidRPr="00BD02D9" w:rsidRDefault="00BD02D9" w:rsidP="00BD02D9">
            <w:pPr>
              <w:ind w:left="720"/>
              <w:jc w:val="both"/>
              <w:rPr>
                <w:lang w:val="en-GB"/>
              </w:rPr>
            </w:pPr>
          </w:p>
          <w:p w14:paraId="2DCC19A2" w14:textId="192814F3" w:rsidR="00BD02D9" w:rsidRPr="00BD02D9" w:rsidRDefault="00BD02D9" w:rsidP="00BD02D9">
            <w:pPr>
              <w:ind w:left="720"/>
              <w:jc w:val="both"/>
              <w:rPr>
                <w:b/>
                <w:bCs/>
                <w:lang w:val="en-GB"/>
              </w:rPr>
            </w:pPr>
            <w:r w:rsidRPr="00BD02D9">
              <w:rPr>
                <w:lang w:val="en-GB"/>
              </w:rPr>
              <w:t xml:space="preserve">Account owner: </w:t>
            </w:r>
            <w:r w:rsidRPr="00BD02D9">
              <w:rPr>
                <w:b/>
                <w:bCs/>
                <w:lang w:val="en-GB"/>
              </w:rPr>
              <w:t>Nemocnice ve Frýdku-             Místku, p.o.</w:t>
            </w:r>
            <w:r w:rsidRPr="00BD02D9">
              <w:rPr>
                <w:b/>
                <w:bCs/>
                <w:lang w:val="en-GB"/>
              </w:rPr>
              <w:tab/>
            </w:r>
          </w:p>
          <w:p w14:paraId="0A001939" w14:textId="77777777" w:rsidR="00BD02D9" w:rsidRPr="00BD02D9" w:rsidRDefault="00BD02D9" w:rsidP="00BD02D9">
            <w:pPr>
              <w:ind w:left="720"/>
              <w:jc w:val="both"/>
              <w:rPr>
                <w:lang w:val="en-GB"/>
              </w:rPr>
            </w:pPr>
            <w:r w:rsidRPr="00BD02D9">
              <w:rPr>
                <w:lang w:val="en-GB"/>
              </w:rPr>
              <w:t>Bank: MONETA Money Bank</w:t>
            </w:r>
            <w:r w:rsidRPr="00BD02D9">
              <w:rPr>
                <w:lang w:val="en-GB"/>
              </w:rPr>
              <w:tab/>
            </w:r>
          </w:p>
          <w:p w14:paraId="40D44A1E" w14:textId="77777777" w:rsidR="00BD02D9" w:rsidRPr="00BD02D9" w:rsidRDefault="00BD02D9" w:rsidP="00BD02D9">
            <w:pPr>
              <w:ind w:left="720"/>
              <w:jc w:val="both"/>
              <w:rPr>
                <w:lang w:val="en-GB"/>
              </w:rPr>
            </w:pPr>
            <w:r w:rsidRPr="00BD02D9">
              <w:rPr>
                <w:lang w:val="en-GB"/>
              </w:rPr>
              <w:t>IBAN: CZ1606000001740063407764</w:t>
            </w:r>
          </w:p>
          <w:p w14:paraId="6B860F32" w14:textId="2B2C3365" w:rsidR="000700F3" w:rsidRPr="001D2788" w:rsidRDefault="00BD02D9" w:rsidP="00BD02D9">
            <w:pPr>
              <w:jc w:val="both"/>
              <w:rPr>
                <w:lang w:val="en-GB"/>
              </w:rPr>
            </w:pPr>
            <w:r w:rsidRPr="00BD02D9">
              <w:rPr>
                <w:lang w:val="en-GB"/>
              </w:rPr>
              <w:tab/>
              <w:t>BIC: AGBACZPP</w:t>
            </w:r>
            <w:r w:rsidRPr="00BD02D9">
              <w:rPr>
                <w:lang w:val="en-GB"/>
              </w:rPr>
              <w:tab/>
            </w:r>
            <w:r w:rsidR="000700F3" w:rsidRPr="001D2788">
              <w:rPr>
                <w:lang w:val="en-GB"/>
              </w:rPr>
              <w:tab/>
            </w:r>
          </w:p>
          <w:p w14:paraId="131C8EE5" w14:textId="77777777" w:rsidR="00FD6150" w:rsidRDefault="00FD6150" w:rsidP="00870DC7">
            <w:pPr>
              <w:ind w:left="720" w:hanging="720"/>
              <w:jc w:val="both"/>
              <w:rPr>
                <w:b/>
                <w:lang w:val="en-GB"/>
              </w:rPr>
            </w:pPr>
          </w:p>
          <w:p w14:paraId="4FF68DED" w14:textId="77777777" w:rsidR="00690FE8" w:rsidRPr="001D2788" w:rsidRDefault="00690FE8" w:rsidP="00870DC7">
            <w:pPr>
              <w:ind w:left="720" w:hanging="720"/>
              <w:jc w:val="both"/>
              <w:rPr>
                <w:b/>
                <w:lang w:val="en-GB"/>
              </w:rPr>
            </w:pPr>
          </w:p>
          <w:p w14:paraId="49A2A648" w14:textId="4BC2F5C6" w:rsidR="000700F3" w:rsidRPr="001D2788" w:rsidRDefault="000700F3" w:rsidP="000700F3">
            <w:pPr>
              <w:jc w:val="both"/>
              <w:rPr>
                <w:b/>
                <w:lang w:val="en-GB"/>
              </w:rPr>
            </w:pPr>
            <w:r w:rsidRPr="001D2788">
              <w:rPr>
                <w:b/>
                <w:lang w:val="en-GB"/>
              </w:rPr>
              <w:t xml:space="preserve">Article 2 – Compliance with MedTech Europe Code of </w:t>
            </w:r>
            <w:r w:rsidR="00D909E3" w:rsidRPr="001D2788">
              <w:rPr>
                <w:b/>
                <w:lang w:val="en-GB"/>
              </w:rPr>
              <w:t xml:space="preserve">Ethical </w:t>
            </w:r>
            <w:r w:rsidRPr="001D2788">
              <w:rPr>
                <w:b/>
                <w:lang w:val="en-GB"/>
              </w:rPr>
              <w:t xml:space="preserve">Business Practice </w:t>
            </w:r>
          </w:p>
          <w:p w14:paraId="7FD1EFBE" w14:textId="4BF3244C" w:rsidR="000700F3" w:rsidRPr="001D2788" w:rsidRDefault="000700F3" w:rsidP="000700F3">
            <w:pPr>
              <w:ind w:left="720" w:hanging="720"/>
              <w:jc w:val="both"/>
              <w:rPr>
                <w:lang w:val="en-GB"/>
              </w:rPr>
            </w:pPr>
            <w:r w:rsidRPr="001D2788">
              <w:rPr>
                <w:lang w:val="en-GB"/>
              </w:rPr>
              <w:t>2.1</w:t>
            </w:r>
            <w:r w:rsidRPr="001D2788">
              <w:rPr>
                <w:lang w:val="en-GB"/>
              </w:rPr>
              <w:tab/>
              <w:t xml:space="preserve">The Organization shall use the Funds solely and exclusively for the purposes of organizing the Event and the Organization undertakes to use the Funds in accordance with the </w:t>
            </w:r>
            <w:hyperlink r:id="rId8" w:history="1">
              <w:r w:rsidRPr="001D2788">
                <w:rPr>
                  <w:rStyle w:val="Hypertextovodkaz"/>
                  <w:lang w:val="en-GB"/>
                </w:rPr>
                <w:t>MedTech Europe Code of</w:t>
              </w:r>
              <w:r w:rsidR="00A112AC" w:rsidRPr="001D2788">
                <w:rPr>
                  <w:rStyle w:val="Hypertextovodkaz"/>
                  <w:lang w:val="en-GB"/>
                </w:rPr>
                <w:t xml:space="preserve"> Ethical</w:t>
              </w:r>
              <w:r w:rsidRPr="001D2788">
                <w:rPr>
                  <w:rStyle w:val="Hypertextovodkaz"/>
                  <w:lang w:val="en-GB"/>
                </w:rPr>
                <w:t xml:space="preserve"> Business Practice</w:t>
              </w:r>
            </w:hyperlink>
            <w:r w:rsidR="00A112AC" w:rsidRPr="001D2788">
              <w:rPr>
                <w:rStyle w:val="Hypertextovodkaz"/>
                <w:lang w:val="en-GB"/>
              </w:rPr>
              <w:t xml:space="preserve"> (the "</w:t>
            </w:r>
            <w:r w:rsidR="00A112AC" w:rsidRPr="001D2788">
              <w:rPr>
                <w:rStyle w:val="Hypertextovodkaz"/>
                <w:b/>
                <w:bCs/>
                <w:lang w:val="en-GB"/>
              </w:rPr>
              <w:t>Code</w:t>
            </w:r>
            <w:r w:rsidR="00A112AC" w:rsidRPr="001D2788">
              <w:rPr>
                <w:rStyle w:val="Hypertextovodkaz"/>
                <w:lang w:val="en-GB"/>
              </w:rPr>
              <w:t>”)</w:t>
            </w:r>
            <w:r w:rsidRPr="001D2788">
              <w:rPr>
                <w:lang w:val="en-GB"/>
              </w:rPr>
              <w:t xml:space="preserve"> and all applicable laws, regulations and country-specific industry codes of conduct. The Organization shall not use the Funds for activities that are prohibited in the Code, such as entertainment, leisure, or social events or for accompanying persons (such as personal accompanying guests) of the participants.</w:t>
            </w:r>
          </w:p>
          <w:p w14:paraId="33E75930" w14:textId="3EEDE58E" w:rsidR="000700F3" w:rsidRPr="001D2788" w:rsidRDefault="000700F3" w:rsidP="000700F3">
            <w:pPr>
              <w:ind w:left="720" w:hanging="720"/>
              <w:jc w:val="both"/>
              <w:rPr>
                <w:lang w:val="en-GB"/>
              </w:rPr>
            </w:pPr>
            <w:r w:rsidRPr="001D2788">
              <w:rPr>
                <w:lang w:val="en-GB"/>
              </w:rPr>
              <w:t>2.2</w:t>
            </w:r>
            <w:r w:rsidRPr="001D2788">
              <w:rPr>
                <w:lang w:val="en-GB"/>
              </w:rPr>
              <w:tab/>
              <w:t xml:space="preserve">Where applicable, the Event must be approved by the </w:t>
            </w:r>
            <w:hyperlink r:id="rId9" w:history="1">
              <w:r w:rsidRPr="001D2788">
                <w:rPr>
                  <w:rStyle w:val="Hypertextovodkaz"/>
                  <w:lang w:val="en-GB"/>
                </w:rPr>
                <w:t>EthicalMedTech Conference Vetting System</w:t>
              </w:r>
            </w:hyperlink>
            <w:r w:rsidRPr="001D2788">
              <w:rPr>
                <w:lang w:val="en-GB"/>
              </w:rPr>
              <w:t xml:space="preserve"> prior to any of the Funds being used for the Event. </w:t>
            </w:r>
            <w:r w:rsidR="001F5A24">
              <w:rPr>
                <w:lang w:val="en-GB"/>
              </w:rPr>
              <w:t>T</w:t>
            </w:r>
            <w:r w:rsidRPr="001D2788">
              <w:rPr>
                <w:lang w:val="en-GB"/>
              </w:rPr>
              <w:t>he Organization</w:t>
            </w:r>
            <w:r w:rsidR="001F5A24">
              <w:rPr>
                <w:lang w:val="en-GB"/>
              </w:rPr>
              <w:t xml:space="preserve"> is required</w:t>
            </w:r>
            <w:r w:rsidRPr="001D2788">
              <w:rPr>
                <w:lang w:val="en-GB"/>
              </w:rPr>
              <w:t xml:space="preserve"> to submit the Event for the assessment under the EthicalMedtech Conference Vetting System and to provide evidence of the written approval of the EthicalMedtech Conference Vetting System to the Company upon request.</w:t>
            </w:r>
          </w:p>
          <w:p w14:paraId="4D55685E" w14:textId="77777777" w:rsidR="000700F3" w:rsidRPr="001D2788" w:rsidRDefault="000700F3" w:rsidP="000700F3">
            <w:pPr>
              <w:ind w:left="720" w:hanging="720"/>
              <w:jc w:val="both"/>
              <w:rPr>
                <w:lang w:val="en-GB"/>
              </w:rPr>
            </w:pPr>
            <w:r w:rsidRPr="001D2788">
              <w:rPr>
                <w:lang w:val="en-GB"/>
              </w:rPr>
              <w:t>2.3</w:t>
            </w:r>
            <w:r w:rsidRPr="001D2788">
              <w:rPr>
                <w:lang w:val="en-GB"/>
              </w:rPr>
              <w:tab/>
              <w:t xml:space="preserve">The Parties specifically agree that the provision of the Funds is not implicitly or explicitly linked to an agreement for the Organization to purchase, lease, recommend, prescribe, use, supply or </w:t>
            </w:r>
            <w:r w:rsidRPr="001D2788">
              <w:rPr>
                <w:lang w:val="en-GB"/>
              </w:rPr>
              <w:lastRenderedPageBreak/>
              <w:t>procure the Company’s products or services or used to reward past purchases, uses, orders recommendations, or referrals.</w:t>
            </w:r>
          </w:p>
          <w:p w14:paraId="6091C77F" w14:textId="77777777" w:rsidR="000700F3" w:rsidRPr="001D2788" w:rsidRDefault="000700F3" w:rsidP="000700F3">
            <w:pPr>
              <w:keepNext/>
              <w:keepLines/>
              <w:jc w:val="both"/>
              <w:rPr>
                <w:b/>
                <w:lang w:val="en-GB"/>
              </w:rPr>
            </w:pPr>
          </w:p>
          <w:p w14:paraId="1EC66AE3" w14:textId="4B5DD946" w:rsidR="000700F3" w:rsidRPr="001D2788" w:rsidRDefault="000700F3" w:rsidP="000700F3">
            <w:pPr>
              <w:keepNext/>
              <w:keepLines/>
              <w:jc w:val="both"/>
              <w:rPr>
                <w:b/>
                <w:lang w:val="en-GB"/>
              </w:rPr>
            </w:pPr>
            <w:r w:rsidRPr="001D2788">
              <w:rPr>
                <w:b/>
                <w:lang w:val="en-GB"/>
              </w:rPr>
              <w:t>Article 3 – Duration</w:t>
            </w:r>
          </w:p>
          <w:p w14:paraId="3CFF5584" w14:textId="478C446A" w:rsidR="000700F3" w:rsidRPr="001D2788" w:rsidRDefault="000700F3" w:rsidP="000700F3">
            <w:pPr>
              <w:keepNext/>
              <w:keepLines/>
              <w:jc w:val="both"/>
              <w:rPr>
                <w:lang w:val="en-GB"/>
              </w:rPr>
            </w:pPr>
            <w:r w:rsidRPr="001D2788">
              <w:rPr>
                <w:lang w:val="en-GB"/>
              </w:rPr>
              <w:t xml:space="preserve">This Agreement </w:t>
            </w:r>
            <w:r w:rsidR="00B23CA4" w:rsidRPr="001D2788">
              <w:rPr>
                <w:lang w:val="en-GB"/>
              </w:rPr>
              <w:t xml:space="preserve">is concluded for a definite period of time, until the end </w:t>
            </w:r>
            <w:r w:rsidRPr="001D2788">
              <w:rPr>
                <w:lang w:val="en-GB"/>
              </w:rPr>
              <w:t xml:space="preserve">of the Event. </w:t>
            </w:r>
          </w:p>
          <w:p w14:paraId="1D072FDD" w14:textId="77777777" w:rsidR="00317393" w:rsidRPr="001D2788" w:rsidRDefault="00317393" w:rsidP="000700F3">
            <w:pPr>
              <w:keepNext/>
              <w:keepLines/>
              <w:jc w:val="both"/>
              <w:rPr>
                <w:b/>
                <w:lang w:val="en-GB"/>
              </w:rPr>
            </w:pPr>
          </w:p>
          <w:p w14:paraId="37C3EFED" w14:textId="3814972D" w:rsidR="000700F3" w:rsidRPr="001D2788" w:rsidRDefault="000700F3" w:rsidP="000700F3">
            <w:pPr>
              <w:keepNext/>
              <w:keepLines/>
              <w:jc w:val="both"/>
              <w:rPr>
                <w:b/>
                <w:lang w:val="en-GB"/>
              </w:rPr>
            </w:pPr>
            <w:r w:rsidRPr="001D2788">
              <w:rPr>
                <w:b/>
                <w:lang w:val="en-GB"/>
              </w:rPr>
              <w:t>Article 4 – Termination</w:t>
            </w:r>
          </w:p>
          <w:p w14:paraId="72D82B3D" w14:textId="77777777" w:rsidR="000700F3" w:rsidRPr="001D2788" w:rsidRDefault="000700F3" w:rsidP="000700F3">
            <w:pPr>
              <w:jc w:val="both"/>
              <w:rPr>
                <w:lang w:val="en-GB"/>
              </w:rPr>
            </w:pPr>
            <w:r w:rsidRPr="001D2788">
              <w:rPr>
                <w:lang w:val="en-GB"/>
              </w:rPr>
              <w:t>The Company will have the right to terminate this Agreement effective immediately at any time by written notice:</w:t>
            </w:r>
          </w:p>
          <w:p w14:paraId="69FFC2B0" w14:textId="77777777" w:rsidR="000700F3" w:rsidRPr="001D2788" w:rsidRDefault="000700F3" w:rsidP="000700F3">
            <w:pPr>
              <w:pStyle w:val="Odstavecseseznamem"/>
              <w:numPr>
                <w:ilvl w:val="0"/>
                <w:numId w:val="1"/>
              </w:numPr>
              <w:rPr>
                <w:rFonts w:asciiTheme="minorHAnsi" w:hAnsiTheme="minorHAnsi" w:cstheme="minorHAnsi"/>
                <w:sz w:val="22"/>
                <w:szCs w:val="22"/>
                <w:lang w:val="en-GB"/>
              </w:rPr>
            </w:pPr>
            <w:r w:rsidRPr="001D2788">
              <w:rPr>
                <w:rFonts w:asciiTheme="minorHAnsi" w:hAnsiTheme="minorHAnsi" w:cstheme="minorHAnsi"/>
                <w:sz w:val="22"/>
                <w:szCs w:val="22"/>
                <w:lang w:val="en-GB"/>
              </w:rPr>
              <w:t xml:space="preserve">When a material breach by the Organization is not cured by the Organization within thirty (30) calendar days after receipt of written notice of breach from the Company. In that event, the Organization shall return within thirty (30) calendar days the balance of the Funds remaining as of the effective date of termination along with a detailed account of the Funds already spent; or </w:t>
            </w:r>
          </w:p>
          <w:p w14:paraId="13DCB9C6" w14:textId="77777777" w:rsidR="000700F3" w:rsidRPr="001D2788" w:rsidRDefault="000700F3" w:rsidP="000700F3">
            <w:pPr>
              <w:pStyle w:val="Odstavecseseznamem"/>
              <w:numPr>
                <w:ilvl w:val="0"/>
                <w:numId w:val="1"/>
              </w:numPr>
              <w:rPr>
                <w:rFonts w:asciiTheme="minorHAnsi" w:hAnsiTheme="minorHAnsi" w:cstheme="minorHAnsi"/>
                <w:sz w:val="22"/>
                <w:szCs w:val="22"/>
                <w:lang w:val="en-GB"/>
              </w:rPr>
            </w:pPr>
            <w:r w:rsidRPr="001D2788">
              <w:rPr>
                <w:rFonts w:asciiTheme="minorHAnsi" w:hAnsiTheme="minorHAnsi" w:cstheme="minorHAnsi"/>
                <w:sz w:val="22"/>
                <w:szCs w:val="22"/>
                <w:lang w:val="en-GB"/>
              </w:rPr>
              <w:t xml:space="preserve">In case of gross negligence, misrepresentation or willful misconduct by the Organization. In that event, the Organization shall return within thirty (30) days the balance of the Funds remaining as of the effective date of termination along with a detailed account of the Funds already spent; or </w:t>
            </w:r>
          </w:p>
          <w:p w14:paraId="15CFA09F" w14:textId="63B5E26C" w:rsidR="000700F3" w:rsidRPr="001D2788" w:rsidRDefault="000700F3" w:rsidP="000700F3">
            <w:pPr>
              <w:pStyle w:val="Odstavecseseznamem"/>
              <w:numPr>
                <w:ilvl w:val="0"/>
                <w:numId w:val="1"/>
              </w:numPr>
              <w:rPr>
                <w:rFonts w:asciiTheme="minorHAnsi" w:hAnsiTheme="minorHAnsi" w:cstheme="minorHAnsi"/>
                <w:sz w:val="22"/>
                <w:szCs w:val="22"/>
                <w:lang w:val="en-GB"/>
              </w:rPr>
            </w:pPr>
            <w:r w:rsidRPr="001D2788">
              <w:rPr>
                <w:rFonts w:asciiTheme="minorHAnsi" w:hAnsiTheme="minorHAnsi" w:cstheme="minorHAnsi"/>
                <w:sz w:val="22"/>
                <w:szCs w:val="22"/>
                <w:lang w:val="en-GB"/>
              </w:rPr>
              <w:t>When the Event is not approved via the EthicalMedtech Conference Vetting System</w:t>
            </w:r>
            <w:r w:rsidR="001F5A24">
              <w:rPr>
                <w:rFonts w:asciiTheme="minorHAnsi" w:hAnsiTheme="minorHAnsi" w:cstheme="minorHAnsi"/>
                <w:sz w:val="22"/>
                <w:szCs w:val="22"/>
                <w:lang w:val="en-GB"/>
              </w:rPr>
              <w:t>, if approval is required</w:t>
            </w:r>
            <w:r w:rsidRPr="001D2788">
              <w:rPr>
                <w:rFonts w:asciiTheme="minorHAnsi" w:hAnsiTheme="minorHAnsi" w:cstheme="minorHAnsi"/>
                <w:sz w:val="22"/>
                <w:szCs w:val="22"/>
                <w:lang w:val="en-GB"/>
              </w:rPr>
              <w:t xml:space="preserve">, or has been found to not comply with the provisions of the Code, in particular, but not limited to Chapter 1 “General Criteria for Events” and 2, “Third Party Organized Educational Events”. In that event, </w:t>
            </w:r>
            <w:r w:rsidR="001F5A24">
              <w:rPr>
                <w:rFonts w:asciiTheme="minorHAnsi" w:hAnsiTheme="minorHAnsi" w:cstheme="minorHAnsi"/>
                <w:sz w:val="22"/>
                <w:szCs w:val="22"/>
                <w:lang w:val="en-GB"/>
              </w:rPr>
              <w:t>the Company shall not be obliged to reimburse</w:t>
            </w:r>
            <w:r w:rsidR="000E042A">
              <w:rPr>
                <w:rFonts w:asciiTheme="minorHAnsi" w:hAnsiTheme="minorHAnsi" w:cstheme="minorHAnsi"/>
                <w:sz w:val="22"/>
                <w:szCs w:val="22"/>
                <w:lang w:val="en-GB"/>
              </w:rPr>
              <w:t xml:space="preserve"> </w:t>
            </w:r>
            <w:r w:rsidRPr="001D2788">
              <w:rPr>
                <w:rFonts w:asciiTheme="minorHAnsi" w:hAnsiTheme="minorHAnsi" w:cstheme="minorHAnsi"/>
                <w:sz w:val="22"/>
                <w:szCs w:val="22"/>
                <w:lang w:val="en-GB"/>
              </w:rPr>
              <w:t>any unpaid Funds and the Organization shall refund the amounts that have already been paid by the Company; or</w:t>
            </w:r>
          </w:p>
          <w:p w14:paraId="5951B65F" w14:textId="53BC4457" w:rsidR="000700F3" w:rsidRPr="001D2788" w:rsidRDefault="000700F3" w:rsidP="000700F3">
            <w:pPr>
              <w:pStyle w:val="Odstavecseseznamem"/>
              <w:numPr>
                <w:ilvl w:val="0"/>
                <w:numId w:val="1"/>
              </w:numPr>
              <w:rPr>
                <w:rFonts w:asciiTheme="minorHAnsi" w:hAnsiTheme="minorHAnsi" w:cstheme="minorHAnsi"/>
                <w:sz w:val="22"/>
                <w:szCs w:val="22"/>
                <w:lang w:val="en-GB"/>
              </w:rPr>
            </w:pPr>
            <w:r w:rsidRPr="001D2788">
              <w:rPr>
                <w:rFonts w:asciiTheme="minorHAnsi" w:hAnsiTheme="minorHAnsi" w:cstheme="minorHAnsi"/>
                <w:sz w:val="22"/>
                <w:szCs w:val="22"/>
                <w:lang w:val="en-GB"/>
              </w:rPr>
              <w:lastRenderedPageBreak/>
              <w:t xml:space="preserve">When the Event has been cancelled by the Organization. In that case, </w:t>
            </w:r>
            <w:r w:rsidR="000E042A">
              <w:rPr>
                <w:rFonts w:asciiTheme="minorHAnsi" w:hAnsiTheme="minorHAnsi" w:cstheme="minorHAnsi"/>
                <w:sz w:val="22"/>
                <w:szCs w:val="22"/>
                <w:lang w:val="en-GB"/>
              </w:rPr>
              <w:t>the Company shall not be obliged to reimburse any unpaid Funds</w:t>
            </w:r>
            <w:r w:rsidRPr="001D2788">
              <w:rPr>
                <w:rFonts w:asciiTheme="minorHAnsi" w:hAnsiTheme="minorHAnsi" w:cstheme="minorHAnsi"/>
                <w:sz w:val="22"/>
                <w:szCs w:val="22"/>
                <w:lang w:val="en-GB"/>
              </w:rPr>
              <w:t xml:space="preserve">. In case the Company already paid parts or the totality of the Funds, the Organization shall refund those Funds, except if the Event has been cancelled because of force majeure. </w:t>
            </w:r>
          </w:p>
          <w:p w14:paraId="2ECE46B6" w14:textId="77777777" w:rsidR="000700F3" w:rsidRPr="001D2788" w:rsidRDefault="000700F3" w:rsidP="000700F3">
            <w:pPr>
              <w:pStyle w:val="Odstavecseseznamem"/>
              <w:numPr>
                <w:ilvl w:val="0"/>
                <w:numId w:val="1"/>
              </w:numPr>
              <w:rPr>
                <w:rFonts w:asciiTheme="minorHAnsi" w:hAnsiTheme="minorHAnsi" w:cstheme="minorHAnsi"/>
                <w:sz w:val="22"/>
                <w:szCs w:val="22"/>
                <w:lang w:val="en-GB"/>
              </w:rPr>
            </w:pPr>
            <w:r w:rsidRPr="001D2788">
              <w:rPr>
                <w:rFonts w:asciiTheme="minorHAnsi" w:hAnsiTheme="minorHAnsi" w:cstheme="minorHAnsi"/>
                <w:sz w:val="22"/>
                <w:szCs w:val="22"/>
                <w:lang w:val="en-GB"/>
              </w:rPr>
              <w:t>In case the Company decides to terminate this Agreement, the Organization shall use its best efforts to remove any mention of the Company in its sponsoring capacity, whenever technically feasible.</w:t>
            </w:r>
          </w:p>
          <w:p w14:paraId="5F515309" w14:textId="77777777" w:rsidR="00417428" w:rsidRPr="001D2788" w:rsidRDefault="00417428" w:rsidP="000700F3">
            <w:pPr>
              <w:tabs>
                <w:tab w:val="right" w:pos="9361"/>
              </w:tabs>
              <w:jc w:val="both"/>
              <w:rPr>
                <w:b/>
                <w:lang w:val="en-GB"/>
              </w:rPr>
            </w:pPr>
          </w:p>
          <w:p w14:paraId="4DEB5F94" w14:textId="08F8736A" w:rsidR="00417428" w:rsidRPr="001D2788" w:rsidRDefault="00417428" w:rsidP="00417428">
            <w:pPr>
              <w:tabs>
                <w:tab w:val="right" w:pos="9361"/>
              </w:tabs>
              <w:jc w:val="both"/>
              <w:rPr>
                <w:rFonts w:cs="Arial"/>
                <w:b/>
                <w:lang w:val="en-GB"/>
              </w:rPr>
            </w:pPr>
            <w:r w:rsidRPr="001D2788">
              <w:rPr>
                <w:rFonts w:cs="Arial"/>
                <w:b/>
                <w:lang w:val="en-GB"/>
              </w:rPr>
              <w:t xml:space="preserve">Article </w:t>
            </w:r>
            <w:r w:rsidR="003E4D23" w:rsidRPr="001D2788">
              <w:rPr>
                <w:rFonts w:cs="Arial"/>
                <w:b/>
                <w:lang w:val="en-GB"/>
              </w:rPr>
              <w:t>5</w:t>
            </w:r>
            <w:r w:rsidRPr="001D2788">
              <w:rPr>
                <w:rFonts w:cs="Arial"/>
                <w:b/>
                <w:lang w:val="en-GB"/>
              </w:rPr>
              <w:t xml:space="preserve"> – Personal Data Processing</w:t>
            </w:r>
            <w:r w:rsidRPr="001D2788">
              <w:rPr>
                <w:rFonts w:cs="Arial"/>
                <w:b/>
                <w:lang w:val="en-GB"/>
              </w:rPr>
              <w:tab/>
            </w:r>
          </w:p>
          <w:p w14:paraId="59BE8C67" w14:textId="3E7069B9" w:rsidR="00417428" w:rsidRPr="001D2788" w:rsidRDefault="003E4D23" w:rsidP="00417428">
            <w:pPr>
              <w:ind w:left="720" w:hanging="720"/>
              <w:jc w:val="both"/>
              <w:rPr>
                <w:rFonts w:cs="Arial"/>
                <w:lang w:val="en-GB"/>
              </w:rPr>
            </w:pPr>
            <w:r w:rsidRPr="001D2788">
              <w:rPr>
                <w:rFonts w:cs="Arial"/>
                <w:lang w:val="en-GB"/>
              </w:rPr>
              <w:t>5</w:t>
            </w:r>
            <w:r w:rsidR="00417428" w:rsidRPr="001D2788">
              <w:rPr>
                <w:rFonts w:cs="Arial"/>
                <w:lang w:val="en-GB"/>
              </w:rPr>
              <w:t>.1</w:t>
            </w:r>
            <w:r w:rsidR="00417428" w:rsidRPr="001D2788">
              <w:rPr>
                <w:rFonts w:cs="Arial"/>
                <w:lang w:val="en-GB"/>
              </w:rPr>
              <w:tab/>
            </w:r>
            <w:r w:rsidRPr="001D2788">
              <w:rPr>
                <w:rFonts w:cs="Arial"/>
                <w:lang w:val="en-GB"/>
              </w:rPr>
              <w:t>Both Parties acknowledge that information which each Party provides or which is obtained in the course of the Agreement may constitute personal data (“Representative Personal Data”), and will in such cases be held by each party in accordance with applicable data protection laws</w:t>
            </w:r>
            <w:r w:rsidR="00417428" w:rsidRPr="001D2788">
              <w:rPr>
                <w:rFonts w:cs="Arial"/>
                <w:lang w:val="en-GB"/>
              </w:rPr>
              <w:t>.</w:t>
            </w:r>
          </w:p>
          <w:p w14:paraId="7E1D2AE0" w14:textId="7994AB3B" w:rsidR="00417428" w:rsidRPr="001D2788" w:rsidRDefault="003E4D23" w:rsidP="00417428">
            <w:pPr>
              <w:ind w:left="720" w:hanging="720"/>
              <w:jc w:val="both"/>
              <w:rPr>
                <w:rFonts w:cs="Arial"/>
                <w:lang w:val="en-GB"/>
              </w:rPr>
            </w:pPr>
            <w:r w:rsidRPr="001D2788">
              <w:rPr>
                <w:rFonts w:cs="Arial"/>
                <w:lang w:val="en-GB"/>
              </w:rPr>
              <w:t>5</w:t>
            </w:r>
            <w:r w:rsidR="00417428" w:rsidRPr="001D2788">
              <w:rPr>
                <w:rFonts w:cs="Arial"/>
                <w:lang w:val="en-GB"/>
              </w:rPr>
              <w:t>.2</w:t>
            </w:r>
            <w:r w:rsidR="00417428" w:rsidRPr="001D2788">
              <w:rPr>
                <w:rFonts w:cs="Arial"/>
                <w:lang w:val="en-GB"/>
              </w:rPr>
              <w:tab/>
              <w:t>Each Party will collect, process, and store the Representative Personal Data for the purpose of administrating the contractual relationship as agreed in this Agreement. Such processing will be performed on the basis of the necessity of processing for the performance of the Agreement. The Representative Personal Data may include the names and contact details of the representatives of the Parties signing this Agreement.</w:t>
            </w:r>
          </w:p>
          <w:p w14:paraId="4002BCF3" w14:textId="5779EC25" w:rsidR="00417428" w:rsidRPr="001D2788" w:rsidRDefault="003E4D23" w:rsidP="00417428">
            <w:pPr>
              <w:ind w:left="720" w:hanging="720"/>
              <w:jc w:val="both"/>
              <w:rPr>
                <w:rFonts w:cs="Arial"/>
                <w:lang w:val="en-GB"/>
              </w:rPr>
            </w:pPr>
            <w:r w:rsidRPr="001D2788">
              <w:rPr>
                <w:rFonts w:cs="Arial"/>
                <w:lang w:val="en-GB"/>
              </w:rPr>
              <w:t>5</w:t>
            </w:r>
            <w:r w:rsidR="00417428" w:rsidRPr="001D2788">
              <w:rPr>
                <w:rFonts w:cs="Arial"/>
                <w:lang w:val="en-GB"/>
              </w:rPr>
              <w:t>.3</w:t>
            </w:r>
            <w:r w:rsidR="00417428" w:rsidRPr="001D2788">
              <w:rPr>
                <w:rFonts w:cs="Arial"/>
                <w:lang w:val="en-GB"/>
              </w:rPr>
              <w:tab/>
              <w:t xml:space="preserve">Parties may make the Representative Personal Data available to business partners, suppliers, contractors, and affiliated entities anywhere in the world, insofar as this is required for the purposes of the Agreement. Where the Representative Personal Data is transferred outside the European Economic Area, both Parties will take appropriate steps to provide for adequate legal safeguards for the safety and security of the Representative </w:t>
            </w:r>
            <w:r w:rsidR="00417428" w:rsidRPr="001D2788">
              <w:rPr>
                <w:rFonts w:cs="Arial"/>
                <w:lang w:val="en-GB"/>
              </w:rPr>
              <w:lastRenderedPageBreak/>
              <w:t>Personal Data to a level equivalent to that provided by applicable data protection law in the European Economic Area.</w:t>
            </w:r>
          </w:p>
          <w:p w14:paraId="44178D92" w14:textId="7896A826" w:rsidR="00417428" w:rsidRPr="001D2788" w:rsidRDefault="003E4D23" w:rsidP="00417428">
            <w:pPr>
              <w:ind w:left="720" w:hanging="720"/>
              <w:jc w:val="both"/>
              <w:rPr>
                <w:rFonts w:cs="Arial"/>
                <w:lang w:val="en-GB"/>
              </w:rPr>
            </w:pPr>
            <w:r w:rsidRPr="001D2788">
              <w:rPr>
                <w:rFonts w:cs="Arial"/>
                <w:lang w:val="en-GB"/>
              </w:rPr>
              <w:t>5</w:t>
            </w:r>
            <w:r w:rsidR="00417428" w:rsidRPr="001D2788">
              <w:rPr>
                <w:rFonts w:cs="Arial"/>
                <w:lang w:val="en-GB"/>
              </w:rPr>
              <w:t>.4</w:t>
            </w:r>
            <w:r w:rsidR="00417428" w:rsidRPr="001D2788">
              <w:rPr>
                <w:rFonts w:cs="Arial"/>
                <w:lang w:val="en-GB"/>
              </w:rPr>
              <w:tab/>
              <w:t xml:space="preserve">The Personal data will only be processed for as long as required under applicable laws to achieve the purposes listed in </w:t>
            </w:r>
            <w:r w:rsidR="0011380B" w:rsidRPr="001D2788">
              <w:rPr>
                <w:rFonts w:cs="Arial"/>
                <w:lang w:val="en-GB"/>
              </w:rPr>
              <w:t>Clause</w:t>
            </w:r>
            <w:r w:rsidR="00417428" w:rsidRPr="001D2788">
              <w:rPr>
                <w:rFonts w:cs="Arial"/>
                <w:lang w:val="en-GB"/>
              </w:rPr>
              <w:t xml:space="preserve"> </w:t>
            </w:r>
            <w:r w:rsidRPr="001D2788">
              <w:rPr>
                <w:rFonts w:cs="Arial"/>
                <w:lang w:val="en-GB"/>
              </w:rPr>
              <w:t>5</w:t>
            </w:r>
            <w:r w:rsidR="00417428" w:rsidRPr="001D2788">
              <w:rPr>
                <w:rFonts w:cs="Arial"/>
                <w:lang w:val="en-GB"/>
              </w:rPr>
              <w:t>.2. Both Parties will take the technical and organizational measures necessary to ensure an adequate level of protection against unauthorized access or theft as well as accidental loss, tampering, or destruction.</w:t>
            </w:r>
          </w:p>
          <w:p w14:paraId="569EE4F7" w14:textId="1203404D" w:rsidR="00417428" w:rsidRPr="001D2788" w:rsidRDefault="003E4D23" w:rsidP="00417428">
            <w:pPr>
              <w:ind w:left="720" w:hanging="720"/>
              <w:jc w:val="both"/>
              <w:rPr>
                <w:rFonts w:cs="Arial"/>
                <w:lang w:val="en-GB"/>
              </w:rPr>
            </w:pPr>
            <w:r w:rsidRPr="001D2788">
              <w:rPr>
                <w:rFonts w:cs="Arial"/>
                <w:lang w:val="en-GB"/>
              </w:rPr>
              <w:t>5</w:t>
            </w:r>
            <w:r w:rsidR="00417428" w:rsidRPr="001D2788">
              <w:rPr>
                <w:rFonts w:cs="Arial"/>
                <w:lang w:val="en-GB"/>
              </w:rPr>
              <w:t>.5</w:t>
            </w:r>
            <w:r w:rsidR="00417428" w:rsidRPr="001D2788">
              <w:rPr>
                <w:rFonts w:cs="Arial"/>
                <w:lang w:val="en-GB"/>
              </w:rPr>
              <w:tab/>
              <w:t xml:space="preserve">Each Party’s signing representative has certain rights regarding the other Party processing his or her personal data. Such rights include the right to access, correction, information, restriction, erasure, withdrawal of earlier given consent, opposition, data portability and filing complaints with the competent data protection authorities. </w:t>
            </w:r>
            <w:r w:rsidRPr="001D2788">
              <w:rPr>
                <w:rFonts w:cs="Arial"/>
                <w:lang w:val="en-GB"/>
              </w:rPr>
              <w:t>Organization</w:t>
            </w:r>
            <w:r w:rsidR="00417428" w:rsidRPr="001D2788">
              <w:rPr>
                <w:rFonts w:cs="Arial"/>
                <w:lang w:val="en-GB"/>
              </w:rPr>
              <w:t xml:space="preserve"> may direct any such requests or complaints to </w:t>
            </w:r>
          </w:p>
          <w:p w14:paraId="31F9EE7E" w14:textId="77777777" w:rsidR="0035312F" w:rsidRPr="001D2788" w:rsidRDefault="0035312F" w:rsidP="00417428">
            <w:pPr>
              <w:ind w:left="720" w:hanging="720"/>
              <w:jc w:val="both"/>
              <w:rPr>
                <w:rFonts w:cs="Arial"/>
                <w:lang w:val="en-GB"/>
              </w:rPr>
            </w:pPr>
          </w:p>
          <w:p w14:paraId="2B94460C" w14:textId="225A5C41" w:rsidR="0035312F" w:rsidRPr="001D2788" w:rsidRDefault="0035312F" w:rsidP="00417428">
            <w:pPr>
              <w:ind w:left="720" w:hanging="720"/>
              <w:jc w:val="both"/>
              <w:rPr>
                <w:rFonts w:cs="Arial"/>
                <w:b/>
                <w:bCs/>
                <w:lang w:val="en-GB"/>
              </w:rPr>
            </w:pPr>
            <w:r w:rsidRPr="001D2788">
              <w:rPr>
                <w:rFonts w:cs="Arial"/>
                <w:b/>
                <w:bCs/>
                <w:lang w:val="en-GB"/>
              </w:rPr>
              <w:t xml:space="preserve">Article </w:t>
            </w:r>
            <w:r w:rsidR="00B23CA4" w:rsidRPr="001D2788">
              <w:rPr>
                <w:rFonts w:cs="Arial"/>
                <w:b/>
                <w:bCs/>
                <w:lang w:val="en-GB"/>
              </w:rPr>
              <w:t>6</w:t>
            </w:r>
            <w:r w:rsidRPr="001D2788">
              <w:rPr>
                <w:rFonts w:cs="Arial"/>
                <w:b/>
                <w:bCs/>
                <w:lang w:val="en-GB"/>
              </w:rPr>
              <w:t xml:space="preserve"> – Disclosure of the Agreement in the Commercial Register</w:t>
            </w:r>
          </w:p>
          <w:p w14:paraId="22624284" w14:textId="1902DCE9" w:rsidR="007D42AD" w:rsidRPr="001D2788" w:rsidRDefault="007D42AD" w:rsidP="005E4FB2">
            <w:pPr>
              <w:jc w:val="both"/>
              <w:rPr>
                <w:lang w:val="en-GB"/>
              </w:rPr>
            </w:pPr>
          </w:p>
          <w:p w14:paraId="18DC9D7C" w14:textId="00511E85" w:rsidR="007D42AD" w:rsidRPr="001D2788" w:rsidRDefault="00B23CA4" w:rsidP="007D42AD">
            <w:pPr>
              <w:ind w:left="720" w:hanging="720"/>
              <w:jc w:val="both"/>
              <w:rPr>
                <w:lang w:val="en-GB"/>
              </w:rPr>
            </w:pPr>
            <w:r w:rsidRPr="001D2788">
              <w:rPr>
                <w:lang w:val="en-GB"/>
              </w:rPr>
              <w:t>6</w:t>
            </w:r>
            <w:r w:rsidR="007D42AD" w:rsidRPr="001D2788">
              <w:rPr>
                <w:lang w:val="en-GB"/>
              </w:rPr>
              <w:t>.1</w:t>
            </w:r>
            <w:r w:rsidR="007D42AD" w:rsidRPr="001D2788">
              <w:rPr>
                <w:lang w:val="en-GB"/>
              </w:rPr>
              <w:tab/>
              <w:t>In the event that Act No. 340/2015 Sb., on the Special Conditions for the Effectiveness of Certain Contracts, the Publishing of such Contracts and the Register of Contracts (the Contracts Register Act), as amended (the “</w:t>
            </w:r>
            <w:r w:rsidR="007D42AD" w:rsidRPr="001D2788">
              <w:rPr>
                <w:b/>
                <w:bCs/>
                <w:lang w:val="en-GB"/>
              </w:rPr>
              <w:t>Contracts Register Act</w:t>
            </w:r>
            <w:r w:rsidR="007D42AD" w:rsidRPr="001D2788">
              <w:rPr>
                <w:lang w:val="en-GB"/>
              </w:rPr>
              <w:t>”) requires this Agreement to be published in the register of contracts, the Parties agree that the Organization will ensure its publication no later than within 30 days after the conclusion of this Agreement and fully in accordance with the requirements of the Contracts Register Act.</w:t>
            </w:r>
          </w:p>
          <w:p w14:paraId="31F61FA9" w14:textId="34A1A86F" w:rsidR="007D42AD" w:rsidRPr="001D2788" w:rsidRDefault="00B23CA4" w:rsidP="007D42AD">
            <w:pPr>
              <w:ind w:left="720" w:hanging="720"/>
              <w:jc w:val="both"/>
              <w:rPr>
                <w:lang w:val="en-GB"/>
              </w:rPr>
            </w:pPr>
            <w:r w:rsidRPr="001D2788">
              <w:rPr>
                <w:lang w:val="en-GB"/>
              </w:rPr>
              <w:t>6</w:t>
            </w:r>
            <w:r w:rsidR="007D42AD" w:rsidRPr="001D2788">
              <w:rPr>
                <w:lang w:val="en-GB"/>
              </w:rPr>
              <w:t xml:space="preserve">.2 </w:t>
            </w:r>
            <w:r w:rsidR="007D42AD" w:rsidRPr="001D2788">
              <w:rPr>
                <w:lang w:val="en-GB"/>
              </w:rPr>
              <w:tab/>
              <w:t>The Organization undertakes to:</w:t>
            </w:r>
          </w:p>
          <w:p w14:paraId="4A295928" w14:textId="1FCFA10C" w:rsidR="007D42AD" w:rsidRPr="001D2788" w:rsidRDefault="007D42AD" w:rsidP="007D42AD">
            <w:pPr>
              <w:ind w:left="1168" w:hanging="425"/>
              <w:jc w:val="both"/>
              <w:rPr>
                <w:lang w:val="en-GB"/>
              </w:rPr>
            </w:pPr>
            <w:r w:rsidRPr="001D2788">
              <w:rPr>
                <w:lang w:val="en-GB"/>
              </w:rPr>
              <w:t>(a)</w:t>
            </w:r>
            <w:r w:rsidRPr="001D2788">
              <w:rPr>
                <w:lang w:val="en-GB"/>
              </w:rPr>
              <w:tab/>
              <w:t xml:space="preserve">make unreadable in the Agreement, prior to sending it to the contracts register administrator, those parts of the Agreement that are excluded from publication pursuant to the Contracts Register Act, in particular those parts thereof that contain </w:t>
            </w:r>
            <w:r w:rsidRPr="001D2788">
              <w:rPr>
                <w:lang w:val="en-GB"/>
              </w:rPr>
              <w:lastRenderedPageBreak/>
              <w:t>personal data of employees or other workers of the Company or the Company’s trade secrets;</w:t>
            </w:r>
          </w:p>
          <w:p w14:paraId="2F4E274D" w14:textId="051138C2" w:rsidR="007D42AD" w:rsidRPr="001D2788" w:rsidRDefault="007D42AD" w:rsidP="005E4FB2">
            <w:pPr>
              <w:ind w:left="1168" w:hanging="425"/>
              <w:jc w:val="both"/>
              <w:rPr>
                <w:lang w:val="en-GB"/>
              </w:rPr>
            </w:pPr>
            <w:r w:rsidRPr="001D2788">
              <w:rPr>
                <w:lang w:val="en-GB"/>
              </w:rPr>
              <w:t>(b)</w:t>
            </w:r>
            <w:r w:rsidRPr="001D2788">
              <w:rPr>
                <w:lang w:val="en-GB"/>
              </w:rPr>
              <w:tab/>
              <w:t>publish this Agreement in the contracts register only in such form as the Company agrees in advance in writing or by e-mail; and</w:t>
            </w:r>
          </w:p>
          <w:p w14:paraId="4C84F5FE" w14:textId="0FBD8901" w:rsidR="007D42AD" w:rsidRPr="001D2788" w:rsidRDefault="007D42AD" w:rsidP="007D42AD">
            <w:pPr>
              <w:ind w:left="1168" w:hanging="425"/>
              <w:jc w:val="both"/>
              <w:rPr>
                <w:lang w:val="en-GB"/>
              </w:rPr>
            </w:pPr>
            <w:r w:rsidRPr="001D2788">
              <w:rPr>
                <w:lang w:val="en-GB"/>
              </w:rPr>
              <w:t>(c)</w:t>
            </w:r>
            <w:r w:rsidRPr="001D2788">
              <w:rPr>
                <w:lang w:val="en-GB"/>
              </w:rPr>
              <w:tab/>
              <w:t>fill in the address of the Company’s data box on the form for publication of the Agreement in the contract register, so that the contracts register administrator is able to send the Company a confirmation of publication pursuant to Section 5(4) of the Contracts Register Act.</w:t>
            </w:r>
          </w:p>
          <w:p w14:paraId="1AD8D058" w14:textId="3C072309" w:rsidR="007D42AD" w:rsidRPr="001D2788" w:rsidRDefault="00B23CA4" w:rsidP="005E4FB2">
            <w:pPr>
              <w:ind w:left="740" w:hanging="740"/>
              <w:jc w:val="both"/>
              <w:rPr>
                <w:lang w:val="en-GB"/>
              </w:rPr>
            </w:pPr>
            <w:r w:rsidRPr="001D2788">
              <w:rPr>
                <w:lang w:val="en-GB"/>
              </w:rPr>
              <w:t>6</w:t>
            </w:r>
            <w:r w:rsidR="007D42AD" w:rsidRPr="001D2788">
              <w:rPr>
                <w:lang w:val="en-GB"/>
              </w:rPr>
              <w:t>.3</w:t>
            </w:r>
            <w:r w:rsidR="007D42AD" w:rsidRPr="001D2788">
              <w:rPr>
                <w:lang w:val="en-GB"/>
              </w:rPr>
              <w:tab/>
              <w:t xml:space="preserve">If the Organization does not publish this Agreement in the contracts register within the time limit stipulated in Clause </w:t>
            </w:r>
            <w:r w:rsidRPr="001D2788">
              <w:rPr>
                <w:lang w:val="en-GB"/>
              </w:rPr>
              <w:t>6</w:t>
            </w:r>
            <w:r w:rsidR="007D42AD" w:rsidRPr="001D2788">
              <w:rPr>
                <w:lang w:val="en-GB"/>
              </w:rPr>
              <w:t>.1, the Company will be entitled to publish this Agreement in the contracts register itself.</w:t>
            </w:r>
          </w:p>
          <w:p w14:paraId="62912D03" w14:textId="055F750F" w:rsidR="007D42AD" w:rsidRPr="001D2788" w:rsidRDefault="00B23CA4" w:rsidP="005E4FB2">
            <w:pPr>
              <w:ind w:left="740" w:hanging="740"/>
              <w:jc w:val="both"/>
              <w:rPr>
                <w:lang w:val="en-GB"/>
              </w:rPr>
            </w:pPr>
            <w:r w:rsidRPr="001D2788">
              <w:rPr>
                <w:lang w:val="en-GB"/>
              </w:rPr>
              <w:t>6</w:t>
            </w:r>
            <w:r w:rsidR="007D42AD" w:rsidRPr="001D2788">
              <w:rPr>
                <w:lang w:val="en-GB"/>
              </w:rPr>
              <w:t>.4</w:t>
            </w:r>
            <w:r w:rsidR="007D42AD" w:rsidRPr="001D2788">
              <w:rPr>
                <w:lang w:val="en-GB"/>
              </w:rPr>
              <w:tab/>
              <w:t xml:space="preserve">The provisions of this Clause </w:t>
            </w:r>
            <w:r w:rsidR="00764299" w:rsidRPr="001D2788">
              <w:rPr>
                <w:lang w:val="en-GB"/>
              </w:rPr>
              <w:t>6</w:t>
            </w:r>
            <w:r w:rsidR="007D42AD" w:rsidRPr="001D2788">
              <w:rPr>
                <w:lang w:val="en-GB"/>
              </w:rPr>
              <w:t xml:space="preserve"> will also apply </w:t>
            </w:r>
            <w:r w:rsidR="007D42AD" w:rsidRPr="001D2788">
              <w:rPr>
                <w:i/>
                <w:iCs/>
                <w:lang w:val="en-GB"/>
              </w:rPr>
              <w:t>mutatis mutandis</w:t>
            </w:r>
            <w:r w:rsidR="007D42AD" w:rsidRPr="001D2788">
              <w:rPr>
                <w:lang w:val="en-GB"/>
              </w:rPr>
              <w:t xml:space="preserve"> to the publication of any amendment to this Agreement in the contracts register.</w:t>
            </w:r>
          </w:p>
          <w:p w14:paraId="53D1D54B" w14:textId="690A526B" w:rsidR="00417428" w:rsidRDefault="00B23CA4" w:rsidP="00690FE8">
            <w:pPr>
              <w:ind w:left="740" w:hanging="740"/>
              <w:jc w:val="both"/>
              <w:rPr>
                <w:lang w:val="en-GB"/>
              </w:rPr>
            </w:pPr>
            <w:r w:rsidRPr="001D2788">
              <w:rPr>
                <w:lang w:val="en-GB"/>
              </w:rPr>
              <w:t>6</w:t>
            </w:r>
            <w:r w:rsidR="007D42AD" w:rsidRPr="001D2788">
              <w:rPr>
                <w:lang w:val="en-GB"/>
              </w:rPr>
              <w:t>.5</w:t>
            </w:r>
            <w:r w:rsidR="007D42AD" w:rsidRPr="001D2788">
              <w:rPr>
                <w:lang w:val="en-GB"/>
              </w:rPr>
              <w:tab/>
              <w:t xml:space="preserve">If the Contracts Register Act does not require this Agreement to be published in the register of contracts, this Clause </w:t>
            </w:r>
            <w:r w:rsidRPr="001D2788">
              <w:rPr>
                <w:lang w:val="en-GB"/>
              </w:rPr>
              <w:t>6</w:t>
            </w:r>
            <w:r w:rsidR="007D42AD" w:rsidRPr="001D2788">
              <w:rPr>
                <w:lang w:val="en-GB"/>
              </w:rPr>
              <w:t xml:space="preserve"> shall not apply.</w:t>
            </w:r>
          </w:p>
          <w:p w14:paraId="07EA04D9" w14:textId="77777777" w:rsidR="00690FE8" w:rsidRPr="00690FE8" w:rsidRDefault="00690FE8" w:rsidP="00690FE8">
            <w:pPr>
              <w:ind w:left="740" w:hanging="740"/>
              <w:jc w:val="both"/>
              <w:rPr>
                <w:lang w:val="en-GB"/>
              </w:rPr>
            </w:pPr>
          </w:p>
          <w:p w14:paraId="33F06EA5" w14:textId="46BDC53F" w:rsidR="000700F3" w:rsidRPr="001D2788" w:rsidRDefault="000700F3" w:rsidP="000700F3">
            <w:pPr>
              <w:tabs>
                <w:tab w:val="right" w:pos="9361"/>
              </w:tabs>
              <w:jc w:val="both"/>
              <w:rPr>
                <w:b/>
                <w:lang w:val="en-GB"/>
              </w:rPr>
            </w:pPr>
            <w:r w:rsidRPr="001D2788">
              <w:rPr>
                <w:b/>
                <w:lang w:val="en-GB"/>
              </w:rPr>
              <w:t xml:space="preserve">Article </w:t>
            </w:r>
            <w:r w:rsidR="00B23CA4" w:rsidRPr="001D2788">
              <w:rPr>
                <w:b/>
                <w:lang w:val="en-GB"/>
              </w:rPr>
              <w:t>7</w:t>
            </w:r>
            <w:r w:rsidR="003E4D23" w:rsidRPr="001D2788">
              <w:rPr>
                <w:b/>
                <w:lang w:val="en-GB"/>
              </w:rPr>
              <w:t xml:space="preserve"> </w:t>
            </w:r>
            <w:r w:rsidRPr="001D2788">
              <w:rPr>
                <w:b/>
                <w:lang w:val="en-GB"/>
              </w:rPr>
              <w:t>– Miscellaneous</w:t>
            </w:r>
            <w:r w:rsidRPr="001D2788">
              <w:rPr>
                <w:b/>
                <w:lang w:val="en-GB"/>
              </w:rPr>
              <w:tab/>
            </w:r>
          </w:p>
          <w:p w14:paraId="29D185F6" w14:textId="3969A83A" w:rsidR="000700F3" w:rsidRPr="001D2788" w:rsidRDefault="003E4D23" w:rsidP="000700F3">
            <w:pPr>
              <w:ind w:left="720" w:hanging="720"/>
              <w:jc w:val="both"/>
              <w:rPr>
                <w:lang w:val="en-GB"/>
              </w:rPr>
            </w:pPr>
            <w:r w:rsidRPr="001D2788">
              <w:rPr>
                <w:lang w:val="en-GB"/>
              </w:rPr>
              <w:t>6</w:t>
            </w:r>
            <w:r w:rsidR="000700F3" w:rsidRPr="001D2788">
              <w:rPr>
                <w:lang w:val="en-GB"/>
              </w:rPr>
              <w:t>.1</w:t>
            </w:r>
            <w:r w:rsidR="000700F3" w:rsidRPr="001D2788">
              <w:rPr>
                <w:lang w:val="en-GB"/>
              </w:rPr>
              <w:tab/>
              <w:t>This Agreement and its annexes contains the entire agreement and understanding between the Parties with respect to the subject matter hereof and supersedes and replaces all prior agreements or understandings, written or oral, with respect to the same subject matter still in force between the Parties.</w:t>
            </w:r>
          </w:p>
          <w:p w14:paraId="43BE43E0" w14:textId="54C342EF" w:rsidR="00F72D1C" w:rsidRPr="001D2788" w:rsidRDefault="00B23CA4" w:rsidP="00F72D1C">
            <w:pPr>
              <w:ind w:left="720" w:hanging="720"/>
              <w:jc w:val="both"/>
              <w:rPr>
                <w:lang w:val="en-GB"/>
              </w:rPr>
            </w:pPr>
            <w:r w:rsidRPr="001D2788">
              <w:rPr>
                <w:lang w:val="en-GB"/>
              </w:rPr>
              <w:t>7</w:t>
            </w:r>
            <w:r w:rsidR="00F72D1C" w:rsidRPr="001D2788">
              <w:rPr>
                <w:lang w:val="en-GB"/>
              </w:rPr>
              <w:t>.2</w:t>
            </w:r>
            <w:r w:rsidR="00F72D1C" w:rsidRPr="001D2788">
              <w:rPr>
                <w:lang w:val="en-GB"/>
              </w:rPr>
              <w:tab/>
              <w:t>This Agreement is valid and effective from the date of its signing by the last of the Parties; however, should this Agreement be subject to publication in the register of contracts, it shall be effective according to respective provisions of the Contracts Register Act.</w:t>
            </w:r>
          </w:p>
          <w:p w14:paraId="660CF5EC" w14:textId="61E1FDEA" w:rsidR="000700F3" w:rsidRPr="001D2788" w:rsidRDefault="00B23CA4" w:rsidP="000700F3">
            <w:pPr>
              <w:ind w:left="720" w:hanging="720"/>
              <w:jc w:val="both"/>
              <w:rPr>
                <w:lang w:val="en-GB"/>
              </w:rPr>
            </w:pPr>
            <w:r w:rsidRPr="001D2788">
              <w:rPr>
                <w:lang w:val="en-GB"/>
              </w:rPr>
              <w:t>7</w:t>
            </w:r>
            <w:r w:rsidR="000700F3" w:rsidRPr="001D2788">
              <w:rPr>
                <w:lang w:val="en-GB"/>
              </w:rPr>
              <w:t>.</w:t>
            </w:r>
            <w:r w:rsidR="00E177B7" w:rsidRPr="001D2788">
              <w:rPr>
                <w:lang w:val="en-GB"/>
              </w:rPr>
              <w:t>3</w:t>
            </w:r>
            <w:r w:rsidR="000700F3" w:rsidRPr="001D2788">
              <w:rPr>
                <w:lang w:val="en-GB"/>
              </w:rPr>
              <w:tab/>
              <w:t>This Agreement may not be amended or modified except by a written agreement signed on behalf of each of the Parties hereto.</w:t>
            </w:r>
          </w:p>
          <w:p w14:paraId="1A434A7C" w14:textId="0DDA79E3" w:rsidR="000700F3" w:rsidRPr="001D2788" w:rsidRDefault="00B23CA4" w:rsidP="000700F3">
            <w:pPr>
              <w:ind w:left="720" w:hanging="720"/>
              <w:jc w:val="both"/>
              <w:rPr>
                <w:lang w:val="en-GB"/>
              </w:rPr>
            </w:pPr>
            <w:r w:rsidRPr="001D2788">
              <w:rPr>
                <w:rFonts w:eastAsia="Calibri"/>
                <w:lang w:val="en-GB" w:eastAsia="en-US"/>
              </w:rPr>
              <w:lastRenderedPageBreak/>
              <w:t>7</w:t>
            </w:r>
            <w:r w:rsidR="000700F3" w:rsidRPr="001D2788">
              <w:rPr>
                <w:rFonts w:eastAsia="Calibri"/>
                <w:lang w:val="en-GB" w:eastAsia="en-US"/>
              </w:rPr>
              <w:t>.</w:t>
            </w:r>
            <w:r w:rsidR="00E177B7" w:rsidRPr="001D2788">
              <w:rPr>
                <w:rFonts w:eastAsia="Calibri"/>
                <w:lang w:val="en-GB" w:eastAsia="en-US"/>
              </w:rPr>
              <w:t>4</w:t>
            </w:r>
            <w:r w:rsidR="000700F3" w:rsidRPr="001D2788">
              <w:rPr>
                <w:rFonts w:eastAsia="Calibri"/>
                <w:lang w:val="en-GB" w:eastAsia="en-US"/>
              </w:rPr>
              <w:t xml:space="preserve"> </w:t>
            </w:r>
            <w:r w:rsidR="000700F3" w:rsidRPr="001D2788">
              <w:rPr>
                <w:rFonts w:eastAsia="Calibri"/>
                <w:lang w:val="en-GB" w:eastAsia="en-US"/>
              </w:rPr>
              <w:tab/>
              <w:t>The Organization will not assign, transfer, or otherwise dispose of any of its rights, duties, or obligations hereunder without the prior written consent of the Company.</w:t>
            </w:r>
          </w:p>
          <w:p w14:paraId="228D322B" w14:textId="7A7EC247" w:rsidR="000700F3" w:rsidRPr="001D2788" w:rsidRDefault="00B23CA4" w:rsidP="000700F3">
            <w:pPr>
              <w:ind w:left="720" w:hanging="720"/>
              <w:jc w:val="both"/>
              <w:rPr>
                <w:lang w:val="en-GB"/>
              </w:rPr>
            </w:pPr>
            <w:r w:rsidRPr="001D2788">
              <w:rPr>
                <w:lang w:val="en-GB"/>
              </w:rPr>
              <w:t>7</w:t>
            </w:r>
            <w:r w:rsidR="000700F3" w:rsidRPr="001D2788">
              <w:rPr>
                <w:lang w:val="en-GB"/>
              </w:rPr>
              <w:t>.</w:t>
            </w:r>
            <w:r w:rsidR="00E177B7" w:rsidRPr="001D2788">
              <w:rPr>
                <w:lang w:val="en-GB"/>
              </w:rPr>
              <w:t>5</w:t>
            </w:r>
            <w:r w:rsidR="000700F3" w:rsidRPr="001D2788">
              <w:rPr>
                <w:lang w:val="en-GB"/>
              </w:rPr>
              <w:tab/>
            </w:r>
            <w:r w:rsidR="000700F3" w:rsidRPr="001D2788">
              <w:rPr>
                <w:rFonts w:eastAsia="Calibri"/>
                <w:lang w:val="en-GB" w:eastAsia="en-US"/>
              </w:rPr>
              <w:t xml:space="preserve">This Agreement shall be construed and interpreted in accordance with the laws of the </w:t>
            </w:r>
            <w:r w:rsidR="0035312F" w:rsidRPr="001D2788">
              <w:rPr>
                <w:rFonts w:eastAsia="Calibri"/>
                <w:lang w:val="en-GB" w:eastAsia="en-US"/>
              </w:rPr>
              <w:t>Czech Republic</w:t>
            </w:r>
            <w:r w:rsidR="000700F3" w:rsidRPr="001D2788">
              <w:rPr>
                <w:rFonts w:eastAsia="Calibri"/>
                <w:lang w:val="en-GB" w:eastAsia="en-US"/>
              </w:rPr>
              <w:t>, with any dispute, if not amicably settled, submitted to the courts of th</w:t>
            </w:r>
            <w:r w:rsidR="0035312F" w:rsidRPr="001D2788">
              <w:rPr>
                <w:rFonts w:eastAsia="Calibri"/>
                <w:lang w:val="en-GB" w:eastAsia="en-US"/>
              </w:rPr>
              <w:t>e Czech Republic</w:t>
            </w:r>
            <w:r w:rsidR="000700F3" w:rsidRPr="001D2788">
              <w:rPr>
                <w:rFonts w:eastAsia="Calibri"/>
                <w:lang w:val="en-GB" w:eastAsia="en-US"/>
              </w:rPr>
              <w:t xml:space="preserve">. </w:t>
            </w:r>
          </w:p>
          <w:p w14:paraId="1DCA5B2A" w14:textId="77777777" w:rsidR="000700F3" w:rsidRPr="001D2788" w:rsidRDefault="000700F3" w:rsidP="000700F3">
            <w:pPr>
              <w:ind w:left="720" w:hanging="720"/>
              <w:jc w:val="both"/>
              <w:rPr>
                <w:lang w:val="en-GB"/>
              </w:rPr>
            </w:pPr>
          </w:p>
          <w:p w14:paraId="5E4CBA81" w14:textId="79E22F79" w:rsidR="001F5A24" w:rsidRDefault="001F5A24" w:rsidP="000700F3">
            <w:pPr>
              <w:jc w:val="both"/>
              <w:rPr>
                <w:lang w:val="en-GB"/>
              </w:rPr>
            </w:pPr>
            <w:r w:rsidRPr="001F5A24">
              <w:rPr>
                <w:lang w:val="en-GB"/>
              </w:rPr>
              <w:t>This Agreement is prepared in two counterparts in the Czech and English language</w:t>
            </w:r>
            <w:r>
              <w:rPr>
                <w:lang w:val="en-GB"/>
              </w:rPr>
              <w:t>s.</w:t>
            </w:r>
            <w:r w:rsidRPr="001F5A24">
              <w:rPr>
                <w:lang w:val="en-GB"/>
              </w:rPr>
              <w:t xml:space="preserve"> In the event of discrepancies, the Czech version shall prevail.  </w:t>
            </w:r>
          </w:p>
          <w:p w14:paraId="6692A3D1" w14:textId="77777777" w:rsidR="001F5A24" w:rsidRDefault="001F5A24" w:rsidP="000700F3">
            <w:pPr>
              <w:jc w:val="both"/>
              <w:rPr>
                <w:lang w:val="en-GB"/>
              </w:rPr>
            </w:pPr>
          </w:p>
          <w:p w14:paraId="77180EEE" w14:textId="1734C3EB" w:rsidR="000700F3" w:rsidRPr="001D2788" w:rsidRDefault="000700F3" w:rsidP="000700F3">
            <w:pPr>
              <w:jc w:val="both"/>
              <w:rPr>
                <w:lang w:val="en-GB"/>
              </w:rPr>
            </w:pPr>
            <w:r w:rsidRPr="001D2788">
              <w:rPr>
                <w:lang w:val="en-GB"/>
              </w:rPr>
              <w:t xml:space="preserve">By their signatures below, the Parties in this Agreement agree to all of the terms and conditions of this Agreement. </w:t>
            </w:r>
          </w:p>
          <w:p w14:paraId="7101B4E6" w14:textId="77777777" w:rsidR="000700F3" w:rsidRPr="001D2788" w:rsidRDefault="000700F3">
            <w:pPr>
              <w:rPr>
                <w:lang w:val="en-US"/>
              </w:rPr>
            </w:pPr>
          </w:p>
        </w:tc>
        <w:tc>
          <w:tcPr>
            <w:tcW w:w="4531" w:type="dxa"/>
          </w:tcPr>
          <w:p w14:paraId="74581B67" w14:textId="00743B56" w:rsidR="000C0F6F" w:rsidRDefault="000700F3" w:rsidP="000C0F6F">
            <w:pPr>
              <w:ind w:left="720" w:hanging="720"/>
              <w:jc w:val="both"/>
              <w:rPr>
                <w:rFonts w:eastAsia="Calibri"/>
                <w:lang w:eastAsia="en-US"/>
              </w:rPr>
            </w:pPr>
            <w:r w:rsidRPr="001D2788">
              <w:lastRenderedPageBreak/>
              <w:t>1.3</w:t>
            </w:r>
            <w:r w:rsidRPr="001D2788">
              <w:tab/>
            </w:r>
            <w:r w:rsidRPr="001D2788">
              <w:rPr>
                <w:rFonts w:eastAsia="Calibri"/>
                <w:lang w:eastAsia="en-US"/>
              </w:rPr>
              <w:t xml:space="preserve">Společnost se zavazuje uhradit Organizaci částku ve výši </w:t>
            </w:r>
            <w:r w:rsidR="00297017">
              <w:rPr>
                <w:rFonts w:eastAsia="Calibri"/>
                <w:b/>
                <w:bCs/>
                <w:color w:val="000000" w:themeColor="text1"/>
                <w:lang w:eastAsia="en-US"/>
              </w:rPr>
              <w:t>padesá</w:t>
            </w:r>
            <w:r w:rsidR="000C0F6F" w:rsidRPr="000C0F6F">
              <w:rPr>
                <w:rFonts w:eastAsia="Calibri"/>
                <w:b/>
                <w:bCs/>
                <w:color w:val="000000" w:themeColor="text1"/>
                <w:lang w:eastAsia="en-US"/>
              </w:rPr>
              <w:t>t tisíc</w:t>
            </w:r>
            <w:r w:rsidRPr="000C0F6F">
              <w:rPr>
                <w:rFonts w:eastAsia="Calibri"/>
                <w:b/>
                <w:bCs/>
                <w:color w:val="000000" w:themeColor="text1"/>
                <w:lang w:eastAsia="en-US"/>
              </w:rPr>
              <w:t xml:space="preserve"> (</w:t>
            </w:r>
            <w:r w:rsidR="00297017">
              <w:rPr>
                <w:rFonts w:eastAsia="Calibri"/>
                <w:b/>
                <w:bCs/>
                <w:color w:val="000000" w:themeColor="text1"/>
                <w:lang w:eastAsia="en-US"/>
              </w:rPr>
              <w:t>5</w:t>
            </w:r>
            <w:r w:rsidR="000C0F6F" w:rsidRPr="000C0F6F">
              <w:rPr>
                <w:rFonts w:eastAsia="Calibri"/>
                <w:b/>
                <w:bCs/>
                <w:color w:val="000000" w:themeColor="text1"/>
                <w:lang w:eastAsia="en-US"/>
              </w:rPr>
              <w:t>0 000,- CZK</w:t>
            </w:r>
            <w:r w:rsidRPr="000C0F6F">
              <w:rPr>
                <w:rFonts w:eastAsia="Calibri"/>
                <w:b/>
                <w:bCs/>
                <w:color w:val="000000" w:themeColor="text1"/>
                <w:lang w:eastAsia="en-US"/>
              </w:rPr>
              <w:t xml:space="preserve">) </w:t>
            </w:r>
            <w:r w:rsidR="000C0F6F" w:rsidRPr="000C0F6F">
              <w:rPr>
                <w:rFonts w:eastAsia="Calibri"/>
                <w:b/>
                <w:bCs/>
                <w:color w:val="000000" w:themeColor="text1"/>
                <w:lang w:eastAsia="en-US"/>
              </w:rPr>
              <w:t>Korun českých</w:t>
            </w:r>
            <w:r w:rsidR="00511296" w:rsidRPr="000C0F6F">
              <w:rPr>
                <w:rFonts w:eastAsia="Calibri"/>
                <w:b/>
                <w:bCs/>
                <w:color w:val="000000" w:themeColor="text1"/>
                <w:lang w:eastAsia="en-US"/>
              </w:rPr>
              <w:t xml:space="preserve"> </w:t>
            </w:r>
            <w:r w:rsidR="00511296" w:rsidRPr="001D2788">
              <w:rPr>
                <w:rFonts w:eastAsia="Calibri"/>
                <w:lang w:eastAsia="en-US"/>
              </w:rPr>
              <w:t>bez DPH</w:t>
            </w:r>
            <w:r w:rsidRPr="001D2788">
              <w:rPr>
                <w:rFonts w:eastAsia="Calibri"/>
                <w:lang w:eastAsia="en-US"/>
              </w:rPr>
              <w:t xml:space="preserve"> (dále jen „Prostředky“)</w:t>
            </w:r>
            <w:r w:rsidR="0059511E" w:rsidRPr="001D2788">
              <w:rPr>
                <w:rFonts w:eastAsia="Calibri"/>
                <w:lang w:eastAsia="en-US"/>
              </w:rPr>
              <w:t>, a to na základě faktury či faktur Organizace, které je Organizace oprávněna vystavit nejdříve v termínu ujednaném v článku 1.4. Každá faktura bude splňovat veškeré náležitosti stanovené platnými právními předpisy včetně výše Prostředků zvýšené o DPH ve výši dle právních předpisů platných a účinných ke dni zdanitelného plnění, pokud se DPH ve vztahu k Prostředkům uplatní. Organizace je oprávněn</w:t>
            </w:r>
            <w:r w:rsidR="00984162" w:rsidRPr="001D2788">
              <w:rPr>
                <w:rFonts w:eastAsia="Calibri"/>
                <w:lang w:eastAsia="en-US"/>
              </w:rPr>
              <w:t>a</w:t>
            </w:r>
            <w:r w:rsidR="0059511E" w:rsidRPr="001D2788">
              <w:rPr>
                <w:rFonts w:eastAsia="Calibri"/>
                <w:lang w:eastAsia="en-US"/>
              </w:rPr>
              <w:t xml:space="preserve"> zaslat </w:t>
            </w:r>
            <w:r w:rsidR="0059511E" w:rsidRPr="001D2788">
              <w:rPr>
                <w:rFonts w:eastAsia="Calibri"/>
                <w:lang w:eastAsia="en-US"/>
              </w:rPr>
              <w:lastRenderedPageBreak/>
              <w:t>Společnosti fakturu i jiné daňové doklady také e-mailem.</w:t>
            </w:r>
          </w:p>
          <w:p w14:paraId="53133D29" w14:textId="77777777" w:rsidR="000C0F6F" w:rsidRDefault="000C0F6F" w:rsidP="00E177B7">
            <w:pPr>
              <w:ind w:left="720" w:hanging="720"/>
              <w:jc w:val="both"/>
              <w:rPr>
                <w:rFonts w:eastAsia="Calibri"/>
                <w:lang w:eastAsia="en-US"/>
              </w:rPr>
            </w:pPr>
          </w:p>
          <w:p w14:paraId="4B1F2355" w14:textId="0A31025E" w:rsidR="000700F3" w:rsidRPr="000C0F6F" w:rsidRDefault="000700F3" w:rsidP="000C0F6F">
            <w:pPr>
              <w:ind w:left="720" w:hanging="720"/>
              <w:jc w:val="both"/>
              <w:rPr>
                <w:rFonts w:eastAsia="Calibri"/>
                <w:highlight w:val="yellow"/>
                <w:lang w:eastAsia="en-US"/>
              </w:rPr>
            </w:pPr>
            <w:r w:rsidRPr="001D2788">
              <w:rPr>
                <w:rFonts w:eastAsia="Calibri"/>
                <w:lang w:eastAsia="en-US"/>
              </w:rPr>
              <w:t>1.4</w:t>
            </w:r>
            <w:r w:rsidRPr="001D2788">
              <w:rPr>
                <w:rFonts w:eastAsia="Calibri"/>
                <w:color w:val="FF0000"/>
                <w:lang w:eastAsia="en-US"/>
              </w:rPr>
              <w:t xml:space="preserve"> </w:t>
            </w:r>
            <w:r w:rsidR="000C0F6F">
              <w:rPr>
                <w:rFonts w:eastAsia="Calibri"/>
                <w:color w:val="FF0000"/>
                <w:lang w:eastAsia="en-US"/>
              </w:rPr>
              <w:t xml:space="preserve">     </w:t>
            </w:r>
            <w:r w:rsidR="000C0F6F" w:rsidRPr="000C0F6F">
              <w:rPr>
                <w:rFonts w:eastAsia="Calibri"/>
                <w:lang w:eastAsia="en-US"/>
              </w:rPr>
              <w:t>Společnost uhradí Prostředky v rámci jedné platby na základě faktury, kterou je Organizace oprávněna vystavit nejdříve po skončení Akce. Faktura je splatná ve lhůtě do 45 dní ode dne jejího doručení Společnosti</w:t>
            </w:r>
            <w:r w:rsidR="000C0F6F" w:rsidRPr="000C0F6F">
              <w:t xml:space="preserve"> na níže uvedený účet Organizace</w:t>
            </w:r>
            <w:r w:rsidR="000C0F6F" w:rsidRPr="000C0F6F">
              <w:rPr>
                <w:rFonts w:eastAsia="Calibri"/>
                <w:lang w:eastAsia="en-US"/>
              </w:rPr>
              <w:t>:</w:t>
            </w:r>
          </w:p>
          <w:p w14:paraId="049B52BE" w14:textId="77777777" w:rsidR="000700F3" w:rsidRPr="00690FE8" w:rsidRDefault="000700F3" w:rsidP="000C0F6F">
            <w:pPr>
              <w:jc w:val="both"/>
            </w:pPr>
          </w:p>
          <w:p w14:paraId="6904D473" w14:textId="77777777" w:rsidR="00BD02D9" w:rsidRPr="00BD02D9" w:rsidRDefault="00BD02D9" w:rsidP="00BD02D9">
            <w:pPr>
              <w:ind w:left="720"/>
              <w:jc w:val="both"/>
              <w:rPr>
                <w:b/>
                <w:bCs/>
              </w:rPr>
            </w:pPr>
            <w:r>
              <w:t xml:space="preserve">Vlastník účtu: </w:t>
            </w:r>
            <w:r w:rsidRPr="00BD02D9">
              <w:rPr>
                <w:b/>
                <w:bCs/>
              </w:rPr>
              <w:t>Nemocnice ve Frýdku-Místku, p.o.</w:t>
            </w:r>
            <w:r w:rsidRPr="00BD02D9">
              <w:rPr>
                <w:b/>
                <w:bCs/>
              </w:rPr>
              <w:tab/>
            </w:r>
          </w:p>
          <w:p w14:paraId="79572C0C" w14:textId="77777777" w:rsidR="00BD02D9" w:rsidRDefault="00BD02D9" w:rsidP="00BD02D9">
            <w:pPr>
              <w:ind w:left="720"/>
              <w:jc w:val="both"/>
            </w:pPr>
            <w:r>
              <w:t>Banka: MONETA Money Bank</w:t>
            </w:r>
            <w:r>
              <w:tab/>
            </w:r>
            <w:r>
              <w:tab/>
            </w:r>
          </w:p>
          <w:p w14:paraId="2041B442" w14:textId="77777777" w:rsidR="00BD02D9" w:rsidRDefault="00BD02D9" w:rsidP="00BD02D9">
            <w:pPr>
              <w:ind w:left="720"/>
              <w:jc w:val="both"/>
            </w:pPr>
            <w:r>
              <w:t>Kód IBAN:   CZ1606000001740063407764</w:t>
            </w:r>
          </w:p>
          <w:p w14:paraId="2C24D754" w14:textId="13AD1109" w:rsidR="00827436" w:rsidRDefault="00BD02D9" w:rsidP="00BD02D9">
            <w:pPr>
              <w:jc w:val="both"/>
              <w:rPr>
                <w:lang w:val="en-GB"/>
              </w:rPr>
            </w:pPr>
            <w:r>
              <w:t xml:space="preserve">               Kód BIC: AGBACZPP</w:t>
            </w:r>
            <w:r w:rsidR="00690FE8" w:rsidRPr="001D2788">
              <w:rPr>
                <w:lang w:val="en-GB"/>
              </w:rPr>
              <w:tab/>
            </w:r>
          </w:p>
          <w:p w14:paraId="192EF3DF" w14:textId="77777777" w:rsidR="000C0F6F" w:rsidRPr="001D2788" w:rsidRDefault="000C0F6F" w:rsidP="00870DC7">
            <w:pPr>
              <w:jc w:val="both"/>
              <w:rPr>
                <w:b/>
              </w:rPr>
            </w:pPr>
          </w:p>
          <w:p w14:paraId="20C67738" w14:textId="2048FAFA" w:rsidR="000700F3" w:rsidRPr="001D2788" w:rsidRDefault="000700F3" w:rsidP="005574A7">
            <w:pPr>
              <w:ind w:left="720" w:hanging="720"/>
              <w:jc w:val="both"/>
              <w:rPr>
                <w:b/>
              </w:rPr>
            </w:pPr>
            <w:r w:rsidRPr="001D2788">
              <w:rPr>
                <w:b/>
              </w:rPr>
              <w:t xml:space="preserve">Článek 2 – Dodržování </w:t>
            </w:r>
            <w:r w:rsidR="00D909E3" w:rsidRPr="001D2788">
              <w:rPr>
                <w:b/>
              </w:rPr>
              <w:t>Etického kodexu obchodní praxe</w:t>
            </w:r>
            <w:r w:rsidRPr="001D2788">
              <w:rPr>
                <w:b/>
              </w:rPr>
              <w:t xml:space="preserve"> MedTech Europe </w:t>
            </w:r>
          </w:p>
          <w:p w14:paraId="78D8737C" w14:textId="6C67635E" w:rsidR="000700F3" w:rsidRPr="001D2788" w:rsidRDefault="000700F3" w:rsidP="00E177B7">
            <w:pPr>
              <w:ind w:left="720" w:hanging="720"/>
              <w:jc w:val="both"/>
            </w:pPr>
            <w:r w:rsidRPr="001D2788">
              <w:t>2.1</w:t>
            </w:r>
            <w:r w:rsidRPr="001D2788">
              <w:tab/>
            </w:r>
            <w:bookmarkStart w:id="0" w:name="_Hlk493077968"/>
            <w:r w:rsidRPr="001D2788">
              <w:t xml:space="preserve">Organizace </w:t>
            </w:r>
            <w:r w:rsidR="00827436" w:rsidRPr="001D2788">
              <w:t xml:space="preserve">se zavazuje využít </w:t>
            </w:r>
            <w:r w:rsidRPr="001D2788">
              <w:t>Prostředky výhradně a pouze pro účely pořádání Akce a zavazuje se je využívat v souladu s</w:t>
            </w:r>
            <w:bookmarkEnd w:id="0"/>
            <w:r w:rsidR="00A112AC" w:rsidRPr="001D2788">
              <w:t> </w:t>
            </w:r>
            <w:hyperlink r:id="rId10" w:history="1">
              <w:r w:rsidR="00A112AC" w:rsidRPr="001D2788">
                <w:rPr>
                  <w:rStyle w:val="Hypertextovodkaz"/>
                </w:rPr>
                <w:t>Etickým kodexem obchodní praxe</w:t>
              </w:r>
              <w:r w:rsidRPr="001D2788">
                <w:rPr>
                  <w:rStyle w:val="Hypertextovodkaz"/>
                </w:rPr>
                <w:t xml:space="preserve"> MedTech Europe</w:t>
              </w:r>
            </w:hyperlink>
            <w:r w:rsidR="00A112AC" w:rsidRPr="001D2788">
              <w:t xml:space="preserve"> (dále jen „</w:t>
            </w:r>
            <w:r w:rsidR="00A112AC" w:rsidRPr="001D2788">
              <w:rPr>
                <w:b/>
                <w:bCs/>
              </w:rPr>
              <w:t>Kodex</w:t>
            </w:r>
            <w:r w:rsidR="00A112AC" w:rsidRPr="001D2788">
              <w:t>“)</w:t>
            </w:r>
            <w:r w:rsidRPr="001D2788">
              <w:t xml:space="preserve"> a se všemi příslušnými zákony, předpisy a oborovými kodexy chování specifickými pro danou zemi. Organizace nevyužije Prostředky na činnosti, které jsou Kodexem zakázány, například na zábavní, odpočinkové nebo společenské akce nebo pro osoby doprovázející účastníky (například pro jejich osobní doprovod – hosty).</w:t>
            </w:r>
          </w:p>
          <w:p w14:paraId="22D35B94" w14:textId="77777777" w:rsidR="003251F6" w:rsidRPr="001D2788" w:rsidRDefault="003251F6" w:rsidP="00E177B7">
            <w:pPr>
              <w:ind w:left="720" w:hanging="720"/>
              <w:jc w:val="both"/>
            </w:pPr>
          </w:p>
          <w:p w14:paraId="216CF63D" w14:textId="7D29203E" w:rsidR="000700F3" w:rsidRPr="001D2788" w:rsidRDefault="000700F3" w:rsidP="00E177B7">
            <w:pPr>
              <w:ind w:left="720" w:hanging="720"/>
              <w:jc w:val="both"/>
            </w:pPr>
            <w:r w:rsidRPr="001D2788">
              <w:t>2.2</w:t>
            </w:r>
            <w:r w:rsidRPr="001D2788">
              <w:tab/>
            </w:r>
            <w:r w:rsidR="003251F6" w:rsidRPr="001D2788">
              <w:t xml:space="preserve">V příslušných případech </w:t>
            </w:r>
            <w:r w:rsidRPr="001D2788">
              <w:t xml:space="preserve">musí být Akce schválena prostřednictvím systému </w:t>
            </w:r>
            <w:hyperlink r:id="rId11" w:history="1">
              <w:r w:rsidRPr="001D2788">
                <w:rPr>
                  <w:rStyle w:val="Hypertextovodkaz"/>
                </w:rPr>
                <w:t>EthicalMedTech Conference Vetting System</w:t>
              </w:r>
            </w:hyperlink>
            <w:r w:rsidRPr="001D2788">
              <w:t xml:space="preserve"> předtím, než budou Prostředky na </w:t>
            </w:r>
            <w:r w:rsidRPr="001F5A24">
              <w:t xml:space="preserve">Akci využity. Organizace </w:t>
            </w:r>
            <w:r w:rsidR="00A86D1C" w:rsidRPr="00833D7E">
              <w:t>je povinna</w:t>
            </w:r>
            <w:r w:rsidRPr="00833D7E">
              <w:t xml:space="preserve"> předlož</w:t>
            </w:r>
            <w:r w:rsidR="00A86D1C" w:rsidRPr="00833D7E">
              <w:t>it</w:t>
            </w:r>
            <w:r w:rsidRPr="001F5A24">
              <w:t xml:space="preserve"> Akc</w:t>
            </w:r>
            <w:r w:rsidR="00A86D1C" w:rsidRPr="001F5A24">
              <w:t>i</w:t>
            </w:r>
            <w:r w:rsidRPr="001F5A24">
              <w:t xml:space="preserve"> k posouzení v rámci EthicalMedtech Conference</w:t>
            </w:r>
            <w:r w:rsidRPr="001D2788">
              <w:t xml:space="preserve"> Vetting System a </w:t>
            </w:r>
            <w:r w:rsidR="00A86D1C" w:rsidRPr="001D2788">
              <w:t xml:space="preserve">na požádání Společnosti </w:t>
            </w:r>
            <w:r w:rsidRPr="001D2788">
              <w:t>předlož</w:t>
            </w:r>
            <w:r w:rsidR="00A86D1C" w:rsidRPr="001D2788">
              <w:t>it</w:t>
            </w:r>
            <w:r w:rsidRPr="001D2788">
              <w:t xml:space="preserve"> doklad o písemném schválení v rámci EthicalMedtech Conference Vetting System.</w:t>
            </w:r>
          </w:p>
          <w:p w14:paraId="6C2F41D9" w14:textId="77777777" w:rsidR="00607000" w:rsidRPr="001D2788" w:rsidRDefault="000700F3" w:rsidP="00E177B7">
            <w:pPr>
              <w:ind w:left="720" w:hanging="720"/>
              <w:jc w:val="both"/>
              <w:rPr>
                <w:b/>
              </w:rPr>
            </w:pPr>
            <w:r w:rsidRPr="001D2788">
              <w:t>2.3</w:t>
            </w:r>
            <w:r w:rsidRPr="001D2788">
              <w:tab/>
              <w:t xml:space="preserve">Smluvní strany se výslovně dohodly, že poskytnutí Prostředků není přímo ani nepřímo spojeno s dohodou o tom, že Organizace bude nakupovat, pronajímat, doporučovat, předepisovat, používat, dodávat nebo </w:t>
            </w:r>
            <w:r w:rsidR="00317393" w:rsidRPr="001D2788">
              <w:t xml:space="preserve">obstarávat </w:t>
            </w:r>
            <w:r w:rsidRPr="001D2788">
              <w:lastRenderedPageBreak/>
              <w:t xml:space="preserve">výrobky </w:t>
            </w:r>
            <w:r w:rsidR="00317393" w:rsidRPr="001D2788">
              <w:t xml:space="preserve">či služby </w:t>
            </w:r>
            <w:r w:rsidRPr="001D2788">
              <w:t xml:space="preserve">Společnosti, a že neslouží ani jako odměna za dřívější nákupy, používání, </w:t>
            </w:r>
            <w:r w:rsidR="00317393" w:rsidRPr="001D2788">
              <w:t xml:space="preserve">doporučení </w:t>
            </w:r>
            <w:r w:rsidRPr="001D2788">
              <w:t>objednáv</w:t>
            </w:r>
            <w:r w:rsidR="00317393" w:rsidRPr="001D2788">
              <w:t xml:space="preserve">ek </w:t>
            </w:r>
            <w:r w:rsidRPr="001D2788">
              <w:t>nebo reference.</w:t>
            </w:r>
          </w:p>
          <w:p w14:paraId="6BFE0ACE" w14:textId="77777777" w:rsidR="000700F3" w:rsidRPr="001D2788" w:rsidRDefault="000700F3" w:rsidP="005574A7">
            <w:pPr>
              <w:keepNext/>
              <w:keepLines/>
              <w:ind w:left="720" w:hanging="720"/>
              <w:jc w:val="both"/>
              <w:rPr>
                <w:b/>
              </w:rPr>
            </w:pPr>
          </w:p>
          <w:p w14:paraId="0BF16D1C" w14:textId="739D34D8" w:rsidR="000700F3" w:rsidRPr="001D2788" w:rsidRDefault="000700F3" w:rsidP="005574A7">
            <w:pPr>
              <w:keepNext/>
              <w:keepLines/>
              <w:ind w:left="720" w:hanging="720"/>
              <w:jc w:val="both"/>
              <w:rPr>
                <w:b/>
              </w:rPr>
            </w:pPr>
            <w:r w:rsidRPr="001D2788">
              <w:rPr>
                <w:b/>
              </w:rPr>
              <w:t>Článek 3 – Doba trvání</w:t>
            </w:r>
          </w:p>
          <w:p w14:paraId="47F390C8" w14:textId="2DC6EDF3" w:rsidR="000700F3" w:rsidRPr="001D2788" w:rsidRDefault="000700F3" w:rsidP="001D2788">
            <w:pPr>
              <w:keepNext/>
              <w:keepLines/>
              <w:jc w:val="both"/>
            </w:pPr>
            <w:r w:rsidRPr="001D2788">
              <w:t xml:space="preserve">Tato Smlouva </w:t>
            </w:r>
            <w:r w:rsidR="001D1B68" w:rsidRPr="001D2788">
              <w:t xml:space="preserve">se uzavírá na dobu určitou, a to do skončení </w:t>
            </w:r>
            <w:r w:rsidRPr="001D2788">
              <w:t xml:space="preserve">Akce. </w:t>
            </w:r>
          </w:p>
          <w:p w14:paraId="660618AD" w14:textId="77777777" w:rsidR="000700F3" w:rsidRPr="001D2788" w:rsidRDefault="000700F3" w:rsidP="005574A7">
            <w:pPr>
              <w:keepNext/>
              <w:keepLines/>
              <w:ind w:left="720" w:hanging="720"/>
              <w:jc w:val="both"/>
              <w:rPr>
                <w:b/>
              </w:rPr>
            </w:pPr>
          </w:p>
          <w:p w14:paraId="12EDA4C1" w14:textId="2133D07F" w:rsidR="000700F3" w:rsidRPr="001D2788" w:rsidRDefault="000700F3" w:rsidP="005574A7">
            <w:pPr>
              <w:keepNext/>
              <w:keepLines/>
              <w:ind w:left="720" w:hanging="720"/>
              <w:jc w:val="both"/>
              <w:rPr>
                <w:b/>
              </w:rPr>
            </w:pPr>
            <w:r w:rsidRPr="001D2788">
              <w:rPr>
                <w:b/>
              </w:rPr>
              <w:t>Článek 4 – Ukončení</w:t>
            </w:r>
          </w:p>
          <w:p w14:paraId="41D635E9" w14:textId="43A34DD5" w:rsidR="000700F3" w:rsidRPr="001D2788" w:rsidRDefault="000700F3" w:rsidP="005574A7">
            <w:pPr>
              <w:jc w:val="both"/>
            </w:pPr>
            <w:r w:rsidRPr="001D2788">
              <w:t>Společnost je oprávněna tuto Smlouvu kdykoli ukončit písemn</w:t>
            </w:r>
            <w:r w:rsidR="00317393" w:rsidRPr="001D2788">
              <w:t>ou</w:t>
            </w:r>
            <w:r w:rsidRPr="001D2788">
              <w:t xml:space="preserve"> </w:t>
            </w:r>
            <w:r w:rsidR="00EF7FD3" w:rsidRPr="001D2788">
              <w:t>výp</w:t>
            </w:r>
            <w:r w:rsidR="00317393" w:rsidRPr="001D2788">
              <w:t>ovědí</w:t>
            </w:r>
            <w:r w:rsidRPr="001D2788">
              <w:t xml:space="preserve"> s okamžitou účinností</w:t>
            </w:r>
            <w:r w:rsidR="00317393" w:rsidRPr="001D2788">
              <w:t>, a to v</w:t>
            </w:r>
            <w:r w:rsidRPr="001D2788">
              <w:t> následujících případech:</w:t>
            </w:r>
          </w:p>
          <w:p w14:paraId="51DF1584" w14:textId="4A7BC0E2" w:rsidR="000700F3" w:rsidRPr="00690FE8" w:rsidRDefault="00317393" w:rsidP="005574A7">
            <w:pPr>
              <w:pStyle w:val="Odstavecseseznamem"/>
              <w:numPr>
                <w:ilvl w:val="0"/>
                <w:numId w:val="2"/>
              </w:numPr>
              <w:ind w:hanging="720"/>
              <w:rPr>
                <w:rFonts w:asciiTheme="minorHAnsi" w:hAnsiTheme="minorHAnsi" w:cstheme="minorHAnsi"/>
                <w:color w:val="000000" w:themeColor="text1"/>
                <w:sz w:val="22"/>
                <w:szCs w:val="22"/>
                <w:lang w:val="cs-CZ"/>
              </w:rPr>
            </w:pPr>
            <w:r w:rsidRPr="001D2788">
              <w:rPr>
                <w:rFonts w:asciiTheme="minorHAnsi" w:hAnsiTheme="minorHAnsi" w:cstheme="minorHAnsi"/>
                <w:sz w:val="22"/>
                <w:szCs w:val="22"/>
                <w:lang w:val="cs-CZ"/>
              </w:rPr>
              <w:t>Pokud</w:t>
            </w:r>
            <w:r w:rsidR="000700F3" w:rsidRPr="001D2788">
              <w:rPr>
                <w:rFonts w:asciiTheme="minorHAnsi" w:hAnsiTheme="minorHAnsi" w:cstheme="minorHAnsi"/>
                <w:sz w:val="22"/>
                <w:szCs w:val="22"/>
                <w:lang w:val="cs-CZ"/>
              </w:rPr>
              <w:t xml:space="preserve"> Organizace nenapraví jakékoliv podstatné porušení do třiceti (30) kalendářních dnů od doručení písemného oznámení Společnosti o takovém porušení. V takovém případě </w:t>
            </w:r>
            <w:r w:rsidR="000700F3" w:rsidRPr="00690FE8">
              <w:rPr>
                <w:rFonts w:asciiTheme="minorHAnsi" w:hAnsiTheme="minorHAnsi" w:cstheme="minorHAnsi"/>
                <w:color w:val="000000" w:themeColor="text1"/>
                <w:sz w:val="22"/>
                <w:szCs w:val="22"/>
                <w:lang w:val="cs-CZ"/>
              </w:rPr>
              <w:t xml:space="preserve">Organizace vrátí do třiceti (30) kalendářních dnů část </w:t>
            </w:r>
            <w:r w:rsidR="00A21B53" w:rsidRPr="00690FE8">
              <w:rPr>
                <w:rFonts w:asciiTheme="minorHAnsi" w:hAnsiTheme="minorHAnsi" w:cstheme="minorHAnsi"/>
                <w:color w:val="000000" w:themeColor="text1"/>
                <w:sz w:val="22"/>
                <w:szCs w:val="22"/>
                <w:lang w:val="cs-CZ"/>
              </w:rPr>
              <w:t>Prostředků</w:t>
            </w:r>
            <w:r w:rsidR="00870DC7" w:rsidRPr="00690FE8">
              <w:rPr>
                <w:rFonts w:asciiTheme="minorHAnsi" w:hAnsiTheme="minorHAnsi" w:cstheme="minorHAnsi"/>
                <w:color w:val="000000" w:themeColor="text1"/>
                <w:sz w:val="22"/>
                <w:szCs w:val="22"/>
                <w:lang w:val="cs-CZ"/>
              </w:rPr>
              <w:t xml:space="preserve"> </w:t>
            </w:r>
            <w:r w:rsidR="000700F3" w:rsidRPr="00690FE8">
              <w:rPr>
                <w:rFonts w:asciiTheme="minorHAnsi" w:hAnsiTheme="minorHAnsi" w:cstheme="minorHAnsi"/>
                <w:color w:val="000000" w:themeColor="text1"/>
                <w:sz w:val="22"/>
                <w:szCs w:val="22"/>
                <w:lang w:val="cs-CZ"/>
              </w:rPr>
              <w:t xml:space="preserve">zbývající k datu účinnosti ukončení, včetně podrobného vyúčtování již vydané části Grantu; nebo </w:t>
            </w:r>
          </w:p>
          <w:p w14:paraId="76495C0A" w14:textId="2E26C871" w:rsidR="000700F3" w:rsidRPr="00690FE8" w:rsidRDefault="000700F3" w:rsidP="005574A7">
            <w:pPr>
              <w:pStyle w:val="Odstavecseseznamem"/>
              <w:numPr>
                <w:ilvl w:val="0"/>
                <w:numId w:val="2"/>
              </w:numPr>
              <w:ind w:hanging="720"/>
              <w:rPr>
                <w:rFonts w:asciiTheme="minorHAnsi" w:hAnsiTheme="minorHAnsi" w:cstheme="minorHAnsi"/>
                <w:color w:val="000000" w:themeColor="text1"/>
                <w:sz w:val="22"/>
                <w:szCs w:val="22"/>
                <w:lang w:val="cs-CZ"/>
              </w:rPr>
            </w:pPr>
            <w:r w:rsidRPr="00690FE8">
              <w:rPr>
                <w:rFonts w:asciiTheme="minorHAnsi" w:hAnsiTheme="minorHAnsi" w:cstheme="minorHAnsi"/>
                <w:color w:val="000000" w:themeColor="text1"/>
                <w:sz w:val="22"/>
                <w:szCs w:val="22"/>
                <w:lang w:val="cs-CZ"/>
              </w:rPr>
              <w:t xml:space="preserve">V případě hrubé nedbalosti, nepravdivého prohlášení nebo </w:t>
            </w:r>
            <w:r w:rsidR="00317393" w:rsidRPr="00690FE8">
              <w:rPr>
                <w:rFonts w:asciiTheme="minorHAnsi" w:hAnsiTheme="minorHAnsi" w:cstheme="minorHAnsi"/>
                <w:color w:val="000000" w:themeColor="text1"/>
                <w:sz w:val="22"/>
                <w:szCs w:val="22"/>
                <w:lang w:val="cs-CZ"/>
              </w:rPr>
              <w:t xml:space="preserve">úmyslného </w:t>
            </w:r>
            <w:r w:rsidR="00A86D1C" w:rsidRPr="00690FE8">
              <w:rPr>
                <w:rFonts w:asciiTheme="minorHAnsi" w:hAnsiTheme="minorHAnsi" w:cstheme="minorHAnsi"/>
                <w:color w:val="000000" w:themeColor="text1"/>
                <w:sz w:val="22"/>
                <w:szCs w:val="22"/>
                <w:lang w:val="cs-CZ"/>
              </w:rPr>
              <w:t xml:space="preserve">protiprávního jednání </w:t>
            </w:r>
            <w:r w:rsidRPr="00690FE8">
              <w:rPr>
                <w:rFonts w:asciiTheme="minorHAnsi" w:hAnsiTheme="minorHAnsi" w:cstheme="minorHAnsi"/>
                <w:color w:val="000000" w:themeColor="text1"/>
                <w:sz w:val="22"/>
                <w:szCs w:val="22"/>
                <w:lang w:val="cs-CZ"/>
              </w:rPr>
              <w:t xml:space="preserve">na straně Organizace. V takovém případě Organizace vrátí do třiceti (30) dnů část </w:t>
            </w:r>
            <w:r w:rsidR="00A21B53" w:rsidRPr="00690FE8">
              <w:rPr>
                <w:rFonts w:asciiTheme="minorHAnsi" w:hAnsiTheme="minorHAnsi" w:cstheme="minorHAnsi"/>
                <w:color w:val="000000" w:themeColor="text1"/>
                <w:sz w:val="22"/>
                <w:szCs w:val="22"/>
                <w:lang w:val="cs-CZ"/>
              </w:rPr>
              <w:t xml:space="preserve">Prostředků </w:t>
            </w:r>
            <w:r w:rsidRPr="00690FE8">
              <w:rPr>
                <w:rFonts w:asciiTheme="minorHAnsi" w:hAnsiTheme="minorHAnsi" w:cstheme="minorHAnsi"/>
                <w:color w:val="000000" w:themeColor="text1"/>
                <w:sz w:val="22"/>
                <w:szCs w:val="22"/>
                <w:lang w:val="cs-CZ"/>
              </w:rPr>
              <w:t xml:space="preserve">zbývající k datu účinnosti ukončení, včetně podrobného vyúčtování již vydané části </w:t>
            </w:r>
            <w:r w:rsidR="00A21B53" w:rsidRPr="00690FE8">
              <w:rPr>
                <w:rFonts w:asciiTheme="minorHAnsi" w:hAnsiTheme="minorHAnsi" w:cstheme="minorHAnsi"/>
                <w:color w:val="000000" w:themeColor="text1"/>
                <w:sz w:val="22"/>
                <w:szCs w:val="22"/>
                <w:lang w:val="cs-CZ"/>
              </w:rPr>
              <w:t>Prostředků</w:t>
            </w:r>
            <w:r w:rsidRPr="00690FE8">
              <w:rPr>
                <w:rFonts w:asciiTheme="minorHAnsi" w:hAnsiTheme="minorHAnsi" w:cstheme="minorHAnsi"/>
                <w:color w:val="000000" w:themeColor="text1"/>
                <w:sz w:val="22"/>
                <w:szCs w:val="22"/>
                <w:lang w:val="cs-CZ"/>
              </w:rPr>
              <w:t xml:space="preserve">; nebo </w:t>
            </w:r>
          </w:p>
          <w:p w14:paraId="775CEBD5" w14:textId="77BBEE12" w:rsidR="000700F3" w:rsidRPr="00690FE8" w:rsidRDefault="00317393" w:rsidP="005574A7">
            <w:pPr>
              <w:pStyle w:val="Odstavecseseznamem"/>
              <w:numPr>
                <w:ilvl w:val="0"/>
                <w:numId w:val="2"/>
              </w:numPr>
              <w:ind w:hanging="720"/>
              <w:rPr>
                <w:rFonts w:asciiTheme="minorHAnsi" w:hAnsiTheme="minorHAnsi" w:cstheme="minorHAnsi"/>
                <w:color w:val="000000" w:themeColor="text1"/>
                <w:sz w:val="22"/>
                <w:szCs w:val="22"/>
                <w:lang w:val="cs-CZ"/>
              </w:rPr>
            </w:pPr>
            <w:r w:rsidRPr="00690FE8">
              <w:rPr>
                <w:rFonts w:asciiTheme="minorHAnsi" w:hAnsiTheme="minorHAnsi" w:cstheme="minorHAnsi"/>
                <w:color w:val="000000" w:themeColor="text1"/>
                <w:sz w:val="22"/>
                <w:szCs w:val="22"/>
                <w:lang w:val="cs-CZ"/>
              </w:rPr>
              <w:t>Pokud</w:t>
            </w:r>
            <w:r w:rsidR="000700F3" w:rsidRPr="00690FE8">
              <w:rPr>
                <w:rFonts w:asciiTheme="minorHAnsi" w:hAnsiTheme="minorHAnsi" w:cstheme="minorHAnsi"/>
                <w:color w:val="000000" w:themeColor="text1"/>
                <w:sz w:val="22"/>
                <w:szCs w:val="22"/>
                <w:lang w:val="cs-CZ"/>
              </w:rPr>
              <w:t xml:space="preserve"> Akce nebude schválena prostřednictvím systému Ethical Medtech Conference Vetting System, pokud </w:t>
            </w:r>
            <w:r w:rsidR="000F2F9E" w:rsidRPr="00690FE8">
              <w:rPr>
                <w:rFonts w:asciiTheme="minorHAnsi" w:hAnsiTheme="minorHAnsi" w:cstheme="minorHAnsi"/>
                <w:color w:val="000000" w:themeColor="text1"/>
                <w:sz w:val="22"/>
                <w:szCs w:val="22"/>
                <w:lang w:val="cs-CZ"/>
              </w:rPr>
              <w:t xml:space="preserve">je </w:t>
            </w:r>
            <w:r w:rsidR="000700F3" w:rsidRPr="00690FE8">
              <w:rPr>
                <w:rFonts w:asciiTheme="minorHAnsi" w:hAnsiTheme="minorHAnsi" w:cstheme="minorHAnsi"/>
                <w:color w:val="000000" w:themeColor="text1"/>
                <w:sz w:val="22"/>
                <w:szCs w:val="22"/>
                <w:lang w:val="cs-CZ"/>
              </w:rPr>
              <w:t>schv</w:t>
            </w:r>
            <w:r w:rsidR="000F2F9E" w:rsidRPr="00690FE8">
              <w:rPr>
                <w:rFonts w:asciiTheme="minorHAnsi" w:hAnsiTheme="minorHAnsi" w:cstheme="minorHAnsi"/>
                <w:color w:val="000000" w:themeColor="text1"/>
                <w:sz w:val="22"/>
                <w:szCs w:val="22"/>
                <w:lang w:val="cs-CZ"/>
              </w:rPr>
              <w:t>á</w:t>
            </w:r>
            <w:r w:rsidR="000700F3" w:rsidRPr="00690FE8">
              <w:rPr>
                <w:rFonts w:asciiTheme="minorHAnsi" w:hAnsiTheme="minorHAnsi" w:cstheme="minorHAnsi"/>
                <w:color w:val="000000" w:themeColor="text1"/>
                <w:sz w:val="22"/>
                <w:szCs w:val="22"/>
                <w:lang w:val="cs-CZ"/>
              </w:rPr>
              <w:t>l</w:t>
            </w:r>
            <w:r w:rsidR="000F2F9E" w:rsidRPr="00690FE8">
              <w:rPr>
                <w:rFonts w:asciiTheme="minorHAnsi" w:hAnsiTheme="minorHAnsi" w:cstheme="minorHAnsi"/>
                <w:color w:val="000000" w:themeColor="text1"/>
                <w:sz w:val="22"/>
                <w:szCs w:val="22"/>
                <w:lang w:val="cs-CZ"/>
              </w:rPr>
              <w:t>e</w:t>
            </w:r>
            <w:r w:rsidR="000700F3" w:rsidRPr="00690FE8">
              <w:rPr>
                <w:rFonts w:asciiTheme="minorHAnsi" w:hAnsiTheme="minorHAnsi" w:cstheme="minorHAnsi"/>
                <w:color w:val="000000" w:themeColor="text1"/>
                <w:sz w:val="22"/>
                <w:szCs w:val="22"/>
                <w:lang w:val="cs-CZ"/>
              </w:rPr>
              <w:t xml:space="preserve">ní </w:t>
            </w:r>
            <w:r w:rsidR="000F2F9E" w:rsidRPr="00690FE8">
              <w:rPr>
                <w:rFonts w:asciiTheme="minorHAnsi" w:hAnsiTheme="minorHAnsi" w:cstheme="minorHAnsi"/>
                <w:color w:val="000000" w:themeColor="text1"/>
                <w:sz w:val="22"/>
                <w:szCs w:val="22"/>
                <w:lang w:val="cs-CZ"/>
              </w:rPr>
              <w:t>vyžadováno</w:t>
            </w:r>
            <w:r w:rsidR="000700F3" w:rsidRPr="00690FE8">
              <w:rPr>
                <w:rFonts w:asciiTheme="minorHAnsi" w:hAnsiTheme="minorHAnsi" w:cstheme="minorHAnsi"/>
                <w:color w:val="000000" w:themeColor="text1"/>
                <w:sz w:val="22"/>
                <w:szCs w:val="22"/>
                <w:lang w:val="cs-CZ"/>
              </w:rPr>
              <w:t xml:space="preserve">, případně pokud se zjistí, že není v souladu s ustanoveními Kodexu, </w:t>
            </w:r>
            <w:r w:rsidRPr="00690FE8">
              <w:rPr>
                <w:rFonts w:asciiTheme="minorHAnsi" w:hAnsiTheme="minorHAnsi" w:cstheme="minorHAnsi"/>
                <w:color w:val="000000" w:themeColor="text1"/>
                <w:sz w:val="22"/>
                <w:szCs w:val="22"/>
                <w:lang w:val="cs-CZ"/>
              </w:rPr>
              <w:t xml:space="preserve">a to </w:t>
            </w:r>
            <w:r w:rsidR="000700F3" w:rsidRPr="00690FE8">
              <w:rPr>
                <w:rFonts w:asciiTheme="minorHAnsi" w:hAnsiTheme="minorHAnsi" w:cstheme="minorHAnsi"/>
                <w:color w:val="000000" w:themeColor="text1"/>
                <w:sz w:val="22"/>
                <w:szCs w:val="22"/>
                <w:lang w:val="cs-CZ"/>
              </w:rPr>
              <w:t>zejména včetně Kapitoly 1 „Obecná kritéria pro pořádání akcí“ a Kapitoly 2, „Vzdělávací akce pořádané třetími osobami“. V takovém případě</w:t>
            </w:r>
            <w:r w:rsidR="000F2F9E" w:rsidRPr="00690FE8">
              <w:rPr>
                <w:rFonts w:asciiTheme="minorHAnsi" w:hAnsiTheme="minorHAnsi" w:cstheme="minorHAnsi"/>
                <w:color w:val="000000" w:themeColor="text1"/>
                <w:sz w:val="22"/>
                <w:szCs w:val="22"/>
                <w:lang w:val="cs-CZ"/>
              </w:rPr>
              <w:t xml:space="preserve"> Společnost</w:t>
            </w:r>
            <w:r w:rsidR="000700F3" w:rsidRPr="00690FE8">
              <w:rPr>
                <w:rFonts w:asciiTheme="minorHAnsi" w:hAnsiTheme="minorHAnsi" w:cstheme="minorHAnsi"/>
                <w:color w:val="000000" w:themeColor="text1"/>
                <w:sz w:val="22"/>
                <w:szCs w:val="22"/>
                <w:lang w:val="cs-CZ"/>
              </w:rPr>
              <w:t xml:space="preserve"> nebud</w:t>
            </w:r>
            <w:r w:rsidR="000F2F9E" w:rsidRPr="00690FE8">
              <w:rPr>
                <w:rFonts w:asciiTheme="minorHAnsi" w:hAnsiTheme="minorHAnsi" w:cstheme="minorHAnsi"/>
                <w:color w:val="000000" w:themeColor="text1"/>
                <w:sz w:val="22"/>
                <w:szCs w:val="22"/>
                <w:lang w:val="cs-CZ"/>
              </w:rPr>
              <w:t>e povinna uhradit</w:t>
            </w:r>
            <w:r w:rsidR="000700F3" w:rsidRPr="00690FE8">
              <w:rPr>
                <w:rFonts w:asciiTheme="minorHAnsi" w:hAnsiTheme="minorHAnsi" w:cstheme="minorHAnsi"/>
                <w:color w:val="000000" w:themeColor="text1"/>
                <w:sz w:val="22"/>
                <w:szCs w:val="22"/>
                <w:lang w:val="cs-CZ"/>
              </w:rPr>
              <w:t xml:space="preserve"> jakékoliv</w:t>
            </w:r>
            <w:r w:rsidR="000F2F9E" w:rsidRPr="00690FE8">
              <w:rPr>
                <w:rFonts w:asciiTheme="minorHAnsi" w:hAnsiTheme="minorHAnsi" w:cstheme="minorHAnsi"/>
                <w:color w:val="000000" w:themeColor="text1"/>
                <w:sz w:val="22"/>
                <w:szCs w:val="22"/>
                <w:lang w:val="cs-CZ"/>
              </w:rPr>
              <w:t xml:space="preserve"> dosud</w:t>
            </w:r>
            <w:r w:rsidR="000700F3" w:rsidRPr="00690FE8">
              <w:rPr>
                <w:rFonts w:asciiTheme="minorHAnsi" w:hAnsiTheme="minorHAnsi" w:cstheme="minorHAnsi"/>
                <w:color w:val="000000" w:themeColor="text1"/>
                <w:sz w:val="22"/>
                <w:szCs w:val="22"/>
                <w:lang w:val="cs-CZ"/>
              </w:rPr>
              <w:t xml:space="preserve"> nevyplacené </w:t>
            </w:r>
            <w:r w:rsidR="00157EC2" w:rsidRPr="00690FE8">
              <w:rPr>
                <w:rFonts w:asciiTheme="minorHAnsi" w:hAnsiTheme="minorHAnsi" w:cstheme="minorHAnsi"/>
                <w:color w:val="000000" w:themeColor="text1"/>
                <w:sz w:val="22"/>
                <w:szCs w:val="22"/>
                <w:lang w:val="cs-CZ"/>
              </w:rPr>
              <w:t>P</w:t>
            </w:r>
            <w:r w:rsidR="000700F3" w:rsidRPr="00690FE8">
              <w:rPr>
                <w:rFonts w:asciiTheme="minorHAnsi" w:hAnsiTheme="minorHAnsi" w:cstheme="minorHAnsi"/>
                <w:color w:val="000000" w:themeColor="text1"/>
                <w:sz w:val="22"/>
                <w:szCs w:val="22"/>
                <w:lang w:val="cs-CZ"/>
              </w:rPr>
              <w:t xml:space="preserve">rostředky </w:t>
            </w:r>
            <w:r w:rsidR="000700F3" w:rsidRPr="00690FE8">
              <w:rPr>
                <w:rFonts w:asciiTheme="minorHAnsi" w:hAnsiTheme="minorHAnsi" w:cstheme="minorHAnsi"/>
                <w:color w:val="000000" w:themeColor="text1"/>
                <w:sz w:val="22"/>
                <w:szCs w:val="22"/>
                <w:lang w:val="cs-CZ"/>
              </w:rPr>
              <w:lastRenderedPageBreak/>
              <w:t>a Organizace vrátí částky, které již Společnost vyplatila; nebo</w:t>
            </w:r>
          </w:p>
          <w:p w14:paraId="42D0427D" w14:textId="0451A7FE" w:rsidR="000700F3" w:rsidRPr="00690FE8" w:rsidRDefault="00E264C6" w:rsidP="005574A7">
            <w:pPr>
              <w:pStyle w:val="Odstavecseseznamem"/>
              <w:numPr>
                <w:ilvl w:val="0"/>
                <w:numId w:val="2"/>
              </w:numPr>
              <w:ind w:hanging="720"/>
              <w:rPr>
                <w:rFonts w:asciiTheme="minorHAnsi" w:hAnsiTheme="minorHAnsi" w:cstheme="minorHAnsi"/>
                <w:color w:val="000000" w:themeColor="text1"/>
                <w:sz w:val="22"/>
                <w:szCs w:val="22"/>
                <w:lang w:val="cs-CZ"/>
              </w:rPr>
            </w:pPr>
            <w:r w:rsidRPr="00690FE8">
              <w:rPr>
                <w:rFonts w:asciiTheme="minorHAnsi" w:hAnsiTheme="minorHAnsi" w:cstheme="minorHAnsi"/>
                <w:color w:val="000000" w:themeColor="text1"/>
                <w:sz w:val="22"/>
                <w:szCs w:val="22"/>
                <w:lang w:val="cs-CZ"/>
              </w:rPr>
              <w:t>Pokud</w:t>
            </w:r>
            <w:r w:rsidR="000700F3" w:rsidRPr="00690FE8">
              <w:rPr>
                <w:rFonts w:asciiTheme="minorHAnsi" w:hAnsiTheme="minorHAnsi" w:cstheme="minorHAnsi"/>
                <w:color w:val="000000" w:themeColor="text1"/>
                <w:sz w:val="22"/>
                <w:szCs w:val="22"/>
                <w:lang w:val="cs-CZ"/>
              </w:rPr>
              <w:t xml:space="preserve"> Organizace Akci zruší. V takovém případě</w:t>
            </w:r>
            <w:r w:rsidR="000F2F9E" w:rsidRPr="00690FE8">
              <w:rPr>
                <w:rFonts w:asciiTheme="minorHAnsi" w:hAnsiTheme="minorHAnsi" w:cstheme="minorHAnsi"/>
                <w:color w:val="000000" w:themeColor="text1"/>
                <w:sz w:val="22"/>
                <w:szCs w:val="22"/>
                <w:lang w:val="cs-CZ"/>
              </w:rPr>
              <w:t xml:space="preserve"> Společnost</w:t>
            </w:r>
            <w:r w:rsidR="000700F3" w:rsidRPr="00690FE8">
              <w:rPr>
                <w:rFonts w:asciiTheme="minorHAnsi" w:hAnsiTheme="minorHAnsi" w:cstheme="minorHAnsi"/>
                <w:color w:val="000000" w:themeColor="text1"/>
                <w:sz w:val="22"/>
                <w:szCs w:val="22"/>
                <w:lang w:val="cs-CZ"/>
              </w:rPr>
              <w:t xml:space="preserve"> nebud</w:t>
            </w:r>
            <w:r w:rsidR="000F2F9E" w:rsidRPr="00690FE8">
              <w:rPr>
                <w:rFonts w:asciiTheme="minorHAnsi" w:hAnsiTheme="minorHAnsi" w:cstheme="minorHAnsi"/>
                <w:color w:val="000000" w:themeColor="text1"/>
                <w:sz w:val="22"/>
                <w:szCs w:val="22"/>
                <w:lang w:val="cs-CZ"/>
              </w:rPr>
              <w:t>e povinna uhradit</w:t>
            </w:r>
            <w:r w:rsidR="000700F3" w:rsidRPr="00690FE8">
              <w:rPr>
                <w:rFonts w:asciiTheme="minorHAnsi" w:hAnsiTheme="minorHAnsi" w:cstheme="minorHAnsi"/>
                <w:color w:val="000000" w:themeColor="text1"/>
                <w:sz w:val="22"/>
                <w:szCs w:val="22"/>
                <w:lang w:val="cs-CZ"/>
              </w:rPr>
              <w:t xml:space="preserve"> jakékoliv neuhrazené </w:t>
            </w:r>
            <w:r w:rsidR="00157EC2" w:rsidRPr="00690FE8">
              <w:rPr>
                <w:rFonts w:asciiTheme="minorHAnsi" w:hAnsiTheme="minorHAnsi" w:cstheme="minorHAnsi"/>
                <w:color w:val="000000" w:themeColor="text1"/>
                <w:sz w:val="22"/>
                <w:szCs w:val="22"/>
                <w:lang w:val="cs-CZ"/>
              </w:rPr>
              <w:t>P</w:t>
            </w:r>
            <w:r w:rsidR="000700F3" w:rsidRPr="00690FE8">
              <w:rPr>
                <w:rFonts w:asciiTheme="minorHAnsi" w:hAnsiTheme="minorHAnsi" w:cstheme="minorHAnsi"/>
                <w:color w:val="000000" w:themeColor="text1"/>
                <w:sz w:val="22"/>
                <w:szCs w:val="22"/>
                <w:lang w:val="cs-CZ"/>
              </w:rPr>
              <w:t xml:space="preserve">rostředky . V případě, že Společnost již uhradila část celkových </w:t>
            </w:r>
            <w:r w:rsidR="000F2F9E" w:rsidRPr="00690FE8">
              <w:rPr>
                <w:rFonts w:asciiTheme="minorHAnsi" w:hAnsiTheme="minorHAnsi" w:cstheme="minorHAnsi"/>
                <w:color w:val="000000" w:themeColor="text1"/>
                <w:sz w:val="22"/>
                <w:szCs w:val="22"/>
                <w:lang w:val="cs-CZ"/>
              </w:rPr>
              <w:t>P</w:t>
            </w:r>
            <w:r w:rsidR="000700F3" w:rsidRPr="00690FE8">
              <w:rPr>
                <w:rFonts w:asciiTheme="minorHAnsi" w:hAnsiTheme="minorHAnsi" w:cstheme="minorHAnsi"/>
                <w:color w:val="000000" w:themeColor="text1"/>
                <w:sz w:val="22"/>
                <w:szCs w:val="22"/>
                <w:lang w:val="cs-CZ"/>
              </w:rPr>
              <w:t xml:space="preserve">rostředků nebo plnou částku Prostředků, pak Organizace tyto částky vrátí s výjimkou případů, kdy ke zrušení Akce došlo v důsledku události vyšší moci. </w:t>
            </w:r>
          </w:p>
          <w:p w14:paraId="4A9395D8" w14:textId="77777777" w:rsidR="000700F3" w:rsidRPr="00690FE8" w:rsidRDefault="000700F3" w:rsidP="005574A7">
            <w:pPr>
              <w:pStyle w:val="Odstavecseseznamem"/>
              <w:numPr>
                <w:ilvl w:val="0"/>
                <w:numId w:val="2"/>
              </w:numPr>
              <w:ind w:hanging="720"/>
              <w:rPr>
                <w:rFonts w:asciiTheme="minorHAnsi" w:hAnsiTheme="minorHAnsi" w:cstheme="minorHAnsi"/>
                <w:color w:val="000000" w:themeColor="text1"/>
                <w:sz w:val="22"/>
                <w:szCs w:val="22"/>
                <w:lang w:val="cs-CZ"/>
              </w:rPr>
            </w:pPr>
            <w:r w:rsidRPr="00690FE8">
              <w:rPr>
                <w:rFonts w:asciiTheme="minorHAnsi" w:hAnsiTheme="minorHAnsi" w:cstheme="minorHAnsi"/>
                <w:color w:val="000000" w:themeColor="text1"/>
                <w:sz w:val="22"/>
                <w:szCs w:val="22"/>
                <w:lang w:val="cs-CZ"/>
              </w:rPr>
              <w:t>V případě, že se Společnost rozhodne tuto Smlouvu ukončit, Organizace vyvine maximální úsilí, aby odstranila zmínky o Společnosti jako</w:t>
            </w:r>
            <w:r w:rsidR="00E264C6" w:rsidRPr="00690FE8">
              <w:rPr>
                <w:rFonts w:asciiTheme="minorHAnsi" w:hAnsiTheme="minorHAnsi" w:cstheme="minorHAnsi"/>
                <w:color w:val="000000" w:themeColor="text1"/>
                <w:sz w:val="22"/>
                <w:szCs w:val="22"/>
                <w:lang w:val="cs-CZ"/>
              </w:rPr>
              <w:t>žto o</w:t>
            </w:r>
            <w:r w:rsidRPr="00690FE8">
              <w:rPr>
                <w:rFonts w:asciiTheme="minorHAnsi" w:hAnsiTheme="minorHAnsi" w:cstheme="minorHAnsi"/>
                <w:color w:val="000000" w:themeColor="text1"/>
                <w:sz w:val="22"/>
                <w:szCs w:val="22"/>
                <w:lang w:val="cs-CZ"/>
              </w:rPr>
              <w:t xml:space="preserve"> sponzor</w:t>
            </w:r>
            <w:r w:rsidR="00E264C6" w:rsidRPr="00690FE8">
              <w:rPr>
                <w:rFonts w:asciiTheme="minorHAnsi" w:hAnsiTheme="minorHAnsi" w:cstheme="minorHAnsi"/>
                <w:color w:val="000000" w:themeColor="text1"/>
                <w:sz w:val="22"/>
                <w:szCs w:val="22"/>
                <w:lang w:val="cs-CZ"/>
              </w:rPr>
              <w:t>ovi</w:t>
            </w:r>
            <w:r w:rsidRPr="00690FE8">
              <w:rPr>
                <w:rFonts w:asciiTheme="minorHAnsi" w:hAnsiTheme="minorHAnsi" w:cstheme="minorHAnsi"/>
                <w:color w:val="000000" w:themeColor="text1"/>
                <w:sz w:val="22"/>
                <w:szCs w:val="22"/>
                <w:lang w:val="cs-CZ"/>
              </w:rPr>
              <w:t xml:space="preserve"> v rozsahu, v němž je to technicky možné.</w:t>
            </w:r>
          </w:p>
          <w:p w14:paraId="1AE8508B" w14:textId="77777777" w:rsidR="00417428" w:rsidRPr="00690FE8" w:rsidRDefault="00417428" w:rsidP="005574A7">
            <w:pPr>
              <w:tabs>
                <w:tab w:val="right" w:pos="9361"/>
              </w:tabs>
              <w:ind w:left="720" w:hanging="720"/>
              <w:jc w:val="both"/>
              <w:rPr>
                <w:rFonts w:cs="Arial"/>
                <w:b/>
                <w:color w:val="000000" w:themeColor="text1"/>
              </w:rPr>
            </w:pPr>
          </w:p>
          <w:p w14:paraId="5D66AC80" w14:textId="5BD26A12" w:rsidR="00417428" w:rsidRPr="00690FE8" w:rsidRDefault="00417428" w:rsidP="005574A7">
            <w:pPr>
              <w:tabs>
                <w:tab w:val="right" w:pos="9361"/>
              </w:tabs>
              <w:ind w:left="720" w:hanging="720"/>
              <w:jc w:val="both"/>
              <w:rPr>
                <w:rFonts w:cs="Arial"/>
                <w:b/>
                <w:color w:val="000000" w:themeColor="text1"/>
              </w:rPr>
            </w:pPr>
            <w:r w:rsidRPr="00690FE8">
              <w:rPr>
                <w:rFonts w:cs="Arial"/>
                <w:b/>
                <w:color w:val="000000" w:themeColor="text1"/>
              </w:rPr>
              <w:t xml:space="preserve">Článek </w:t>
            </w:r>
            <w:r w:rsidR="003E4D23" w:rsidRPr="00690FE8">
              <w:rPr>
                <w:rFonts w:cs="Arial"/>
                <w:b/>
                <w:color w:val="000000" w:themeColor="text1"/>
              </w:rPr>
              <w:t>5</w:t>
            </w:r>
            <w:r w:rsidRPr="00690FE8">
              <w:rPr>
                <w:rFonts w:cs="Arial"/>
                <w:b/>
                <w:color w:val="000000" w:themeColor="text1"/>
              </w:rPr>
              <w:t xml:space="preserve"> – Zpracování osobních údajů</w:t>
            </w:r>
            <w:r w:rsidRPr="00690FE8">
              <w:rPr>
                <w:rFonts w:cs="Arial"/>
                <w:b/>
                <w:color w:val="000000" w:themeColor="text1"/>
              </w:rPr>
              <w:tab/>
            </w:r>
          </w:p>
          <w:p w14:paraId="46F499B2" w14:textId="323C1323" w:rsidR="00417428" w:rsidRPr="00690FE8" w:rsidRDefault="003E4D23" w:rsidP="00E177B7">
            <w:pPr>
              <w:ind w:left="720" w:hanging="720"/>
              <w:jc w:val="both"/>
              <w:rPr>
                <w:rFonts w:cs="Arial"/>
                <w:color w:val="000000" w:themeColor="text1"/>
              </w:rPr>
            </w:pPr>
            <w:r w:rsidRPr="00690FE8">
              <w:rPr>
                <w:rFonts w:cs="Arial"/>
                <w:color w:val="000000" w:themeColor="text1"/>
              </w:rPr>
              <w:t>5</w:t>
            </w:r>
            <w:r w:rsidR="00417428" w:rsidRPr="00690FE8">
              <w:rPr>
                <w:rFonts w:cs="Arial"/>
                <w:color w:val="000000" w:themeColor="text1"/>
              </w:rPr>
              <w:t>.1</w:t>
            </w:r>
            <w:r w:rsidR="00417428" w:rsidRPr="00690FE8">
              <w:rPr>
                <w:rFonts w:cs="Arial"/>
                <w:color w:val="000000" w:themeColor="text1"/>
              </w:rPr>
              <w:tab/>
            </w:r>
            <w:r w:rsidR="00417428" w:rsidRPr="00690FE8">
              <w:rPr>
                <w:rFonts w:eastAsia="Calibri" w:cs="Arial"/>
                <w:color w:val="000000" w:themeColor="text1"/>
                <w:lang w:eastAsia="en-US"/>
              </w:rPr>
              <w:t xml:space="preserve">Obě Smluvní strany berou na vědomí, že informace, která každá </w:t>
            </w:r>
            <w:r w:rsidRPr="00690FE8">
              <w:rPr>
                <w:rFonts w:eastAsia="Calibri" w:cs="Arial"/>
                <w:color w:val="000000" w:themeColor="text1"/>
                <w:lang w:eastAsia="en-US"/>
              </w:rPr>
              <w:t>z</w:t>
            </w:r>
            <w:r w:rsidR="00417428" w:rsidRPr="00690FE8">
              <w:rPr>
                <w:rFonts w:eastAsia="Calibri" w:cs="Arial"/>
                <w:color w:val="000000" w:themeColor="text1"/>
                <w:lang w:eastAsia="en-US"/>
              </w:rPr>
              <w:t>e stran poskytne či které získá v rámci Smlouvy, mohou obsahovat osobní údaje („Reprezentativní osobní údaje“), a že s těmito údaji budou nakládat v souladu s příslušnými právními předpisy upravujícími ochranu osobních údajů</w:t>
            </w:r>
            <w:r w:rsidR="00417428" w:rsidRPr="00690FE8">
              <w:rPr>
                <w:rFonts w:cs="Arial"/>
                <w:color w:val="000000" w:themeColor="text1"/>
              </w:rPr>
              <w:t>.</w:t>
            </w:r>
          </w:p>
          <w:p w14:paraId="30B90A6C" w14:textId="45B6F8BC" w:rsidR="00417428" w:rsidRPr="001D2788" w:rsidRDefault="003E4D23" w:rsidP="00E177B7">
            <w:pPr>
              <w:ind w:left="720" w:hanging="720"/>
              <w:jc w:val="both"/>
              <w:rPr>
                <w:rFonts w:cs="Arial"/>
              </w:rPr>
            </w:pPr>
            <w:r w:rsidRPr="00690FE8">
              <w:rPr>
                <w:rFonts w:cs="Arial"/>
                <w:color w:val="000000" w:themeColor="text1"/>
              </w:rPr>
              <w:t>5</w:t>
            </w:r>
            <w:r w:rsidR="00417428" w:rsidRPr="00690FE8">
              <w:rPr>
                <w:rFonts w:cs="Arial"/>
                <w:color w:val="000000" w:themeColor="text1"/>
              </w:rPr>
              <w:t>.2</w:t>
            </w:r>
            <w:r w:rsidR="00417428" w:rsidRPr="00690FE8">
              <w:rPr>
                <w:rFonts w:cs="Arial"/>
                <w:color w:val="000000" w:themeColor="text1"/>
              </w:rPr>
              <w:tab/>
            </w:r>
            <w:r w:rsidR="00417428" w:rsidRPr="00690FE8">
              <w:rPr>
                <w:rFonts w:cs="Arial"/>
                <w:bCs/>
                <w:color w:val="000000" w:themeColor="text1"/>
              </w:rPr>
              <w:t>Každá ze Smluvních stran bude shromažďovat, zpracovávat a uchovávat Reprezentativní osobní údaje za účelem správy smluvního vztahu tak, jak je dohodnuto v této Smlouvě. Takové zpracování bude provedeno na základě nutnosti zpracování za účelem plnění Smlouvy. Reprezentativní osobní údaj</w:t>
            </w:r>
            <w:r w:rsidR="00417428" w:rsidRPr="001D2788">
              <w:rPr>
                <w:rFonts w:cs="Arial"/>
                <w:bCs/>
              </w:rPr>
              <w:t>e mohou obsahovat jména a kontaktní údaje zástupců Smluvních stran, které podepsaly tuto Smlouvu</w:t>
            </w:r>
            <w:r w:rsidR="00417428" w:rsidRPr="001D2788">
              <w:rPr>
                <w:rFonts w:cs="Arial"/>
              </w:rPr>
              <w:t>.</w:t>
            </w:r>
          </w:p>
          <w:p w14:paraId="45D19305" w14:textId="6489CE41" w:rsidR="00417428" w:rsidRPr="001D2788" w:rsidRDefault="003E4D23" w:rsidP="00E177B7">
            <w:pPr>
              <w:ind w:left="720" w:hanging="720"/>
              <w:jc w:val="both"/>
              <w:rPr>
                <w:rFonts w:cs="Arial"/>
              </w:rPr>
            </w:pPr>
            <w:r w:rsidRPr="001D2788">
              <w:rPr>
                <w:rFonts w:cs="Arial"/>
              </w:rPr>
              <w:t>5</w:t>
            </w:r>
            <w:r w:rsidR="00417428" w:rsidRPr="001D2788">
              <w:rPr>
                <w:rFonts w:cs="Arial"/>
              </w:rPr>
              <w:t>.3</w:t>
            </w:r>
            <w:r w:rsidR="00417428" w:rsidRPr="001D2788">
              <w:rPr>
                <w:rFonts w:cs="Arial"/>
              </w:rPr>
              <w:tab/>
            </w:r>
            <w:r w:rsidR="00417428" w:rsidRPr="001D2788">
              <w:rPr>
                <w:rFonts w:cs="Arial"/>
                <w:bCs/>
              </w:rPr>
              <w:t xml:space="preserve">Smluvní strany mohou poskytnout Reprezentativní osobní údaje k dispozici obchodním partnerům, dodavatelům, zhotovitelům a přidruženým subjektům kdekoli na světě, pokud to vyžaduje účel Smlouvy. V případě, že dojde k převodu Reprezentativních osobních údajů mimo Evropský hospodářský prostor, obě Smluvní strany přijmou vhodná opatření, aby zajistily přiměřené právní záruky týkající se bezpečnosti a ochrany </w:t>
            </w:r>
            <w:r w:rsidR="00417428" w:rsidRPr="001D2788">
              <w:rPr>
                <w:rFonts w:cs="Arial"/>
                <w:bCs/>
              </w:rPr>
              <w:lastRenderedPageBreak/>
              <w:t>Reprezentativních osobních údajů tak, aby byla ochrana těchto údajů na úrovni rovnocenné úrovni poskytované platným právem na ochranu osobních údajů v Evropském hospodářském prostoru</w:t>
            </w:r>
            <w:r w:rsidR="00417428" w:rsidRPr="001D2788">
              <w:rPr>
                <w:rFonts w:cs="Arial"/>
              </w:rPr>
              <w:t>.</w:t>
            </w:r>
          </w:p>
          <w:p w14:paraId="14021317" w14:textId="0ACE9DEA" w:rsidR="00417428" w:rsidRPr="001D2788" w:rsidRDefault="003E4D23" w:rsidP="00E177B7">
            <w:pPr>
              <w:ind w:left="720" w:hanging="720"/>
              <w:jc w:val="both"/>
              <w:rPr>
                <w:rFonts w:cs="Arial"/>
              </w:rPr>
            </w:pPr>
            <w:r w:rsidRPr="001D2788">
              <w:rPr>
                <w:rFonts w:cs="Arial"/>
              </w:rPr>
              <w:t>5</w:t>
            </w:r>
            <w:r w:rsidR="00417428" w:rsidRPr="001D2788">
              <w:rPr>
                <w:rFonts w:cs="Arial"/>
              </w:rPr>
              <w:t>.4</w:t>
            </w:r>
            <w:r w:rsidR="00417428" w:rsidRPr="001D2788">
              <w:rPr>
                <w:rFonts w:cs="Arial"/>
              </w:rPr>
              <w:tab/>
            </w:r>
            <w:r w:rsidR="00417428" w:rsidRPr="001D2788">
              <w:rPr>
                <w:rFonts w:cs="Arial"/>
                <w:bCs/>
              </w:rPr>
              <w:t xml:space="preserve">Osobní údaje budou zpracovávány po dobu, která je stanovena platnými právními předpisy k dosažení účelů uvedených v článku </w:t>
            </w:r>
            <w:r w:rsidRPr="001D2788">
              <w:rPr>
                <w:rFonts w:cs="Arial"/>
                <w:bCs/>
              </w:rPr>
              <w:t>5</w:t>
            </w:r>
            <w:r w:rsidR="00417428" w:rsidRPr="001D2788">
              <w:rPr>
                <w:rFonts w:cs="Arial"/>
                <w:bCs/>
              </w:rPr>
              <w:t>.2. Obě Smluvní strany přijmou technická a organizační opatření nezbytná k zajištění odpovídající úrovně ochrany před neoprávněným přístupem nebo krádeží, jakož i náhodnou ztrátou, manipulací nebo zničením</w:t>
            </w:r>
            <w:r w:rsidR="00417428" w:rsidRPr="001D2788">
              <w:rPr>
                <w:rFonts w:cs="Arial"/>
              </w:rPr>
              <w:t>.</w:t>
            </w:r>
          </w:p>
          <w:p w14:paraId="2EA31EE4" w14:textId="21C67C1A" w:rsidR="00417428" w:rsidRPr="001D2788" w:rsidRDefault="003E4D23" w:rsidP="00E177B7">
            <w:pPr>
              <w:ind w:left="720" w:hanging="720"/>
              <w:jc w:val="both"/>
              <w:rPr>
                <w:rFonts w:cs="Arial"/>
              </w:rPr>
            </w:pPr>
            <w:r w:rsidRPr="001D2788">
              <w:rPr>
                <w:rFonts w:cs="Arial"/>
              </w:rPr>
              <w:t>5</w:t>
            </w:r>
            <w:r w:rsidR="00417428" w:rsidRPr="001D2788">
              <w:rPr>
                <w:rFonts w:cs="Arial"/>
              </w:rPr>
              <w:t>.5</w:t>
            </w:r>
            <w:r w:rsidR="00417428" w:rsidRPr="001D2788">
              <w:rPr>
                <w:rFonts w:cs="Arial"/>
              </w:rPr>
              <w:tab/>
            </w:r>
            <w:r w:rsidR="00417428" w:rsidRPr="001D2788">
              <w:rPr>
                <w:rFonts w:cs="Arial"/>
                <w:bCs/>
              </w:rPr>
              <w:t xml:space="preserve">Podpisující zástupce každé Smluvní strany má určitá práva, pokud jde o druhou Smluvní stranu zpracovávající jeho osobní údaje. Taková práva zahrnují právo na přístup, opravu, informace, omezení, vymazání, odnětí dřívějšího souhlasu, odmítnutí, přenositelnost údajů a podávání stížností u příslušných orgánů pro ochranu osobních údajů. </w:t>
            </w:r>
            <w:r w:rsidRPr="001D2788">
              <w:rPr>
                <w:rFonts w:cs="Arial"/>
                <w:bCs/>
              </w:rPr>
              <w:t>Organizace</w:t>
            </w:r>
            <w:r w:rsidR="00417428" w:rsidRPr="001D2788">
              <w:rPr>
                <w:rFonts w:cs="Arial"/>
                <w:bCs/>
              </w:rPr>
              <w:t xml:space="preserve"> může jakékoli žádosti nebo stížnosti směřovat na adresu </w:t>
            </w:r>
          </w:p>
          <w:p w14:paraId="42E4D9E2" w14:textId="77777777" w:rsidR="000700F3" w:rsidRPr="001D2788" w:rsidRDefault="000700F3" w:rsidP="005574A7">
            <w:pPr>
              <w:tabs>
                <w:tab w:val="right" w:pos="9361"/>
              </w:tabs>
              <w:ind w:left="720" w:hanging="720"/>
              <w:jc w:val="both"/>
              <w:rPr>
                <w:b/>
              </w:rPr>
            </w:pPr>
          </w:p>
          <w:p w14:paraId="5744ACB5" w14:textId="6C5788C0" w:rsidR="005E4FB2" w:rsidRPr="001D2788" w:rsidRDefault="005E4FB2" w:rsidP="005574A7">
            <w:pPr>
              <w:tabs>
                <w:tab w:val="right" w:pos="9361"/>
              </w:tabs>
              <w:ind w:left="720" w:hanging="720"/>
              <w:jc w:val="both"/>
              <w:rPr>
                <w:b/>
              </w:rPr>
            </w:pPr>
            <w:r w:rsidRPr="001D2788">
              <w:rPr>
                <w:b/>
              </w:rPr>
              <w:t xml:space="preserve">Článek </w:t>
            </w:r>
            <w:r w:rsidR="00D5681A" w:rsidRPr="001D2788">
              <w:rPr>
                <w:b/>
              </w:rPr>
              <w:t>6</w:t>
            </w:r>
            <w:r w:rsidRPr="001D2788">
              <w:rPr>
                <w:b/>
              </w:rPr>
              <w:t xml:space="preserve"> – Uveřejnění v reg</w:t>
            </w:r>
            <w:r w:rsidR="00157EC2" w:rsidRPr="001D2788">
              <w:rPr>
                <w:b/>
              </w:rPr>
              <w:t>i</w:t>
            </w:r>
            <w:r w:rsidRPr="001D2788">
              <w:rPr>
                <w:b/>
              </w:rPr>
              <w:t>stru smluv</w:t>
            </w:r>
          </w:p>
          <w:p w14:paraId="00A2754C" w14:textId="6F52068E" w:rsidR="005E4FB2" w:rsidRPr="001D2788" w:rsidRDefault="00D5681A" w:rsidP="005574A7">
            <w:pPr>
              <w:tabs>
                <w:tab w:val="right" w:pos="9361"/>
              </w:tabs>
              <w:ind w:left="720" w:hanging="720"/>
              <w:jc w:val="both"/>
            </w:pPr>
            <w:r w:rsidRPr="001D2788">
              <w:t>6</w:t>
            </w:r>
            <w:r w:rsidR="005E4FB2" w:rsidRPr="001D2788">
              <w:t>.1</w:t>
            </w:r>
            <w:r w:rsidR="005E4FB2" w:rsidRPr="001D2788">
              <w:tab/>
            </w:r>
            <w:r w:rsidR="005E4FB2" w:rsidRPr="00A21B53">
              <w:t xml:space="preserve">Pro případ, že </w:t>
            </w:r>
            <w:r w:rsidR="00677541" w:rsidRPr="00A21B53">
              <w:t>zákon č. 340/2015 Sb., o zvláštních podmínkách účinnosti některých smluv, uveřejňování těchto smluv a o registru smluv (zákon o registru smluv), ve znění pozdějších předpisů (dále jen „</w:t>
            </w:r>
            <w:r w:rsidR="00677541" w:rsidRPr="00A21B53">
              <w:rPr>
                <w:b/>
                <w:bCs/>
              </w:rPr>
              <w:t>Zákon o registru smluv</w:t>
            </w:r>
            <w:r w:rsidR="00677541" w:rsidRPr="00A21B53">
              <w:t>“)</w:t>
            </w:r>
            <w:r w:rsidR="005E4FB2" w:rsidRPr="00A21B53">
              <w:t xml:space="preserve"> vyžaduje, aby tato Smlouva byla uveřejněna v registru smluv, se Strany dohodly, že její uveřejnění zajistí Organizace, a to nejpozději do 30 dní od uzavření této Smlouvy a plně v souladu s požadavky Zákon</w:t>
            </w:r>
            <w:r w:rsidR="00677541" w:rsidRPr="00A21B53">
              <w:t>a</w:t>
            </w:r>
            <w:r w:rsidR="005E4FB2" w:rsidRPr="00A21B53">
              <w:t xml:space="preserve"> o registru smluv.</w:t>
            </w:r>
          </w:p>
          <w:p w14:paraId="737A9A68" w14:textId="55249735" w:rsidR="005E4FB2" w:rsidRPr="001D2788" w:rsidRDefault="00D5681A" w:rsidP="005574A7">
            <w:pPr>
              <w:tabs>
                <w:tab w:val="right" w:pos="9361"/>
              </w:tabs>
              <w:ind w:left="720" w:hanging="720"/>
              <w:jc w:val="both"/>
            </w:pPr>
            <w:r w:rsidRPr="001D2788">
              <w:t>6</w:t>
            </w:r>
            <w:r w:rsidR="005E4FB2" w:rsidRPr="001D2788">
              <w:t>.2</w:t>
            </w:r>
            <w:r w:rsidR="005E4FB2" w:rsidRPr="001D2788">
              <w:tab/>
              <w:t>Organizace se zavazuje:</w:t>
            </w:r>
          </w:p>
          <w:p w14:paraId="418271A8" w14:textId="069744FB" w:rsidR="005E4FB2" w:rsidRPr="001D2788" w:rsidRDefault="005E4FB2" w:rsidP="00E177B7">
            <w:pPr>
              <w:tabs>
                <w:tab w:val="right" w:pos="9361"/>
              </w:tabs>
              <w:ind w:left="1170" w:hanging="425"/>
              <w:jc w:val="both"/>
            </w:pPr>
            <w:r w:rsidRPr="001D2788">
              <w:t>(a)</w:t>
            </w:r>
            <w:r w:rsidRPr="001D2788">
              <w:tab/>
              <w:t>znečitelnit ve Smlouvě před jejím odesláním správci registru smluv ty její části, které jsou dle Zákona o registru smluv vyloučeny z uveřejnění, a to zejména ty její části, které obsahují osobní údaje zaměstnanců či jiných pracovníků Společnosti nebo obchodní tajemství Společnosti;</w:t>
            </w:r>
          </w:p>
          <w:p w14:paraId="444F125F" w14:textId="66C6F835" w:rsidR="005E4FB2" w:rsidRPr="001D2788" w:rsidRDefault="005E4FB2" w:rsidP="00E177B7">
            <w:pPr>
              <w:tabs>
                <w:tab w:val="right" w:pos="9361"/>
              </w:tabs>
              <w:ind w:left="1170" w:hanging="425"/>
              <w:jc w:val="both"/>
            </w:pPr>
            <w:r w:rsidRPr="001D2788">
              <w:lastRenderedPageBreak/>
              <w:t>(b)</w:t>
            </w:r>
            <w:r w:rsidRPr="001D2788">
              <w:tab/>
              <w:t>uveřejnit tuto Smlouvu v registru smluv pouze v takové podobě, kterou Společnost předem písemně či e-mailem odsouhlasí; a</w:t>
            </w:r>
          </w:p>
          <w:p w14:paraId="2880A646" w14:textId="552AB3A0" w:rsidR="005E4FB2" w:rsidRPr="001D2788" w:rsidRDefault="005E4FB2" w:rsidP="00E177B7">
            <w:pPr>
              <w:tabs>
                <w:tab w:val="right" w:pos="9361"/>
              </w:tabs>
              <w:ind w:left="1170" w:hanging="425"/>
              <w:jc w:val="both"/>
            </w:pPr>
            <w:r w:rsidRPr="001D2788">
              <w:t>(c)</w:t>
            </w:r>
            <w:r w:rsidRPr="001D2788">
              <w:tab/>
              <w:t>vyplnit ve formuláři pro uveřejnění Smlouvy v registru smluv adresu datové schránky Společnosti, aby správce registru smluv mohl Společnosti zaslat potvrzení o uveřejnění podle § 5 odst. 4 Zákona o registru smluv.</w:t>
            </w:r>
          </w:p>
          <w:p w14:paraId="6A778426" w14:textId="704F85B5" w:rsidR="005E4FB2" w:rsidRPr="001D2788" w:rsidRDefault="00764299" w:rsidP="005574A7">
            <w:pPr>
              <w:tabs>
                <w:tab w:val="right" w:pos="9361"/>
              </w:tabs>
              <w:ind w:left="720" w:hanging="720"/>
              <w:jc w:val="both"/>
            </w:pPr>
            <w:r w:rsidRPr="001D2788">
              <w:t>6</w:t>
            </w:r>
            <w:r w:rsidR="005E4FB2" w:rsidRPr="001D2788">
              <w:t>.3</w:t>
            </w:r>
            <w:r w:rsidR="005E4FB2" w:rsidRPr="001D2788">
              <w:tab/>
              <w:t xml:space="preserve">Neuveřejní-li Organizace tuto Smlouvu v registru smluv ve lhůtě ujednané v článku </w:t>
            </w:r>
            <w:r w:rsidRPr="001D2788">
              <w:t>6</w:t>
            </w:r>
            <w:r w:rsidR="005E4FB2" w:rsidRPr="001D2788">
              <w:t xml:space="preserve">.1, bude Společnost oprávněna tuto Smlouvu uveřejnit v registru smluv sama. </w:t>
            </w:r>
          </w:p>
          <w:p w14:paraId="061592E7" w14:textId="1BC3C9C2" w:rsidR="005E4FB2" w:rsidRPr="001D2788" w:rsidRDefault="00764299" w:rsidP="005574A7">
            <w:pPr>
              <w:tabs>
                <w:tab w:val="right" w:pos="9361"/>
              </w:tabs>
              <w:ind w:left="720" w:hanging="720"/>
              <w:jc w:val="both"/>
            </w:pPr>
            <w:r w:rsidRPr="001D2788">
              <w:t>6</w:t>
            </w:r>
            <w:r w:rsidR="005E4FB2" w:rsidRPr="001D2788">
              <w:t>.4</w:t>
            </w:r>
            <w:r w:rsidR="005E4FB2" w:rsidRPr="001D2788">
              <w:tab/>
              <w:t xml:space="preserve">Ujednání tohoto článku </w:t>
            </w:r>
            <w:r w:rsidRPr="001D2788">
              <w:t>6</w:t>
            </w:r>
            <w:r w:rsidR="005E4FB2" w:rsidRPr="001D2788">
              <w:t xml:space="preserve"> se použijí </w:t>
            </w:r>
            <w:r w:rsidR="005E4FB2" w:rsidRPr="001D2788">
              <w:rPr>
                <w:i/>
                <w:iCs/>
              </w:rPr>
              <w:t>mutatis mutandis</w:t>
            </w:r>
            <w:r w:rsidR="005E4FB2" w:rsidRPr="001D2788">
              <w:t xml:space="preserve"> také na uveřejnění jakéhokoli dodatku k této Smlouvě v registru smluv.</w:t>
            </w:r>
          </w:p>
          <w:p w14:paraId="04B16D61" w14:textId="19584FCF" w:rsidR="005E4FB2" w:rsidRPr="001D2788" w:rsidRDefault="00764299" w:rsidP="005574A7">
            <w:pPr>
              <w:tabs>
                <w:tab w:val="right" w:pos="9361"/>
              </w:tabs>
              <w:ind w:left="720" w:hanging="720"/>
              <w:jc w:val="both"/>
            </w:pPr>
            <w:r w:rsidRPr="001D2788">
              <w:t>6</w:t>
            </w:r>
            <w:r w:rsidR="005E4FB2" w:rsidRPr="001D2788">
              <w:t>.5</w:t>
            </w:r>
            <w:r w:rsidR="005E4FB2" w:rsidRPr="001D2788">
              <w:tab/>
              <w:t xml:space="preserve">Nevyžaduje-li Zákon o registru smluv, aby tato Smlouva byla uveřejněna v registru smluv, tento článek </w:t>
            </w:r>
            <w:r w:rsidRPr="001D2788">
              <w:t>6</w:t>
            </w:r>
            <w:r w:rsidR="005E4FB2" w:rsidRPr="001D2788">
              <w:t xml:space="preserve"> se nepoužije.</w:t>
            </w:r>
          </w:p>
          <w:p w14:paraId="5E87A182" w14:textId="77777777" w:rsidR="005E4FB2" w:rsidRPr="001D2788" w:rsidRDefault="005E4FB2" w:rsidP="005574A7">
            <w:pPr>
              <w:tabs>
                <w:tab w:val="right" w:pos="9361"/>
              </w:tabs>
              <w:ind w:left="720" w:hanging="720"/>
              <w:jc w:val="both"/>
              <w:rPr>
                <w:b/>
              </w:rPr>
            </w:pPr>
          </w:p>
          <w:p w14:paraId="608790C3" w14:textId="4BA67857" w:rsidR="000700F3" w:rsidRPr="001D2788" w:rsidRDefault="000700F3" w:rsidP="00E177B7">
            <w:pPr>
              <w:tabs>
                <w:tab w:val="right" w:pos="9361"/>
              </w:tabs>
              <w:jc w:val="both"/>
              <w:rPr>
                <w:b/>
              </w:rPr>
            </w:pPr>
            <w:r w:rsidRPr="001D2788">
              <w:rPr>
                <w:b/>
              </w:rPr>
              <w:t xml:space="preserve">Článek </w:t>
            </w:r>
            <w:r w:rsidR="0063048E" w:rsidRPr="001D2788">
              <w:rPr>
                <w:b/>
              </w:rPr>
              <w:t>7</w:t>
            </w:r>
            <w:r w:rsidR="003E4D23" w:rsidRPr="001D2788">
              <w:rPr>
                <w:b/>
              </w:rPr>
              <w:t xml:space="preserve"> </w:t>
            </w:r>
            <w:r w:rsidRPr="001D2788">
              <w:rPr>
                <w:b/>
              </w:rPr>
              <w:t>– Různé</w:t>
            </w:r>
            <w:r w:rsidRPr="001D2788">
              <w:rPr>
                <w:b/>
              </w:rPr>
              <w:tab/>
            </w:r>
          </w:p>
          <w:p w14:paraId="009A002F" w14:textId="4C637CDE" w:rsidR="00E177B7" w:rsidRPr="001D2788" w:rsidRDefault="0063048E" w:rsidP="00E177B7">
            <w:pPr>
              <w:ind w:left="720" w:hanging="720"/>
              <w:jc w:val="both"/>
            </w:pPr>
            <w:r w:rsidRPr="001D2788">
              <w:t>7</w:t>
            </w:r>
            <w:r w:rsidR="000700F3" w:rsidRPr="001D2788">
              <w:t>.1</w:t>
            </w:r>
            <w:r w:rsidR="000700F3" w:rsidRPr="001D2788">
              <w:tab/>
              <w:t>Tato Smlouva a její Přílohy obsahují úplnou dohodu a ujednání mezi Smluvními stranami ohledně jejího předmětu a nahrazují všechny předchozí dohody nebo ujednání v písemné či ústní formě, pokud jde o ten samý předmět, které jsou nadále účinné mezi Smluvními stranami.</w:t>
            </w:r>
          </w:p>
          <w:p w14:paraId="26D1D0CA" w14:textId="47D394B0" w:rsidR="00E177B7" w:rsidRPr="001D2788" w:rsidRDefault="0063048E" w:rsidP="00E177B7">
            <w:pPr>
              <w:ind w:left="720" w:hanging="720"/>
              <w:jc w:val="both"/>
            </w:pPr>
            <w:r w:rsidRPr="001D2788">
              <w:t>7</w:t>
            </w:r>
            <w:r w:rsidR="00E177B7" w:rsidRPr="001D2788">
              <w:t>.2</w:t>
            </w:r>
            <w:r w:rsidR="00E177B7" w:rsidRPr="001D2788">
              <w:tab/>
              <w:t>Tato Smlouva nabývá platnosti a účinnosti dnem jejího podpisu poslední ze Smluvních stran; podléhá-li však tato Smlouva uveřejnění v registru smluv, nabývá účinnosti dle ustanovení Zákona o registru smluv.</w:t>
            </w:r>
          </w:p>
          <w:p w14:paraId="08263B86" w14:textId="455B7F4E" w:rsidR="000700F3" w:rsidRPr="001D2788" w:rsidRDefault="0063048E" w:rsidP="00E177B7">
            <w:pPr>
              <w:ind w:left="720" w:hanging="720"/>
              <w:jc w:val="both"/>
            </w:pPr>
            <w:r w:rsidRPr="001D2788">
              <w:t>7</w:t>
            </w:r>
            <w:r w:rsidR="000700F3" w:rsidRPr="001D2788">
              <w:t>.</w:t>
            </w:r>
            <w:r w:rsidR="00E177B7" w:rsidRPr="001D2788">
              <w:t>3</w:t>
            </w:r>
            <w:r w:rsidR="000700F3" w:rsidRPr="001D2788">
              <w:tab/>
              <w:t xml:space="preserve">Změny nebo doplnění této Smlouvy je možné provádět pouze formou písemné dohody podepsané </w:t>
            </w:r>
            <w:r w:rsidR="00E264C6" w:rsidRPr="001D2788">
              <w:t>jménem</w:t>
            </w:r>
            <w:r w:rsidR="000700F3" w:rsidRPr="001D2788">
              <w:t xml:space="preserve"> každé ze Smluvních stran této Smlouvy.</w:t>
            </w:r>
          </w:p>
          <w:p w14:paraId="3DC63EA6" w14:textId="5966F0C7" w:rsidR="000700F3" w:rsidRPr="001D2788" w:rsidRDefault="0063048E" w:rsidP="00E177B7">
            <w:pPr>
              <w:ind w:left="720" w:hanging="720"/>
              <w:jc w:val="both"/>
            </w:pPr>
            <w:r w:rsidRPr="001D2788">
              <w:rPr>
                <w:rFonts w:eastAsia="Calibri"/>
                <w:lang w:eastAsia="en-US"/>
              </w:rPr>
              <w:t>7</w:t>
            </w:r>
            <w:r w:rsidR="000700F3" w:rsidRPr="001D2788">
              <w:rPr>
                <w:rFonts w:eastAsia="Calibri"/>
                <w:lang w:eastAsia="en-US"/>
              </w:rPr>
              <w:t>.</w:t>
            </w:r>
            <w:r w:rsidR="00E177B7" w:rsidRPr="001D2788">
              <w:rPr>
                <w:rFonts w:eastAsia="Calibri"/>
                <w:lang w:eastAsia="en-US"/>
              </w:rPr>
              <w:t>4</w:t>
            </w:r>
            <w:r w:rsidR="000700F3" w:rsidRPr="001D2788">
              <w:rPr>
                <w:rFonts w:eastAsia="Calibri"/>
                <w:lang w:eastAsia="en-US"/>
              </w:rPr>
              <w:t xml:space="preserve"> </w:t>
            </w:r>
            <w:r w:rsidR="000700F3" w:rsidRPr="001D2788">
              <w:rPr>
                <w:rFonts w:eastAsia="Calibri"/>
                <w:lang w:eastAsia="en-US"/>
              </w:rPr>
              <w:tab/>
            </w:r>
            <w:r w:rsidR="000700F3" w:rsidRPr="001D2788">
              <w:t>Organizace nepostoupí</w:t>
            </w:r>
            <w:r w:rsidR="00E264C6" w:rsidRPr="001D2788">
              <w:t>,</w:t>
            </w:r>
            <w:r w:rsidR="000700F3" w:rsidRPr="001D2788">
              <w:t xml:space="preserve"> nepřevede </w:t>
            </w:r>
            <w:r w:rsidR="00E264C6" w:rsidRPr="001D2788">
              <w:t xml:space="preserve">ani jiným způsobem nenaloží s </w:t>
            </w:r>
            <w:r w:rsidR="000700F3" w:rsidRPr="001D2788">
              <w:t>jak</w:t>
            </w:r>
            <w:r w:rsidR="00E264C6" w:rsidRPr="001D2788">
              <w:t>ýmikoli</w:t>
            </w:r>
            <w:r w:rsidR="000700F3" w:rsidRPr="001D2788">
              <w:t xml:space="preserve"> sv</w:t>
            </w:r>
            <w:r w:rsidR="00E264C6" w:rsidRPr="001D2788">
              <w:t>ými</w:t>
            </w:r>
            <w:r w:rsidR="000700F3" w:rsidRPr="001D2788">
              <w:t xml:space="preserve"> práv</w:t>
            </w:r>
            <w:r w:rsidR="00E264C6" w:rsidRPr="001D2788">
              <w:t>y</w:t>
            </w:r>
            <w:r w:rsidR="000700F3" w:rsidRPr="001D2788">
              <w:t>, povinnost</w:t>
            </w:r>
            <w:r w:rsidR="00E264C6" w:rsidRPr="001D2788">
              <w:t>mi</w:t>
            </w:r>
            <w:r w:rsidR="000700F3" w:rsidRPr="001D2788">
              <w:t xml:space="preserve"> či závazk</w:t>
            </w:r>
            <w:r w:rsidR="00E264C6" w:rsidRPr="001D2788">
              <w:t>y</w:t>
            </w:r>
            <w:r w:rsidR="000700F3" w:rsidRPr="001D2788">
              <w:t xml:space="preserve"> plynoucí</w:t>
            </w:r>
            <w:r w:rsidR="00E264C6" w:rsidRPr="001D2788">
              <w:t>mi</w:t>
            </w:r>
            <w:r w:rsidR="000700F3" w:rsidRPr="001D2788">
              <w:t xml:space="preserve"> z této Smlouvy bez předchozího písemného souhlasu Společnosti</w:t>
            </w:r>
            <w:r w:rsidR="00E264C6" w:rsidRPr="001D2788">
              <w:t>.</w:t>
            </w:r>
          </w:p>
          <w:p w14:paraId="795E3E44" w14:textId="71028F4F" w:rsidR="000700F3" w:rsidRPr="00690FE8" w:rsidRDefault="0063048E" w:rsidP="00E177B7">
            <w:pPr>
              <w:ind w:left="720" w:hanging="720"/>
              <w:jc w:val="both"/>
              <w:rPr>
                <w:color w:val="000000" w:themeColor="text1"/>
              </w:rPr>
            </w:pPr>
            <w:r w:rsidRPr="001D2788">
              <w:t>7</w:t>
            </w:r>
            <w:r w:rsidR="000700F3" w:rsidRPr="001D2788">
              <w:t>.</w:t>
            </w:r>
            <w:r w:rsidR="00E177B7" w:rsidRPr="001D2788">
              <w:t>5</w:t>
            </w:r>
            <w:r w:rsidR="000700F3" w:rsidRPr="001D2788">
              <w:tab/>
            </w:r>
            <w:r w:rsidR="000700F3" w:rsidRPr="001D2788">
              <w:rPr>
                <w:rFonts w:eastAsia="Calibri"/>
                <w:lang w:eastAsia="en-US"/>
              </w:rPr>
              <w:t xml:space="preserve">Tato Smlouva se </w:t>
            </w:r>
            <w:r w:rsidR="000700F3" w:rsidRPr="00690FE8">
              <w:rPr>
                <w:rFonts w:eastAsia="Calibri"/>
                <w:color w:val="000000" w:themeColor="text1"/>
                <w:lang w:eastAsia="en-US"/>
              </w:rPr>
              <w:t xml:space="preserve">vykládá v souladu s právním řádem </w:t>
            </w:r>
            <w:r w:rsidR="0035312F" w:rsidRPr="00690FE8">
              <w:rPr>
                <w:rFonts w:eastAsia="Calibri"/>
                <w:color w:val="000000" w:themeColor="text1"/>
                <w:lang w:eastAsia="en-US"/>
              </w:rPr>
              <w:t>České republiky</w:t>
            </w:r>
            <w:r w:rsidR="000700F3" w:rsidRPr="00690FE8">
              <w:rPr>
                <w:rFonts w:eastAsia="Calibri"/>
                <w:color w:val="000000" w:themeColor="text1"/>
                <w:lang w:eastAsia="en-US"/>
              </w:rPr>
              <w:t xml:space="preserve">,  </w:t>
            </w:r>
            <w:r w:rsidR="000700F3" w:rsidRPr="00690FE8">
              <w:rPr>
                <w:rFonts w:eastAsia="Calibri"/>
                <w:color w:val="000000" w:themeColor="text1"/>
                <w:lang w:eastAsia="en-US"/>
              </w:rPr>
              <w:lastRenderedPageBreak/>
              <w:t xml:space="preserve">přičemž jakýkoli spor, který není možné vyřešit smírně, se předkládá soudům </w:t>
            </w:r>
            <w:r w:rsidR="0035312F" w:rsidRPr="00690FE8">
              <w:rPr>
                <w:rFonts w:eastAsia="Calibri"/>
                <w:color w:val="000000" w:themeColor="text1"/>
                <w:lang w:eastAsia="en-US"/>
              </w:rPr>
              <w:t>České republiky</w:t>
            </w:r>
            <w:r w:rsidR="000700F3" w:rsidRPr="00690FE8">
              <w:rPr>
                <w:rFonts w:eastAsia="Calibri"/>
                <w:color w:val="000000" w:themeColor="text1"/>
                <w:lang w:eastAsia="en-US"/>
              </w:rPr>
              <w:t xml:space="preserve">. </w:t>
            </w:r>
          </w:p>
          <w:p w14:paraId="2F87C059" w14:textId="77777777" w:rsidR="000700F3" w:rsidRPr="00690FE8" w:rsidRDefault="000700F3" w:rsidP="005574A7">
            <w:pPr>
              <w:ind w:left="720" w:hanging="720"/>
              <w:jc w:val="both"/>
              <w:rPr>
                <w:color w:val="000000" w:themeColor="text1"/>
              </w:rPr>
            </w:pPr>
          </w:p>
          <w:p w14:paraId="59F6C7C3" w14:textId="49C72BA7" w:rsidR="001F5A24" w:rsidRDefault="001F5A24" w:rsidP="005574A7">
            <w:pPr>
              <w:jc w:val="both"/>
            </w:pPr>
            <w:r w:rsidRPr="00690FE8">
              <w:rPr>
                <w:color w:val="000000" w:themeColor="text1"/>
              </w:rPr>
              <w:t xml:space="preserve">Smlouva je vyhotovena ve dvou </w:t>
            </w:r>
            <w:r w:rsidRPr="001F5A24">
              <w:t>stejnopisech v českém a anglickém jazyce, přičemž v případě rozporů je rozhodující česká verze.</w:t>
            </w:r>
          </w:p>
          <w:p w14:paraId="223C77CD" w14:textId="77777777" w:rsidR="001F5A24" w:rsidRDefault="001F5A24" w:rsidP="005574A7">
            <w:pPr>
              <w:jc w:val="both"/>
            </w:pPr>
          </w:p>
          <w:p w14:paraId="05EAE3BD" w14:textId="3A689A5D" w:rsidR="000700F3" w:rsidRPr="001D2788" w:rsidRDefault="000700F3" w:rsidP="005574A7">
            <w:pPr>
              <w:jc w:val="both"/>
            </w:pPr>
            <w:r w:rsidRPr="001D2788">
              <w:t xml:space="preserve">Svými podpisy připojenými níže vyjadřují Smluvní strany této Smlouvy souhlas se všemi jejími podmínkami. </w:t>
            </w:r>
          </w:p>
          <w:p w14:paraId="1F2F6F20" w14:textId="77777777" w:rsidR="000700F3" w:rsidRPr="001D2788" w:rsidRDefault="000700F3" w:rsidP="005574A7">
            <w:pPr>
              <w:ind w:left="720" w:hanging="720"/>
            </w:pPr>
          </w:p>
        </w:tc>
        <w:bookmarkStart w:id="1" w:name="_GoBack"/>
        <w:bookmarkEnd w:id="1"/>
      </w:tr>
    </w:tbl>
    <w:p w14:paraId="602E4ACC" w14:textId="77777777" w:rsidR="000700F3" w:rsidRDefault="000700F3"/>
    <w:p w14:paraId="6AF86F84" w14:textId="77777777" w:rsidR="00FD6150" w:rsidRDefault="00FD6150" w:rsidP="00197413">
      <w:pPr>
        <w:pStyle w:val="Zkladntext"/>
        <w:spacing w:before="120" w:beforeAutospacing="0" w:line="240" w:lineRule="auto"/>
        <w:contextualSpacing/>
        <w:rPr>
          <w:rFonts w:ascii="Arial" w:hAnsi="Arial"/>
          <w:sz w:val="20"/>
          <w:szCs w:val="20"/>
          <w:lang w:val="cs-CZ"/>
        </w:rPr>
      </w:pPr>
    </w:p>
    <w:p w14:paraId="57DAFB03" w14:textId="77777777" w:rsidR="00197413" w:rsidRDefault="00197413" w:rsidP="00197413">
      <w:pPr>
        <w:pStyle w:val="Zkladntext"/>
        <w:spacing w:before="120" w:beforeAutospacing="0" w:line="240" w:lineRule="auto"/>
        <w:contextualSpacing/>
        <w:rPr>
          <w:rFonts w:ascii="Arial" w:hAnsi="Arial"/>
          <w:sz w:val="20"/>
          <w:szCs w:val="20"/>
          <w:lang w:val="cs-CZ"/>
        </w:rPr>
      </w:pPr>
    </w:p>
    <w:tbl>
      <w:tblPr>
        <w:tblStyle w:val="Mkatabulky"/>
        <w:tblpPr w:leftFromText="141" w:rightFromText="141" w:vertAnchor="text" w:horzAnchor="margin" w:tblpY="70"/>
        <w:tblW w:w="9102" w:type="dxa"/>
        <w:tblLook w:val="04A0" w:firstRow="1" w:lastRow="0" w:firstColumn="1" w:lastColumn="0" w:noHBand="0" w:noVBand="1"/>
      </w:tblPr>
      <w:tblGrid>
        <w:gridCol w:w="4551"/>
        <w:gridCol w:w="4551"/>
      </w:tblGrid>
      <w:tr w:rsidR="002E42EC" w14:paraId="437E5C32" w14:textId="77777777" w:rsidTr="002E42EC">
        <w:trPr>
          <w:trHeight w:val="3939"/>
        </w:trPr>
        <w:tc>
          <w:tcPr>
            <w:tcW w:w="4551" w:type="dxa"/>
          </w:tcPr>
          <w:p w14:paraId="06DC76D6" w14:textId="77777777" w:rsidR="002E42EC" w:rsidRDefault="002E42EC" w:rsidP="002E42EC">
            <w:pPr>
              <w:pStyle w:val="Zkladntext"/>
              <w:spacing w:before="120" w:beforeAutospacing="0" w:line="240" w:lineRule="auto"/>
              <w:contextualSpacing/>
              <w:rPr>
                <w:rFonts w:ascii="Arial" w:hAnsi="Arial"/>
                <w:b/>
                <w:sz w:val="20"/>
                <w:szCs w:val="20"/>
              </w:rPr>
            </w:pPr>
            <w:r w:rsidRPr="00C576B8">
              <w:rPr>
                <w:rFonts w:ascii="Arial" w:hAnsi="Arial"/>
                <w:b/>
                <w:sz w:val="20"/>
                <w:szCs w:val="20"/>
              </w:rPr>
              <w:t xml:space="preserve">For and on behalf of the </w:t>
            </w:r>
            <w:r>
              <w:rPr>
                <w:rFonts w:ascii="Arial" w:hAnsi="Arial"/>
                <w:b/>
                <w:sz w:val="20"/>
                <w:szCs w:val="20"/>
              </w:rPr>
              <w:t>Organization /</w:t>
            </w:r>
          </w:p>
          <w:p w14:paraId="52C7B3ED" w14:textId="77777777" w:rsidR="002E42EC" w:rsidRDefault="002E42EC" w:rsidP="002E42EC">
            <w:pPr>
              <w:pStyle w:val="Zkladntext"/>
              <w:spacing w:before="120" w:beforeAutospacing="0" w:line="240" w:lineRule="auto"/>
              <w:contextualSpacing/>
              <w:rPr>
                <w:rFonts w:ascii="Arial" w:hAnsi="Arial"/>
                <w:b/>
                <w:sz w:val="20"/>
                <w:szCs w:val="20"/>
                <w:lang w:val="cs-CZ"/>
              </w:rPr>
            </w:pPr>
            <w:r>
              <w:rPr>
                <w:rFonts w:ascii="Arial" w:hAnsi="Arial"/>
                <w:b/>
                <w:sz w:val="20"/>
                <w:szCs w:val="20"/>
                <w:lang w:val="cs-CZ"/>
              </w:rPr>
              <w:t>Za Organizaci</w:t>
            </w:r>
            <w:r w:rsidRPr="00197413">
              <w:rPr>
                <w:rFonts w:ascii="Arial" w:hAnsi="Arial"/>
                <w:b/>
                <w:sz w:val="20"/>
                <w:szCs w:val="20"/>
                <w:lang w:val="cs-CZ"/>
              </w:rPr>
              <w:t xml:space="preserve"> </w:t>
            </w:r>
            <w:r>
              <w:rPr>
                <w:rFonts w:ascii="Arial" w:hAnsi="Arial"/>
                <w:b/>
                <w:sz w:val="20"/>
                <w:szCs w:val="20"/>
                <w:lang w:val="cs-CZ"/>
              </w:rPr>
              <w:tab/>
            </w:r>
          </w:p>
          <w:p w14:paraId="524E702D"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26324976"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723908E8"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1117B2B5" w14:textId="77777777" w:rsidR="002E42EC" w:rsidRDefault="002E42EC" w:rsidP="002E42EC">
            <w:pPr>
              <w:pStyle w:val="Zkladntext"/>
              <w:spacing w:before="120" w:beforeAutospacing="0" w:line="240" w:lineRule="auto"/>
              <w:contextualSpacing/>
              <w:rPr>
                <w:rFonts w:ascii="Arial" w:hAnsi="Arial"/>
                <w:b/>
                <w:sz w:val="20"/>
                <w:szCs w:val="20"/>
                <w:lang w:val="cs-CZ"/>
              </w:rPr>
            </w:pPr>
            <w:r>
              <w:rPr>
                <w:rFonts w:ascii="Arial" w:hAnsi="Arial"/>
                <w:noProof/>
                <w:sz w:val="20"/>
                <w:szCs w:val="20"/>
                <w:lang w:val="cs-CZ" w:eastAsia="cs-CZ"/>
              </w:rPr>
              <mc:AlternateContent>
                <mc:Choice Requires="wps">
                  <w:drawing>
                    <wp:anchor distT="4294967294" distB="4294967294" distL="114300" distR="114300" simplePos="0" relativeHeight="251659264" behindDoc="0" locked="0" layoutInCell="1" allowOverlap="1" wp14:anchorId="6370D439" wp14:editId="7A8A6CBD">
                      <wp:simplePos x="0" y="0"/>
                      <wp:positionH relativeFrom="column">
                        <wp:posOffset>-6350</wp:posOffset>
                      </wp:positionH>
                      <wp:positionV relativeFrom="paragraph">
                        <wp:posOffset>67933</wp:posOffset>
                      </wp:positionV>
                      <wp:extent cx="1930400" cy="0"/>
                      <wp:effectExtent l="0" t="0" r="317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3397F" id="Přímá spojnice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pt,5.35pt" to="1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" strokecolor="black [3200]" strokeweight=".5pt">
                      <v:stroke joinstyle="miter"/>
                      <o:lock v:ext="edit" shapetype="f"/>
                    </v:line>
                  </w:pict>
                </mc:Fallback>
              </mc:AlternateContent>
            </w:r>
          </w:p>
          <w:p w14:paraId="12E34EA3" w14:textId="17333726" w:rsidR="002E42EC" w:rsidRPr="00BD02D9" w:rsidRDefault="00BD02D9" w:rsidP="002E42EC">
            <w:pPr>
              <w:pStyle w:val="Zkladntext"/>
              <w:spacing w:before="120" w:beforeAutospacing="0" w:line="240" w:lineRule="auto"/>
              <w:contextualSpacing/>
              <w:rPr>
                <w:rFonts w:ascii="Arial" w:hAnsi="Arial"/>
                <w:b/>
                <w:bCs/>
                <w:sz w:val="20"/>
                <w:szCs w:val="20"/>
                <w:highlight w:val="yellow"/>
                <w:lang w:val="cs-CZ"/>
              </w:rPr>
            </w:pPr>
            <w:r w:rsidRPr="00BD02D9">
              <w:rPr>
                <w:rFonts w:ascii="Arial" w:hAnsi="Arial"/>
                <w:b/>
                <w:bCs/>
                <w:sz w:val="20"/>
                <w:szCs w:val="20"/>
                <w:lang w:val="en-US"/>
              </w:rPr>
              <w:t>Ing. Tomas Stejskal, MBA, LL.M./  director, ředitel</w:t>
            </w:r>
          </w:p>
          <w:p w14:paraId="354C77F7" w14:textId="77777777" w:rsidR="002E42EC" w:rsidRPr="003B0FAA" w:rsidRDefault="002E42EC" w:rsidP="002E42EC">
            <w:pPr>
              <w:pStyle w:val="Zkladntext"/>
              <w:spacing w:before="120" w:beforeAutospacing="0" w:line="240" w:lineRule="auto"/>
              <w:contextualSpacing/>
              <w:rPr>
                <w:rFonts w:ascii="Arial" w:hAnsi="Arial"/>
                <w:sz w:val="20"/>
                <w:szCs w:val="20"/>
                <w:highlight w:val="yellow"/>
                <w:lang w:val="cs-CZ"/>
              </w:rPr>
            </w:pPr>
          </w:p>
          <w:p w14:paraId="51A313C6" w14:textId="77777777" w:rsidR="002E42EC" w:rsidRPr="003B0FAA" w:rsidRDefault="002E42EC" w:rsidP="002E42EC">
            <w:pPr>
              <w:pStyle w:val="Zkladntext"/>
              <w:spacing w:before="120" w:beforeAutospacing="0" w:line="240" w:lineRule="auto"/>
              <w:contextualSpacing/>
              <w:rPr>
                <w:rFonts w:ascii="Arial" w:hAnsi="Arial"/>
                <w:sz w:val="20"/>
                <w:szCs w:val="20"/>
                <w:highlight w:val="yellow"/>
                <w:lang w:val="cs-CZ"/>
              </w:rPr>
            </w:pPr>
          </w:p>
          <w:p w14:paraId="783A72FC" w14:textId="77777777" w:rsidR="002E42EC" w:rsidRPr="003B0FAA" w:rsidRDefault="002E42EC" w:rsidP="002E42EC">
            <w:pPr>
              <w:pStyle w:val="Zkladntext"/>
              <w:spacing w:before="120" w:beforeAutospacing="0" w:line="240" w:lineRule="auto"/>
              <w:contextualSpacing/>
              <w:rPr>
                <w:rFonts w:ascii="Arial" w:hAnsi="Arial"/>
                <w:sz w:val="20"/>
                <w:szCs w:val="20"/>
                <w:highlight w:val="yellow"/>
                <w:lang w:val="cs-CZ"/>
              </w:rPr>
            </w:pPr>
          </w:p>
          <w:p w14:paraId="755A2880" w14:textId="77777777" w:rsidR="002E42EC" w:rsidRPr="003B0FAA" w:rsidRDefault="002E42EC" w:rsidP="002E42EC">
            <w:pPr>
              <w:pStyle w:val="Zkladntext"/>
              <w:spacing w:before="120" w:beforeAutospacing="0" w:line="240" w:lineRule="auto"/>
              <w:contextualSpacing/>
              <w:rPr>
                <w:rFonts w:ascii="Arial" w:hAnsi="Arial"/>
                <w:b/>
                <w:sz w:val="20"/>
                <w:szCs w:val="20"/>
                <w:highlight w:val="yellow"/>
                <w:lang w:val="cs-CZ"/>
              </w:rPr>
            </w:pPr>
            <w:r w:rsidRPr="003B0FAA">
              <w:rPr>
                <w:rFonts w:ascii="Arial" w:hAnsi="Arial"/>
                <w:noProof/>
                <w:sz w:val="20"/>
                <w:szCs w:val="20"/>
                <w:highlight w:val="yellow"/>
                <w:lang w:val="cs-CZ" w:eastAsia="cs-CZ"/>
              </w:rPr>
              <mc:AlternateContent>
                <mc:Choice Requires="wps">
                  <w:drawing>
                    <wp:anchor distT="4294967294" distB="4294967294" distL="114300" distR="114300" simplePos="0" relativeHeight="251662336" behindDoc="0" locked="0" layoutInCell="1" allowOverlap="1" wp14:anchorId="2B7A8D4A" wp14:editId="178B28D3">
                      <wp:simplePos x="0" y="0"/>
                      <wp:positionH relativeFrom="column">
                        <wp:posOffset>-6350</wp:posOffset>
                      </wp:positionH>
                      <wp:positionV relativeFrom="paragraph">
                        <wp:posOffset>5715</wp:posOffset>
                      </wp:positionV>
                      <wp:extent cx="1930400" cy="0"/>
                      <wp:effectExtent l="0" t="0" r="31750" b="19050"/>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55D4E" id="Přímá spojnice 2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pt,.45pt" to="15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" strokecolor="black [3200]" strokeweight=".5pt">
                      <v:stroke joinstyle="miter"/>
                      <o:lock v:ext="edit" shapetype="f"/>
                    </v:line>
                  </w:pict>
                </mc:Fallback>
              </mc:AlternateContent>
            </w:r>
          </w:p>
          <w:p w14:paraId="1ED0B98D" w14:textId="77777777" w:rsidR="002E42EC" w:rsidRPr="00BD02D9" w:rsidRDefault="002E42EC" w:rsidP="002E42EC">
            <w:pPr>
              <w:pStyle w:val="Zkladntext"/>
              <w:spacing w:before="120" w:beforeAutospacing="0" w:line="240" w:lineRule="auto"/>
              <w:contextualSpacing/>
              <w:rPr>
                <w:rFonts w:ascii="Arial" w:hAnsi="Arial"/>
                <w:b/>
                <w:sz w:val="20"/>
                <w:szCs w:val="20"/>
                <w:lang w:val="cs-CZ"/>
              </w:rPr>
            </w:pPr>
            <w:r w:rsidRPr="00BD02D9">
              <w:rPr>
                <w:rFonts w:ascii="Arial" w:hAnsi="Arial"/>
                <w:sz w:val="20"/>
                <w:szCs w:val="20"/>
              </w:rPr>
              <w:t>Date Signed /</w:t>
            </w:r>
          </w:p>
          <w:p w14:paraId="52E80F9C" w14:textId="7D0B6F5B" w:rsidR="003E4D23" w:rsidRPr="00BD02D9" w:rsidRDefault="002E42EC" w:rsidP="003E4D23">
            <w:pPr>
              <w:pStyle w:val="Zkladntext"/>
              <w:spacing w:before="120" w:beforeAutospacing="0" w:line="240" w:lineRule="auto"/>
              <w:contextualSpacing/>
              <w:rPr>
                <w:rFonts w:ascii="Arial" w:hAnsi="Arial"/>
                <w:b/>
                <w:sz w:val="20"/>
                <w:szCs w:val="20"/>
                <w:lang w:val="cs-CZ"/>
              </w:rPr>
            </w:pPr>
            <w:r w:rsidRPr="00BD02D9">
              <w:rPr>
                <w:rFonts w:ascii="Arial" w:hAnsi="Arial"/>
                <w:sz w:val="20"/>
                <w:szCs w:val="20"/>
                <w:lang w:val="cs-CZ"/>
              </w:rPr>
              <w:t xml:space="preserve">datum podpisu </w:t>
            </w:r>
            <w:r w:rsidRPr="00BD02D9">
              <w:rPr>
                <w:rFonts w:ascii="Arial" w:hAnsi="Arial"/>
                <w:sz w:val="20"/>
                <w:szCs w:val="20"/>
                <w:lang w:val="cs-CZ"/>
              </w:rPr>
              <w:tab/>
            </w:r>
          </w:p>
          <w:p w14:paraId="0FEC8C5F" w14:textId="2EDA0556" w:rsidR="003E4D23" w:rsidRPr="003B0FAA" w:rsidRDefault="003E4D23" w:rsidP="002E42EC">
            <w:pPr>
              <w:pStyle w:val="Zkladntext"/>
              <w:spacing w:before="120" w:beforeAutospacing="0" w:line="240" w:lineRule="auto"/>
              <w:contextualSpacing/>
              <w:rPr>
                <w:rFonts w:ascii="Arial" w:hAnsi="Arial"/>
                <w:b/>
                <w:sz w:val="20"/>
                <w:szCs w:val="20"/>
                <w:highlight w:val="yellow"/>
                <w:lang w:val="cs-CZ"/>
              </w:rPr>
            </w:pPr>
          </w:p>
          <w:p w14:paraId="6EF47474" w14:textId="71733D90" w:rsidR="003B0FAA" w:rsidRDefault="003B0FAA" w:rsidP="003B0FAA">
            <w:pPr>
              <w:pStyle w:val="Zkladntext"/>
              <w:spacing w:before="120" w:beforeAutospacing="0" w:line="240" w:lineRule="auto"/>
              <w:contextualSpacing/>
              <w:rPr>
                <w:rFonts w:ascii="Arial" w:hAnsi="Arial"/>
                <w:b/>
                <w:sz w:val="20"/>
                <w:szCs w:val="20"/>
                <w:lang w:val="cs-CZ"/>
              </w:rPr>
            </w:pPr>
            <w:r>
              <w:rPr>
                <w:rFonts w:ascii="Arial" w:hAnsi="Arial"/>
                <w:sz w:val="20"/>
                <w:szCs w:val="20"/>
                <w:lang w:val="cs-CZ"/>
              </w:rPr>
              <w:tab/>
            </w:r>
          </w:p>
          <w:p w14:paraId="4315B557" w14:textId="77777777" w:rsidR="003B0FAA" w:rsidRDefault="003B0FAA" w:rsidP="002E42EC">
            <w:pPr>
              <w:pStyle w:val="Zkladntext"/>
              <w:spacing w:before="120" w:beforeAutospacing="0" w:line="240" w:lineRule="auto"/>
              <w:contextualSpacing/>
              <w:rPr>
                <w:rFonts w:ascii="Arial" w:hAnsi="Arial"/>
                <w:b/>
                <w:sz w:val="20"/>
                <w:szCs w:val="20"/>
                <w:lang w:val="cs-CZ"/>
              </w:rPr>
            </w:pPr>
          </w:p>
          <w:p w14:paraId="00D1E40B" w14:textId="77777777" w:rsidR="002E42EC" w:rsidRDefault="002E42EC" w:rsidP="002E42EC">
            <w:pPr>
              <w:pStyle w:val="Zkladntext"/>
              <w:spacing w:before="120" w:beforeAutospacing="0" w:line="240" w:lineRule="auto"/>
              <w:contextualSpacing/>
              <w:rPr>
                <w:rFonts w:ascii="Arial" w:hAnsi="Arial"/>
                <w:sz w:val="20"/>
                <w:szCs w:val="20"/>
                <w:lang w:val="cs-CZ"/>
              </w:rPr>
            </w:pPr>
          </w:p>
        </w:tc>
        <w:tc>
          <w:tcPr>
            <w:tcW w:w="4551" w:type="dxa"/>
          </w:tcPr>
          <w:p w14:paraId="0F263112" w14:textId="77777777" w:rsidR="002E42EC" w:rsidRPr="00C576B8" w:rsidRDefault="002E42EC" w:rsidP="002E42EC">
            <w:pPr>
              <w:pStyle w:val="Zkladntext"/>
              <w:spacing w:before="120" w:beforeAutospacing="0" w:line="240" w:lineRule="auto"/>
              <w:contextualSpacing/>
              <w:rPr>
                <w:rFonts w:ascii="Arial" w:hAnsi="Arial"/>
                <w:sz w:val="20"/>
                <w:szCs w:val="20"/>
                <w:highlight w:val="lightGray"/>
              </w:rPr>
            </w:pPr>
            <w:r w:rsidRPr="00C576B8">
              <w:rPr>
                <w:rFonts w:ascii="Arial" w:hAnsi="Arial"/>
                <w:b/>
                <w:sz w:val="20"/>
                <w:szCs w:val="20"/>
              </w:rPr>
              <w:t xml:space="preserve">For and on behalf of </w:t>
            </w:r>
            <w:r w:rsidRPr="00C576B8">
              <w:rPr>
                <w:rFonts w:ascii="Arial" w:hAnsi="Arial"/>
                <w:b/>
                <w:sz w:val="20"/>
                <w:szCs w:val="20"/>
                <w:lang w:val="en-US"/>
              </w:rPr>
              <w:t>the Company</w:t>
            </w:r>
            <w:r>
              <w:rPr>
                <w:rFonts w:ascii="Arial" w:hAnsi="Arial"/>
                <w:b/>
                <w:sz w:val="20"/>
                <w:szCs w:val="20"/>
                <w:lang w:val="en-US"/>
              </w:rPr>
              <w:t xml:space="preserve"> /</w:t>
            </w:r>
          </w:p>
          <w:p w14:paraId="4735466C" w14:textId="77777777" w:rsidR="002E42EC" w:rsidRDefault="002E42EC" w:rsidP="002E42EC">
            <w:pPr>
              <w:pStyle w:val="Zkladntext"/>
              <w:spacing w:before="120" w:beforeAutospacing="0" w:line="240" w:lineRule="auto"/>
              <w:contextualSpacing/>
              <w:rPr>
                <w:rFonts w:ascii="Arial" w:hAnsi="Arial"/>
                <w:b/>
                <w:sz w:val="20"/>
                <w:szCs w:val="20"/>
                <w:lang w:val="cs-CZ"/>
              </w:rPr>
            </w:pPr>
            <w:r>
              <w:rPr>
                <w:rFonts w:ascii="Arial" w:hAnsi="Arial"/>
                <w:b/>
                <w:sz w:val="20"/>
                <w:szCs w:val="20"/>
                <w:lang w:val="cs-CZ"/>
              </w:rPr>
              <w:t>Za Společnost</w:t>
            </w:r>
          </w:p>
          <w:p w14:paraId="61DB7C21"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3C35ECE2"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7BCD6D58" w14:textId="77777777" w:rsidR="002E42EC" w:rsidRDefault="002E42EC" w:rsidP="002E42EC">
            <w:pPr>
              <w:pStyle w:val="Zkladntext"/>
              <w:spacing w:before="120" w:beforeAutospacing="0" w:line="240" w:lineRule="auto"/>
              <w:contextualSpacing/>
              <w:rPr>
                <w:rFonts w:ascii="Arial" w:hAnsi="Arial"/>
                <w:b/>
                <w:sz w:val="20"/>
                <w:szCs w:val="20"/>
                <w:lang w:val="cs-CZ"/>
              </w:rPr>
            </w:pPr>
          </w:p>
          <w:p w14:paraId="12E8C19B" w14:textId="77777777" w:rsidR="002E42EC" w:rsidRDefault="002E42EC" w:rsidP="002E42EC">
            <w:pPr>
              <w:pStyle w:val="Zkladntext"/>
              <w:spacing w:before="120" w:beforeAutospacing="0" w:line="240" w:lineRule="auto"/>
              <w:contextualSpacing/>
              <w:rPr>
                <w:rFonts w:ascii="Arial" w:hAnsi="Arial"/>
                <w:sz w:val="20"/>
                <w:szCs w:val="20"/>
              </w:rPr>
            </w:pPr>
            <w:r>
              <w:rPr>
                <w:rFonts w:ascii="Arial" w:hAnsi="Arial"/>
                <w:noProof/>
                <w:sz w:val="20"/>
                <w:szCs w:val="20"/>
                <w:lang w:val="cs-CZ" w:eastAsia="cs-CZ"/>
              </w:rPr>
              <mc:AlternateContent>
                <mc:Choice Requires="wps">
                  <w:drawing>
                    <wp:anchor distT="4294967294" distB="4294967294" distL="114300" distR="114300" simplePos="0" relativeHeight="251660288" behindDoc="0" locked="0" layoutInCell="1" allowOverlap="1" wp14:anchorId="702A1DDF" wp14:editId="1AC8F0EB">
                      <wp:simplePos x="0" y="0"/>
                      <wp:positionH relativeFrom="column">
                        <wp:posOffset>-2540</wp:posOffset>
                      </wp:positionH>
                      <wp:positionV relativeFrom="paragraph">
                        <wp:posOffset>6350</wp:posOffset>
                      </wp:positionV>
                      <wp:extent cx="1930400" cy="0"/>
                      <wp:effectExtent l="0" t="0" r="317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8307A" id="Přímá spojnice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pt,.5pt" to="15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" strokecolor="black [3200]" strokeweight=".5pt">
                      <v:stroke joinstyle="miter"/>
                      <o:lock v:ext="edit" shapetype="f"/>
                    </v:line>
                  </w:pict>
                </mc:Fallback>
              </mc:AlternateContent>
            </w:r>
          </w:p>
          <w:p w14:paraId="7D31F534" w14:textId="4A7EBE5E" w:rsidR="002E42EC" w:rsidRPr="003B0FAA" w:rsidRDefault="003B0FAA" w:rsidP="002E42EC">
            <w:pPr>
              <w:pStyle w:val="Zkladntext"/>
              <w:spacing w:before="120" w:beforeAutospacing="0" w:line="240" w:lineRule="auto"/>
              <w:contextualSpacing/>
              <w:rPr>
                <w:rFonts w:ascii="Arial" w:hAnsi="Arial"/>
                <w:b/>
                <w:bCs/>
                <w:sz w:val="20"/>
                <w:szCs w:val="20"/>
                <w:lang w:val="cs-CZ"/>
              </w:rPr>
            </w:pPr>
            <w:r w:rsidRPr="003B0FAA">
              <w:rPr>
                <w:rFonts w:ascii="Arial" w:hAnsi="Arial"/>
                <w:b/>
                <w:bCs/>
                <w:sz w:val="20"/>
                <w:szCs w:val="20"/>
                <w:lang w:val="en-US"/>
              </w:rPr>
              <w:t>Matěj Sahula/ proxy, prokurista</w:t>
            </w:r>
          </w:p>
          <w:p w14:paraId="0098B8C4" w14:textId="77777777" w:rsidR="002E42EC" w:rsidRDefault="002E42EC" w:rsidP="002E42EC">
            <w:pPr>
              <w:pStyle w:val="Zkladntext"/>
              <w:spacing w:before="120" w:beforeAutospacing="0" w:line="240" w:lineRule="auto"/>
              <w:contextualSpacing/>
              <w:rPr>
                <w:rFonts w:ascii="Arial" w:hAnsi="Arial"/>
                <w:sz w:val="20"/>
                <w:szCs w:val="20"/>
              </w:rPr>
            </w:pPr>
          </w:p>
          <w:p w14:paraId="7DF4E7D4" w14:textId="77777777" w:rsidR="002E42EC" w:rsidRDefault="002E42EC" w:rsidP="002E42EC">
            <w:pPr>
              <w:pStyle w:val="Zkladntext"/>
              <w:spacing w:before="120" w:beforeAutospacing="0" w:line="240" w:lineRule="auto"/>
              <w:contextualSpacing/>
              <w:rPr>
                <w:rFonts w:ascii="Arial" w:hAnsi="Arial"/>
                <w:sz w:val="20"/>
                <w:szCs w:val="20"/>
              </w:rPr>
            </w:pPr>
          </w:p>
          <w:p w14:paraId="376EABCD" w14:textId="77777777" w:rsidR="002E42EC" w:rsidRDefault="002E42EC" w:rsidP="002E42EC">
            <w:pPr>
              <w:pStyle w:val="Zkladntext"/>
              <w:spacing w:before="120" w:beforeAutospacing="0" w:line="240" w:lineRule="auto"/>
              <w:contextualSpacing/>
              <w:rPr>
                <w:rFonts w:ascii="Arial" w:hAnsi="Arial"/>
                <w:sz w:val="20"/>
                <w:szCs w:val="20"/>
              </w:rPr>
            </w:pPr>
          </w:p>
          <w:p w14:paraId="2BC19930" w14:textId="77777777" w:rsidR="002E42EC" w:rsidRDefault="002E42EC" w:rsidP="002E42EC">
            <w:pPr>
              <w:pStyle w:val="Zkladntext"/>
              <w:spacing w:before="120" w:beforeAutospacing="0" w:line="240" w:lineRule="auto"/>
              <w:contextualSpacing/>
              <w:rPr>
                <w:rFonts w:ascii="Arial" w:hAnsi="Arial"/>
                <w:sz w:val="20"/>
                <w:szCs w:val="20"/>
              </w:rPr>
            </w:pPr>
          </w:p>
          <w:p w14:paraId="3D1E8561" w14:textId="77777777" w:rsidR="002E42EC" w:rsidRDefault="002E42EC" w:rsidP="002E42EC">
            <w:pPr>
              <w:pStyle w:val="Zkladntext"/>
              <w:spacing w:before="120" w:beforeAutospacing="0" w:line="240" w:lineRule="auto"/>
              <w:contextualSpacing/>
              <w:rPr>
                <w:rFonts w:ascii="Arial" w:hAnsi="Arial"/>
                <w:sz w:val="20"/>
                <w:szCs w:val="20"/>
              </w:rPr>
            </w:pPr>
            <w:r>
              <w:rPr>
                <w:rFonts w:ascii="Arial" w:hAnsi="Arial"/>
                <w:noProof/>
                <w:sz w:val="20"/>
                <w:szCs w:val="20"/>
                <w:lang w:val="cs-CZ" w:eastAsia="cs-CZ"/>
              </w:rPr>
              <mc:AlternateContent>
                <mc:Choice Requires="wps">
                  <w:drawing>
                    <wp:anchor distT="4294967294" distB="4294967294" distL="114300" distR="114300" simplePos="0" relativeHeight="251661312" behindDoc="0" locked="0" layoutInCell="1" allowOverlap="1" wp14:anchorId="29CF396B" wp14:editId="0DDA93BE">
                      <wp:simplePos x="0" y="0"/>
                      <wp:positionH relativeFrom="column">
                        <wp:posOffset>-45672</wp:posOffset>
                      </wp:positionH>
                      <wp:positionV relativeFrom="paragraph">
                        <wp:posOffset>73528</wp:posOffset>
                      </wp:positionV>
                      <wp:extent cx="1930400" cy="0"/>
                      <wp:effectExtent l="0" t="0" r="31750" b="1905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062D7" id="Přímá spojnice 1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6pt,5.8pt" to="14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" strokecolor="black [3200]" strokeweight=".5pt">
                      <v:stroke joinstyle="miter"/>
                      <o:lock v:ext="edit" shapetype="f"/>
                    </v:line>
                  </w:pict>
                </mc:Fallback>
              </mc:AlternateContent>
            </w:r>
          </w:p>
          <w:p w14:paraId="56EFA3E4" w14:textId="77777777" w:rsidR="002E42EC" w:rsidRDefault="002E42EC" w:rsidP="002E42EC">
            <w:pPr>
              <w:pStyle w:val="Zkladntext"/>
              <w:spacing w:before="120" w:beforeAutospacing="0" w:line="240" w:lineRule="auto"/>
              <w:contextualSpacing/>
              <w:rPr>
                <w:rFonts w:ascii="Arial" w:hAnsi="Arial"/>
                <w:b/>
                <w:sz w:val="20"/>
                <w:szCs w:val="20"/>
                <w:lang w:val="cs-CZ"/>
              </w:rPr>
            </w:pPr>
            <w:r w:rsidRPr="00C576B8">
              <w:rPr>
                <w:rFonts w:ascii="Arial" w:hAnsi="Arial"/>
                <w:sz w:val="20"/>
                <w:szCs w:val="20"/>
              </w:rPr>
              <w:t>Date Signed</w:t>
            </w:r>
            <w:r>
              <w:rPr>
                <w:rFonts w:ascii="Arial" w:hAnsi="Arial"/>
                <w:sz w:val="20"/>
                <w:szCs w:val="20"/>
              </w:rPr>
              <w:t xml:space="preserve"> /</w:t>
            </w:r>
          </w:p>
          <w:p w14:paraId="426F50DF" w14:textId="77777777" w:rsidR="002E42EC" w:rsidRPr="002E42EC" w:rsidRDefault="002E42EC" w:rsidP="002E42EC">
            <w:pPr>
              <w:pStyle w:val="Zkladntext"/>
              <w:spacing w:before="120" w:beforeAutospacing="0" w:line="240" w:lineRule="auto"/>
              <w:contextualSpacing/>
              <w:rPr>
                <w:rFonts w:ascii="Arial" w:hAnsi="Arial"/>
                <w:sz w:val="20"/>
                <w:szCs w:val="20"/>
              </w:rPr>
            </w:pPr>
            <w:r>
              <w:rPr>
                <w:rFonts w:ascii="Arial" w:hAnsi="Arial"/>
                <w:sz w:val="20"/>
                <w:szCs w:val="20"/>
                <w:lang w:val="cs-CZ"/>
              </w:rPr>
              <w:t>datum podpisu</w:t>
            </w:r>
            <w:r w:rsidRPr="00197413">
              <w:rPr>
                <w:rFonts w:ascii="Arial" w:hAnsi="Arial"/>
                <w:sz w:val="20"/>
                <w:szCs w:val="20"/>
                <w:lang w:val="cs-CZ"/>
              </w:rPr>
              <w:t xml:space="preserve"> </w:t>
            </w:r>
          </w:p>
        </w:tc>
      </w:tr>
    </w:tbl>
    <w:p w14:paraId="61A3B431"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6044A752"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44D3E7BB"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106DBCD7"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5CF237A8"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534E00AC"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727C9BC0"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3BEBB7F3"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317009B7"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4376FF56"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5B567E36"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22494B59"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529F084B"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49C59536" w14:textId="77777777" w:rsidR="00BD02D9" w:rsidRDefault="00BD02D9" w:rsidP="00197413">
      <w:pPr>
        <w:pStyle w:val="Zkladntext"/>
        <w:spacing w:before="120" w:beforeAutospacing="0" w:line="240" w:lineRule="auto"/>
        <w:contextualSpacing/>
        <w:rPr>
          <w:rFonts w:ascii="Arial" w:hAnsi="Arial"/>
          <w:sz w:val="20"/>
          <w:szCs w:val="20"/>
          <w:lang w:val="cs-CZ"/>
        </w:rPr>
      </w:pPr>
    </w:p>
    <w:p w14:paraId="323179CA"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2F19F8B9"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2CB5D9D1" w14:textId="6B60BB81" w:rsidR="002E42EC" w:rsidRDefault="003118C5" w:rsidP="003118C5">
      <w:pPr>
        <w:rPr>
          <w:rFonts w:eastAsia="Calibri"/>
          <w:b/>
          <w:sz w:val="32"/>
          <w:szCs w:val="32"/>
          <w:lang w:val="en-US"/>
        </w:rPr>
      </w:pPr>
      <w:r>
        <w:rPr>
          <w:rFonts w:eastAsia="Calibri"/>
          <w:b/>
          <w:sz w:val="32"/>
          <w:szCs w:val="32"/>
          <w:lang w:val="en-US"/>
        </w:rPr>
        <w:t xml:space="preserve">                                 </w:t>
      </w:r>
      <w:r w:rsidR="002E42EC">
        <w:rPr>
          <w:rFonts w:eastAsia="Calibri"/>
          <w:b/>
          <w:sz w:val="32"/>
          <w:szCs w:val="32"/>
          <w:lang w:val="en-US"/>
        </w:rPr>
        <w:t>Annex 1</w:t>
      </w:r>
      <w:r w:rsidR="002E42EC" w:rsidRPr="0048593F">
        <w:rPr>
          <w:rFonts w:eastAsia="Calibri"/>
          <w:b/>
          <w:sz w:val="32"/>
          <w:szCs w:val="32"/>
          <w:lang w:val="en-US"/>
        </w:rPr>
        <w:t xml:space="preserve">: </w:t>
      </w:r>
      <w:r w:rsidR="002E42EC">
        <w:rPr>
          <w:rFonts w:eastAsia="Calibri"/>
          <w:b/>
          <w:sz w:val="32"/>
          <w:szCs w:val="32"/>
          <w:lang w:val="en-US"/>
        </w:rPr>
        <w:t>Program of the Event /</w:t>
      </w:r>
    </w:p>
    <w:p w14:paraId="5771FBF8" w14:textId="77777777" w:rsidR="002E42EC" w:rsidRPr="002E42EC" w:rsidRDefault="002E42EC" w:rsidP="002E42EC">
      <w:pPr>
        <w:spacing w:after="0" w:line="240" w:lineRule="auto"/>
        <w:jc w:val="center"/>
        <w:rPr>
          <w:rFonts w:eastAsia="Calibri"/>
          <w:b/>
          <w:i/>
          <w:sz w:val="32"/>
          <w:szCs w:val="32"/>
        </w:rPr>
      </w:pPr>
      <w:r w:rsidRPr="002E42EC">
        <w:rPr>
          <w:rFonts w:eastAsia="Calibri"/>
          <w:b/>
          <w:i/>
          <w:sz w:val="32"/>
          <w:szCs w:val="32"/>
        </w:rPr>
        <w:t>Příloha č. 1: Program Akce</w:t>
      </w:r>
    </w:p>
    <w:p w14:paraId="4ADC5028" w14:textId="77777777" w:rsidR="002E42EC" w:rsidRDefault="002E42EC" w:rsidP="002E42EC">
      <w:pPr>
        <w:spacing w:after="0" w:line="240" w:lineRule="auto"/>
        <w:rPr>
          <w:rFonts w:eastAsia="Calibri"/>
          <w:b/>
          <w:sz w:val="32"/>
          <w:szCs w:val="32"/>
          <w:lang w:val="en-US"/>
        </w:rPr>
      </w:pPr>
    </w:p>
    <w:p w14:paraId="00FBDA10" w14:textId="77777777" w:rsidR="002E42EC" w:rsidRPr="003118C5" w:rsidRDefault="002E42EC" w:rsidP="002E42EC">
      <w:pPr>
        <w:spacing w:after="0" w:line="240" w:lineRule="auto"/>
        <w:rPr>
          <w:rFonts w:eastAsia="Calibri"/>
          <w:lang w:val="en-US"/>
        </w:rPr>
      </w:pPr>
      <w:r w:rsidRPr="003118C5">
        <w:rPr>
          <w:rFonts w:eastAsia="Calibri"/>
          <w:lang w:val="en-US"/>
        </w:rPr>
        <w:t>When applicable, attach here a copy of the program of the Event.</w:t>
      </w:r>
    </w:p>
    <w:p w14:paraId="58E94EE2" w14:textId="77777777" w:rsidR="002E42EC" w:rsidRPr="003118C5" w:rsidRDefault="002E42EC" w:rsidP="002E42EC">
      <w:pPr>
        <w:spacing w:after="0" w:line="240" w:lineRule="auto"/>
        <w:rPr>
          <w:rFonts w:eastAsia="Calibri"/>
          <w:lang w:val="pl-PL"/>
        </w:rPr>
      </w:pPr>
      <w:r w:rsidRPr="003118C5">
        <w:rPr>
          <w:rFonts w:eastAsia="Calibri"/>
          <w:lang w:val="pl-PL"/>
        </w:rPr>
        <w:t xml:space="preserve"> </w:t>
      </w:r>
    </w:p>
    <w:p w14:paraId="0984215A" w14:textId="77777777" w:rsidR="002E42EC" w:rsidRPr="002E42EC" w:rsidRDefault="002E42EC" w:rsidP="002E42EC">
      <w:pPr>
        <w:spacing w:after="0" w:line="240" w:lineRule="auto"/>
        <w:rPr>
          <w:rFonts w:eastAsia="Calibri"/>
          <w:i/>
        </w:rPr>
      </w:pPr>
      <w:r w:rsidRPr="003118C5">
        <w:rPr>
          <w:rFonts w:eastAsia="Calibri"/>
          <w:i/>
        </w:rPr>
        <w:t xml:space="preserve">Kdykoli </w:t>
      </w:r>
      <w:r w:rsidR="00097A3B" w:rsidRPr="003118C5">
        <w:rPr>
          <w:rFonts w:eastAsia="Calibri"/>
          <w:i/>
        </w:rPr>
        <w:t>je to relevantní</w:t>
      </w:r>
      <w:r w:rsidRPr="003118C5">
        <w:rPr>
          <w:rFonts w:eastAsia="Calibri"/>
          <w:i/>
        </w:rPr>
        <w:t>, přiložte sem kopii programu Akce.</w:t>
      </w:r>
    </w:p>
    <w:p w14:paraId="2D003231" w14:textId="77777777" w:rsidR="002E42EC" w:rsidRPr="002E42EC" w:rsidRDefault="002E42EC" w:rsidP="002E42EC">
      <w:pPr>
        <w:spacing w:after="0" w:line="240" w:lineRule="auto"/>
        <w:rPr>
          <w:rFonts w:eastAsia="Calibri"/>
        </w:rPr>
      </w:pPr>
    </w:p>
    <w:p w14:paraId="7B9259FD" w14:textId="77777777" w:rsidR="00197413" w:rsidRPr="002E42EC" w:rsidRDefault="00197413" w:rsidP="00197413">
      <w:pPr>
        <w:pStyle w:val="Zkladntext"/>
        <w:spacing w:before="120" w:beforeAutospacing="0" w:line="240" w:lineRule="auto"/>
        <w:contextualSpacing/>
        <w:rPr>
          <w:rFonts w:ascii="Arial" w:hAnsi="Arial"/>
          <w:sz w:val="20"/>
          <w:szCs w:val="20"/>
          <w:lang w:val="pl-PL"/>
        </w:rPr>
      </w:pPr>
    </w:p>
    <w:p w14:paraId="38933719"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02B57B0D"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073E4159"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7A5D9978" w14:textId="77777777" w:rsidR="00197413" w:rsidRDefault="00197413" w:rsidP="00197413">
      <w:pPr>
        <w:pStyle w:val="Zkladntext"/>
        <w:spacing w:before="120" w:beforeAutospacing="0" w:line="240" w:lineRule="auto"/>
        <w:contextualSpacing/>
        <w:rPr>
          <w:rFonts w:ascii="Arial" w:hAnsi="Arial"/>
          <w:sz w:val="20"/>
          <w:szCs w:val="20"/>
          <w:lang w:val="cs-CZ"/>
        </w:rPr>
      </w:pPr>
    </w:p>
    <w:p w14:paraId="73D592E2" w14:textId="77777777" w:rsidR="00197413" w:rsidRPr="00197413" w:rsidRDefault="00197413" w:rsidP="00197413">
      <w:pPr>
        <w:pStyle w:val="Zkladntext"/>
        <w:spacing w:before="120" w:beforeAutospacing="0" w:line="240" w:lineRule="auto"/>
        <w:contextualSpacing/>
        <w:rPr>
          <w:rFonts w:ascii="Arial" w:hAnsi="Arial"/>
          <w:sz w:val="20"/>
          <w:szCs w:val="20"/>
          <w:lang w:val="cs-CZ"/>
        </w:rPr>
      </w:pPr>
    </w:p>
    <w:sectPr w:rsidR="00197413" w:rsidRPr="0019741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91EB7" w14:textId="77777777" w:rsidR="00E24DDF" w:rsidRDefault="00E24DDF" w:rsidP="00197413">
      <w:pPr>
        <w:spacing w:after="0" w:line="240" w:lineRule="auto"/>
      </w:pPr>
      <w:r>
        <w:separator/>
      </w:r>
    </w:p>
  </w:endnote>
  <w:endnote w:type="continuationSeparator" w:id="0">
    <w:p w14:paraId="14F55BCE" w14:textId="77777777" w:rsidR="00E24DDF" w:rsidRDefault="00E24DDF" w:rsidP="0019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ill Sans St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42469"/>
      <w:docPartObj>
        <w:docPartGallery w:val="Page Numbers (Bottom of Page)"/>
        <w:docPartUnique/>
      </w:docPartObj>
    </w:sdtPr>
    <w:sdtEndPr/>
    <w:sdtContent>
      <w:p w14:paraId="15A180A2" w14:textId="77777777" w:rsidR="007A2CEB" w:rsidRDefault="007A2CEB" w:rsidP="00197413">
        <w:pPr>
          <w:pStyle w:val="Zpat"/>
        </w:pPr>
        <w:r w:rsidRPr="00690FE8">
          <w:rPr>
            <w:sz w:val="16"/>
            <w:szCs w:val="16"/>
          </w:rPr>
          <w:t>This template is a translation of the EMEA template – not a country specific template</w:t>
        </w:r>
      </w:p>
      <w:p w14:paraId="6FD08DBB" w14:textId="77777777" w:rsidR="00197413" w:rsidRPr="009845AB" w:rsidRDefault="007A2CEB" w:rsidP="00197413">
        <w:pPr>
          <w:pStyle w:val="Zpat"/>
          <w:rPr>
            <w:sz w:val="16"/>
            <w:szCs w:val="16"/>
          </w:rPr>
        </w:pPr>
        <w:r w:rsidRPr="009845AB">
          <w:rPr>
            <w:sz w:val="16"/>
            <w:szCs w:val="16"/>
          </w:rPr>
          <w:t>92290122_Rev A_</w:t>
        </w:r>
        <w:r w:rsidR="00197413" w:rsidRPr="0003601A">
          <w:rPr>
            <w:sz w:val="16"/>
            <w:szCs w:val="16"/>
          </w:rPr>
          <w:t>EMEA</w:t>
        </w:r>
        <w:r>
          <w:rPr>
            <w:sz w:val="16"/>
            <w:szCs w:val="16"/>
          </w:rPr>
          <w:t xml:space="preserve"> (Czech)</w:t>
        </w:r>
        <w:r w:rsidR="00197413" w:rsidRPr="0003601A">
          <w:rPr>
            <w:sz w:val="16"/>
            <w:szCs w:val="16"/>
          </w:rPr>
          <w:t xml:space="preserve"> BSC</w:t>
        </w:r>
        <w:r w:rsidR="00197413">
          <w:rPr>
            <w:sz w:val="16"/>
            <w:szCs w:val="16"/>
          </w:rPr>
          <w:t xml:space="preserve"> Sponsorship (Advertisement &amp; Promotional opportunities) Agreement</w:t>
        </w:r>
        <w:r w:rsidR="00197413" w:rsidRPr="0003601A">
          <w:rPr>
            <w:sz w:val="16"/>
            <w:szCs w:val="16"/>
          </w:rPr>
          <w:t>_</w:t>
        </w:r>
        <w:r w:rsidR="00197413">
          <w:rPr>
            <w:sz w:val="16"/>
            <w:szCs w:val="16"/>
          </w:rPr>
          <w:t>Approved SD_</w:t>
        </w:r>
        <w:r>
          <w:rPr>
            <w:sz w:val="16"/>
            <w:szCs w:val="16"/>
          </w:rPr>
          <w:t>August 2018</w:t>
        </w:r>
      </w:p>
      <w:sdt>
        <w:sdtPr>
          <w:id w:val="-1612660772"/>
          <w:docPartObj>
            <w:docPartGallery w:val="Page Numbers (Bottom of Page)"/>
            <w:docPartUnique/>
          </w:docPartObj>
        </w:sdtPr>
        <w:sdtEndPr/>
        <w:sdtContent>
          <w:p w14:paraId="2EDA38B2" w14:textId="77777777" w:rsidR="00197413" w:rsidRPr="00197413" w:rsidRDefault="00197413" w:rsidP="00197413">
            <w:pPr>
              <w:pStyle w:val="Zpat"/>
              <w:jc w:val="right"/>
            </w:pPr>
            <w:r>
              <w:fldChar w:fldCharType="begin"/>
            </w:r>
            <w:r>
              <w:instrText>PAGE   \* MERGEFORMAT</w:instrText>
            </w:r>
            <w:r>
              <w:fldChar w:fldCharType="separate"/>
            </w:r>
            <w:r w:rsidR="00D46C23">
              <w:rPr>
                <w:noProof/>
              </w:rPr>
              <w:t>8</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8758B" w14:textId="77777777" w:rsidR="00E24DDF" w:rsidRDefault="00E24DDF" w:rsidP="00197413">
      <w:pPr>
        <w:spacing w:after="0" w:line="240" w:lineRule="auto"/>
      </w:pPr>
      <w:r>
        <w:separator/>
      </w:r>
    </w:p>
  </w:footnote>
  <w:footnote w:type="continuationSeparator" w:id="0">
    <w:p w14:paraId="2AD1826D" w14:textId="77777777" w:rsidR="00E24DDF" w:rsidRDefault="00E24DDF" w:rsidP="00197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83240"/>
    <w:multiLevelType w:val="hybridMultilevel"/>
    <w:tmpl w:val="94806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A4F22"/>
    <w:multiLevelType w:val="hybridMultilevel"/>
    <w:tmpl w:val="196CBDE0"/>
    <w:lvl w:ilvl="0" w:tplc="04050001">
      <w:start w:val="1"/>
      <w:numFmt w:val="bullet"/>
      <w:lvlText w:val=""/>
      <w:lvlJc w:val="left"/>
      <w:pPr>
        <w:ind w:left="1458" w:hanging="360"/>
      </w:pPr>
      <w:rPr>
        <w:rFonts w:ascii="Symbol" w:hAnsi="Symbol" w:hint="default"/>
      </w:rPr>
    </w:lvl>
    <w:lvl w:ilvl="1" w:tplc="04050003" w:tentative="1">
      <w:start w:val="1"/>
      <w:numFmt w:val="bullet"/>
      <w:lvlText w:val="o"/>
      <w:lvlJc w:val="left"/>
      <w:pPr>
        <w:ind w:left="2178" w:hanging="360"/>
      </w:pPr>
      <w:rPr>
        <w:rFonts w:ascii="Courier New" w:hAnsi="Courier New" w:cs="Courier New" w:hint="default"/>
      </w:rPr>
    </w:lvl>
    <w:lvl w:ilvl="2" w:tplc="04050005" w:tentative="1">
      <w:start w:val="1"/>
      <w:numFmt w:val="bullet"/>
      <w:lvlText w:val=""/>
      <w:lvlJc w:val="left"/>
      <w:pPr>
        <w:ind w:left="2898" w:hanging="360"/>
      </w:pPr>
      <w:rPr>
        <w:rFonts w:ascii="Wingdings" w:hAnsi="Wingdings" w:hint="default"/>
      </w:rPr>
    </w:lvl>
    <w:lvl w:ilvl="3" w:tplc="04050001" w:tentative="1">
      <w:start w:val="1"/>
      <w:numFmt w:val="bullet"/>
      <w:lvlText w:val=""/>
      <w:lvlJc w:val="left"/>
      <w:pPr>
        <w:ind w:left="3618" w:hanging="360"/>
      </w:pPr>
      <w:rPr>
        <w:rFonts w:ascii="Symbol" w:hAnsi="Symbol" w:hint="default"/>
      </w:rPr>
    </w:lvl>
    <w:lvl w:ilvl="4" w:tplc="04050003" w:tentative="1">
      <w:start w:val="1"/>
      <w:numFmt w:val="bullet"/>
      <w:lvlText w:val="o"/>
      <w:lvlJc w:val="left"/>
      <w:pPr>
        <w:ind w:left="4338" w:hanging="360"/>
      </w:pPr>
      <w:rPr>
        <w:rFonts w:ascii="Courier New" w:hAnsi="Courier New" w:cs="Courier New" w:hint="default"/>
      </w:rPr>
    </w:lvl>
    <w:lvl w:ilvl="5" w:tplc="04050005" w:tentative="1">
      <w:start w:val="1"/>
      <w:numFmt w:val="bullet"/>
      <w:lvlText w:val=""/>
      <w:lvlJc w:val="left"/>
      <w:pPr>
        <w:ind w:left="5058" w:hanging="360"/>
      </w:pPr>
      <w:rPr>
        <w:rFonts w:ascii="Wingdings" w:hAnsi="Wingdings" w:hint="default"/>
      </w:rPr>
    </w:lvl>
    <w:lvl w:ilvl="6" w:tplc="04050001" w:tentative="1">
      <w:start w:val="1"/>
      <w:numFmt w:val="bullet"/>
      <w:lvlText w:val=""/>
      <w:lvlJc w:val="left"/>
      <w:pPr>
        <w:ind w:left="5778" w:hanging="360"/>
      </w:pPr>
      <w:rPr>
        <w:rFonts w:ascii="Symbol" w:hAnsi="Symbol" w:hint="default"/>
      </w:rPr>
    </w:lvl>
    <w:lvl w:ilvl="7" w:tplc="04050003" w:tentative="1">
      <w:start w:val="1"/>
      <w:numFmt w:val="bullet"/>
      <w:lvlText w:val="o"/>
      <w:lvlJc w:val="left"/>
      <w:pPr>
        <w:ind w:left="6498" w:hanging="360"/>
      </w:pPr>
      <w:rPr>
        <w:rFonts w:ascii="Courier New" w:hAnsi="Courier New" w:cs="Courier New" w:hint="default"/>
      </w:rPr>
    </w:lvl>
    <w:lvl w:ilvl="8" w:tplc="04050005" w:tentative="1">
      <w:start w:val="1"/>
      <w:numFmt w:val="bullet"/>
      <w:lvlText w:val=""/>
      <w:lvlJc w:val="left"/>
      <w:pPr>
        <w:ind w:left="7218" w:hanging="360"/>
      </w:pPr>
      <w:rPr>
        <w:rFonts w:ascii="Wingdings" w:hAnsi="Wingdings" w:hint="default"/>
      </w:rPr>
    </w:lvl>
  </w:abstractNum>
  <w:abstractNum w:abstractNumId="2" w15:restartNumberingAfterBreak="0">
    <w:nsid w:val="40B11795"/>
    <w:multiLevelType w:val="hybridMultilevel"/>
    <w:tmpl w:val="C9B0E6EA"/>
    <w:lvl w:ilvl="0" w:tplc="04050001">
      <w:start w:val="1"/>
      <w:numFmt w:val="bullet"/>
      <w:lvlText w:val=""/>
      <w:lvlJc w:val="left"/>
      <w:pPr>
        <w:ind w:left="1098" w:hanging="360"/>
      </w:pPr>
      <w:rPr>
        <w:rFonts w:ascii="Symbol" w:hAnsi="Symbol" w:hint="default"/>
      </w:rPr>
    </w:lvl>
    <w:lvl w:ilvl="1" w:tplc="FFFFFFFF" w:tentative="1">
      <w:start w:val="1"/>
      <w:numFmt w:val="bullet"/>
      <w:lvlText w:val="o"/>
      <w:lvlJc w:val="left"/>
      <w:pPr>
        <w:ind w:left="1818" w:hanging="360"/>
      </w:pPr>
      <w:rPr>
        <w:rFonts w:ascii="Courier New" w:hAnsi="Courier New" w:cs="Courier New" w:hint="default"/>
      </w:rPr>
    </w:lvl>
    <w:lvl w:ilvl="2" w:tplc="FFFFFFFF" w:tentative="1">
      <w:start w:val="1"/>
      <w:numFmt w:val="bullet"/>
      <w:lvlText w:val=""/>
      <w:lvlJc w:val="left"/>
      <w:pPr>
        <w:ind w:left="2538" w:hanging="360"/>
      </w:pPr>
      <w:rPr>
        <w:rFonts w:ascii="Wingdings" w:hAnsi="Wingdings" w:hint="default"/>
      </w:rPr>
    </w:lvl>
    <w:lvl w:ilvl="3" w:tplc="FFFFFFFF" w:tentative="1">
      <w:start w:val="1"/>
      <w:numFmt w:val="bullet"/>
      <w:lvlText w:val=""/>
      <w:lvlJc w:val="left"/>
      <w:pPr>
        <w:ind w:left="3258" w:hanging="360"/>
      </w:pPr>
      <w:rPr>
        <w:rFonts w:ascii="Symbol" w:hAnsi="Symbol" w:hint="default"/>
      </w:rPr>
    </w:lvl>
    <w:lvl w:ilvl="4" w:tplc="FFFFFFFF" w:tentative="1">
      <w:start w:val="1"/>
      <w:numFmt w:val="bullet"/>
      <w:lvlText w:val="o"/>
      <w:lvlJc w:val="left"/>
      <w:pPr>
        <w:ind w:left="3978" w:hanging="360"/>
      </w:pPr>
      <w:rPr>
        <w:rFonts w:ascii="Courier New" w:hAnsi="Courier New" w:cs="Courier New" w:hint="default"/>
      </w:rPr>
    </w:lvl>
    <w:lvl w:ilvl="5" w:tplc="FFFFFFFF" w:tentative="1">
      <w:start w:val="1"/>
      <w:numFmt w:val="bullet"/>
      <w:lvlText w:val=""/>
      <w:lvlJc w:val="left"/>
      <w:pPr>
        <w:ind w:left="4698" w:hanging="360"/>
      </w:pPr>
      <w:rPr>
        <w:rFonts w:ascii="Wingdings" w:hAnsi="Wingdings" w:hint="default"/>
      </w:rPr>
    </w:lvl>
    <w:lvl w:ilvl="6" w:tplc="FFFFFFFF" w:tentative="1">
      <w:start w:val="1"/>
      <w:numFmt w:val="bullet"/>
      <w:lvlText w:val=""/>
      <w:lvlJc w:val="left"/>
      <w:pPr>
        <w:ind w:left="5418" w:hanging="360"/>
      </w:pPr>
      <w:rPr>
        <w:rFonts w:ascii="Symbol" w:hAnsi="Symbol" w:hint="default"/>
      </w:rPr>
    </w:lvl>
    <w:lvl w:ilvl="7" w:tplc="FFFFFFFF" w:tentative="1">
      <w:start w:val="1"/>
      <w:numFmt w:val="bullet"/>
      <w:lvlText w:val="o"/>
      <w:lvlJc w:val="left"/>
      <w:pPr>
        <w:ind w:left="6138" w:hanging="360"/>
      </w:pPr>
      <w:rPr>
        <w:rFonts w:ascii="Courier New" w:hAnsi="Courier New" w:cs="Courier New" w:hint="default"/>
      </w:rPr>
    </w:lvl>
    <w:lvl w:ilvl="8" w:tplc="FFFFFFFF" w:tentative="1">
      <w:start w:val="1"/>
      <w:numFmt w:val="bullet"/>
      <w:lvlText w:val=""/>
      <w:lvlJc w:val="left"/>
      <w:pPr>
        <w:ind w:left="6858" w:hanging="360"/>
      </w:pPr>
      <w:rPr>
        <w:rFonts w:ascii="Wingdings" w:hAnsi="Wingdings" w:hint="default"/>
      </w:rPr>
    </w:lvl>
  </w:abstractNum>
  <w:abstractNum w:abstractNumId="3" w15:restartNumberingAfterBreak="0">
    <w:nsid w:val="47036EE0"/>
    <w:multiLevelType w:val="hybridMultilevel"/>
    <w:tmpl w:val="7FC64138"/>
    <w:lvl w:ilvl="0" w:tplc="523A08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A2DD3"/>
    <w:multiLevelType w:val="hybridMultilevel"/>
    <w:tmpl w:val="61F2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C65DB"/>
    <w:multiLevelType w:val="hybridMultilevel"/>
    <w:tmpl w:val="FB7A42E2"/>
    <w:lvl w:ilvl="0" w:tplc="187EE8A8">
      <w:numFmt w:val="bullet"/>
      <w:lvlText w:val="-"/>
      <w:lvlJc w:val="left"/>
      <w:pPr>
        <w:ind w:left="1098" w:hanging="360"/>
      </w:pPr>
      <w:rPr>
        <w:rFonts w:ascii="Calibri" w:eastAsiaTheme="minorEastAsia" w:hAnsi="Calibri" w:cs="Calibri" w:hint="default"/>
      </w:rPr>
    </w:lvl>
    <w:lvl w:ilvl="1" w:tplc="04050003" w:tentative="1">
      <w:start w:val="1"/>
      <w:numFmt w:val="bullet"/>
      <w:lvlText w:val="o"/>
      <w:lvlJc w:val="left"/>
      <w:pPr>
        <w:ind w:left="1818" w:hanging="360"/>
      </w:pPr>
      <w:rPr>
        <w:rFonts w:ascii="Courier New" w:hAnsi="Courier New" w:cs="Courier New" w:hint="default"/>
      </w:rPr>
    </w:lvl>
    <w:lvl w:ilvl="2" w:tplc="04050005" w:tentative="1">
      <w:start w:val="1"/>
      <w:numFmt w:val="bullet"/>
      <w:lvlText w:val=""/>
      <w:lvlJc w:val="left"/>
      <w:pPr>
        <w:ind w:left="2538" w:hanging="360"/>
      </w:pPr>
      <w:rPr>
        <w:rFonts w:ascii="Wingdings" w:hAnsi="Wingdings" w:hint="default"/>
      </w:rPr>
    </w:lvl>
    <w:lvl w:ilvl="3" w:tplc="04050001" w:tentative="1">
      <w:start w:val="1"/>
      <w:numFmt w:val="bullet"/>
      <w:lvlText w:val=""/>
      <w:lvlJc w:val="left"/>
      <w:pPr>
        <w:ind w:left="3258" w:hanging="360"/>
      </w:pPr>
      <w:rPr>
        <w:rFonts w:ascii="Symbol" w:hAnsi="Symbol" w:hint="default"/>
      </w:rPr>
    </w:lvl>
    <w:lvl w:ilvl="4" w:tplc="04050003" w:tentative="1">
      <w:start w:val="1"/>
      <w:numFmt w:val="bullet"/>
      <w:lvlText w:val="o"/>
      <w:lvlJc w:val="left"/>
      <w:pPr>
        <w:ind w:left="3978" w:hanging="360"/>
      </w:pPr>
      <w:rPr>
        <w:rFonts w:ascii="Courier New" w:hAnsi="Courier New" w:cs="Courier New" w:hint="default"/>
      </w:rPr>
    </w:lvl>
    <w:lvl w:ilvl="5" w:tplc="04050005" w:tentative="1">
      <w:start w:val="1"/>
      <w:numFmt w:val="bullet"/>
      <w:lvlText w:val=""/>
      <w:lvlJc w:val="left"/>
      <w:pPr>
        <w:ind w:left="4698" w:hanging="360"/>
      </w:pPr>
      <w:rPr>
        <w:rFonts w:ascii="Wingdings" w:hAnsi="Wingdings" w:hint="default"/>
      </w:rPr>
    </w:lvl>
    <w:lvl w:ilvl="6" w:tplc="04050001" w:tentative="1">
      <w:start w:val="1"/>
      <w:numFmt w:val="bullet"/>
      <w:lvlText w:val=""/>
      <w:lvlJc w:val="left"/>
      <w:pPr>
        <w:ind w:left="5418" w:hanging="360"/>
      </w:pPr>
      <w:rPr>
        <w:rFonts w:ascii="Symbol" w:hAnsi="Symbol" w:hint="default"/>
      </w:rPr>
    </w:lvl>
    <w:lvl w:ilvl="7" w:tplc="04050003" w:tentative="1">
      <w:start w:val="1"/>
      <w:numFmt w:val="bullet"/>
      <w:lvlText w:val="o"/>
      <w:lvlJc w:val="left"/>
      <w:pPr>
        <w:ind w:left="6138" w:hanging="360"/>
      </w:pPr>
      <w:rPr>
        <w:rFonts w:ascii="Courier New" w:hAnsi="Courier New" w:cs="Courier New" w:hint="default"/>
      </w:rPr>
    </w:lvl>
    <w:lvl w:ilvl="8" w:tplc="04050005" w:tentative="1">
      <w:start w:val="1"/>
      <w:numFmt w:val="bullet"/>
      <w:lvlText w:val=""/>
      <w:lvlJc w:val="left"/>
      <w:pPr>
        <w:ind w:left="6858" w:hanging="360"/>
      </w:pPr>
      <w:rPr>
        <w:rFonts w:ascii="Wingdings" w:hAnsi="Wingdings" w:hint="default"/>
      </w:rPr>
    </w:lvl>
  </w:abstractNum>
  <w:abstractNum w:abstractNumId="6" w15:restartNumberingAfterBreak="0">
    <w:nsid w:val="6C3756B6"/>
    <w:multiLevelType w:val="hybridMultilevel"/>
    <w:tmpl w:val="BB564D34"/>
    <w:lvl w:ilvl="0" w:tplc="04090001">
      <w:start w:val="1"/>
      <w:numFmt w:val="bullet"/>
      <w:lvlText w:val=""/>
      <w:lvlJc w:val="left"/>
      <w:pPr>
        <w:ind w:left="720" w:hanging="360"/>
      </w:pPr>
      <w:rPr>
        <w:rFonts w:ascii="Symbol" w:hAnsi="Symbol" w:hint="default"/>
      </w:rPr>
    </w:lvl>
    <w:lvl w:ilvl="1" w:tplc="481E248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D5F31"/>
    <w:multiLevelType w:val="hybridMultilevel"/>
    <w:tmpl w:val="691235A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6F794E3A"/>
    <w:multiLevelType w:val="hybridMultilevel"/>
    <w:tmpl w:val="94806394"/>
    <w:lvl w:ilvl="0" w:tplc="08090017">
      <w:start w:val="1"/>
      <w:numFmt w:val="lowerLetter"/>
      <w:pStyle w:val="Seznamsodrkami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2514C3"/>
    <w:multiLevelType w:val="hybridMultilevel"/>
    <w:tmpl w:val="73562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6152F5"/>
    <w:multiLevelType w:val="hybridMultilevel"/>
    <w:tmpl w:val="866C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5"/>
  </w:num>
  <w:num w:numId="6">
    <w:abstractNumId w:val="2"/>
  </w:num>
  <w:num w:numId="7">
    <w:abstractNumId w:val="6"/>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F3"/>
    <w:rsid w:val="000172AE"/>
    <w:rsid w:val="000312B1"/>
    <w:rsid w:val="00061321"/>
    <w:rsid w:val="000700F3"/>
    <w:rsid w:val="000930E6"/>
    <w:rsid w:val="00093881"/>
    <w:rsid w:val="00094384"/>
    <w:rsid w:val="00096B6A"/>
    <w:rsid w:val="00097A3B"/>
    <w:rsid w:val="000B784E"/>
    <w:rsid w:val="000C0F6F"/>
    <w:rsid w:val="000E042A"/>
    <w:rsid w:val="000E2364"/>
    <w:rsid w:val="000F2F9E"/>
    <w:rsid w:val="0011380B"/>
    <w:rsid w:val="001215CB"/>
    <w:rsid w:val="00142485"/>
    <w:rsid w:val="00157EC2"/>
    <w:rsid w:val="00161108"/>
    <w:rsid w:val="00192968"/>
    <w:rsid w:val="00197413"/>
    <w:rsid w:val="001A636B"/>
    <w:rsid w:val="001D1B68"/>
    <w:rsid w:val="001D2788"/>
    <w:rsid w:val="001E15FF"/>
    <w:rsid w:val="001E6AEA"/>
    <w:rsid w:val="001F5A24"/>
    <w:rsid w:val="002138F6"/>
    <w:rsid w:val="00233674"/>
    <w:rsid w:val="00245FF3"/>
    <w:rsid w:val="002561A6"/>
    <w:rsid w:val="00264251"/>
    <w:rsid w:val="00286EAB"/>
    <w:rsid w:val="00295AAE"/>
    <w:rsid w:val="00297017"/>
    <w:rsid w:val="0029710E"/>
    <w:rsid w:val="002D5139"/>
    <w:rsid w:val="002E42EC"/>
    <w:rsid w:val="002E4995"/>
    <w:rsid w:val="00301E86"/>
    <w:rsid w:val="003118C5"/>
    <w:rsid w:val="00315450"/>
    <w:rsid w:val="00317393"/>
    <w:rsid w:val="003251F6"/>
    <w:rsid w:val="0035312F"/>
    <w:rsid w:val="00362F61"/>
    <w:rsid w:val="00373846"/>
    <w:rsid w:val="00380F89"/>
    <w:rsid w:val="003B0FAA"/>
    <w:rsid w:val="003E077E"/>
    <w:rsid w:val="003E4D23"/>
    <w:rsid w:val="003F130D"/>
    <w:rsid w:val="00402CB7"/>
    <w:rsid w:val="004173AB"/>
    <w:rsid w:val="00417428"/>
    <w:rsid w:val="00464A15"/>
    <w:rsid w:val="00492FC7"/>
    <w:rsid w:val="004A5BDB"/>
    <w:rsid w:val="004D0768"/>
    <w:rsid w:val="004D55D3"/>
    <w:rsid w:val="00511296"/>
    <w:rsid w:val="00533EF0"/>
    <w:rsid w:val="00547EA5"/>
    <w:rsid w:val="005574A7"/>
    <w:rsid w:val="00583E4A"/>
    <w:rsid w:val="005901CD"/>
    <w:rsid w:val="0059511E"/>
    <w:rsid w:val="005A0B4B"/>
    <w:rsid w:val="005A53DE"/>
    <w:rsid w:val="005E4FB2"/>
    <w:rsid w:val="00607000"/>
    <w:rsid w:val="0063048E"/>
    <w:rsid w:val="00635E6F"/>
    <w:rsid w:val="006412EE"/>
    <w:rsid w:val="00643DDB"/>
    <w:rsid w:val="00677541"/>
    <w:rsid w:val="00690FE8"/>
    <w:rsid w:val="006A3BAF"/>
    <w:rsid w:val="006E7B0F"/>
    <w:rsid w:val="00764299"/>
    <w:rsid w:val="007A2CEB"/>
    <w:rsid w:val="007C36D2"/>
    <w:rsid w:val="007D42AD"/>
    <w:rsid w:val="00807F2C"/>
    <w:rsid w:val="00827436"/>
    <w:rsid w:val="00833D7E"/>
    <w:rsid w:val="00857B51"/>
    <w:rsid w:val="00870DC7"/>
    <w:rsid w:val="00880968"/>
    <w:rsid w:val="00896785"/>
    <w:rsid w:val="008A0BC8"/>
    <w:rsid w:val="008E3F32"/>
    <w:rsid w:val="00920539"/>
    <w:rsid w:val="00932B72"/>
    <w:rsid w:val="00953439"/>
    <w:rsid w:val="00984162"/>
    <w:rsid w:val="009845AB"/>
    <w:rsid w:val="009D3462"/>
    <w:rsid w:val="00A112AC"/>
    <w:rsid w:val="00A21B53"/>
    <w:rsid w:val="00A32CFC"/>
    <w:rsid w:val="00A3762A"/>
    <w:rsid w:val="00A71936"/>
    <w:rsid w:val="00A841A4"/>
    <w:rsid w:val="00A86D1C"/>
    <w:rsid w:val="00A97245"/>
    <w:rsid w:val="00AB4BF9"/>
    <w:rsid w:val="00AD65E8"/>
    <w:rsid w:val="00AE1EE3"/>
    <w:rsid w:val="00B073F0"/>
    <w:rsid w:val="00B1483C"/>
    <w:rsid w:val="00B23CA4"/>
    <w:rsid w:val="00B47FE3"/>
    <w:rsid w:val="00B727BC"/>
    <w:rsid w:val="00B80E82"/>
    <w:rsid w:val="00B87EE3"/>
    <w:rsid w:val="00BD02D9"/>
    <w:rsid w:val="00C15628"/>
    <w:rsid w:val="00C86CF1"/>
    <w:rsid w:val="00CC381C"/>
    <w:rsid w:val="00CD6995"/>
    <w:rsid w:val="00CE0D83"/>
    <w:rsid w:val="00D4535B"/>
    <w:rsid w:val="00D46C23"/>
    <w:rsid w:val="00D5681A"/>
    <w:rsid w:val="00D647D2"/>
    <w:rsid w:val="00D909E3"/>
    <w:rsid w:val="00DE37AD"/>
    <w:rsid w:val="00E177B7"/>
    <w:rsid w:val="00E24DDF"/>
    <w:rsid w:val="00E264C6"/>
    <w:rsid w:val="00E52966"/>
    <w:rsid w:val="00EA75BC"/>
    <w:rsid w:val="00ED1C1F"/>
    <w:rsid w:val="00ED5D92"/>
    <w:rsid w:val="00EF3D7D"/>
    <w:rsid w:val="00EF7FD3"/>
    <w:rsid w:val="00F42915"/>
    <w:rsid w:val="00F43924"/>
    <w:rsid w:val="00F72D1C"/>
    <w:rsid w:val="00F81110"/>
    <w:rsid w:val="00FD615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CE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700F3"/>
    <w:pPr>
      <w:tabs>
        <w:tab w:val="left" w:pos="123"/>
      </w:tabs>
      <w:suppressAutoHyphens/>
      <w:autoSpaceDE w:val="0"/>
      <w:autoSpaceDN w:val="0"/>
      <w:adjustRightInd w:val="0"/>
      <w:spacing w:after="0" w:line="240" w:lineRule="auto"/>
      <w:ind w:left="125"/>
      <w:jc w:val="center"/>
      <w:textAlignment w:val="center"/>
      <w:outlineLvl w:val="0"/>
    </w:pPr>
    <w:rPr>
      <w:rFonts w:ascii="Arial" w:eastAsia="Times New Roman" w:hAnsi="Arial" w:cs="Arial"/>
      <w:b/>
      <w:color w:val="013C72"/>
      <w:sz w:val="36"/>
      <w:szCs w:val="52"/>
      <w:lang w:val="en-GB" w:eastAsia="fr-B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7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0700F3"/>
    <w:rPr>
      <w:rFonts w:ascii="Arial" w:eastAsia="Times New Roman" w:hAnsi="Arial" w:cs="Arial"/>
      <w:b/>
      <w:color w:val="013C72"/>
      <w:sz w:val="36"/>
      <w:szCs w:val="52"/>
      <w:lang w:val="en-GB" w:eastAsia="fr-BE"/>
    </w:rPr>
  </w:style>
  <w:style w:type="character" w:styleId="Hypertextovodkaz">
    <w:name w:val="Hyperlink"/>
    <w:basedOn w:val="Standardnpsmoodstavce"/>
    <w:rsid w:val="000700F3"/>
    <w:rPr>
      <w:color w:val="0000FF"/>
      <w:u w:val="single"/>
    </w:rPr>
  </w:style>
  <w:style w:type="paragraph" w:styleId="Odstavecseseznamem">
    <w:name w:val="List Paragraph"/>
    <w:basedOn w:val="Seznamsodrkami5"/>
    <w:link w:val="OdstavecseseznamemChar"/>
    <w:uiPriority w:val="34"/>
    <w:qFormat/>
    <w:rsid w:val="000700F3"/>
    <w:pPr>
      <w:numPr>
        <w:numId w:val="0"/>
      </w:numPr>
      <w:suppressAutoHyphens/>
      <w:autoSpaceDE w:val="0"/>
      <w:autoSpaceDN w:val="0"/>
      <w:adjustRightInd w:val="0"/>
      <w:spacing w:after="0" w:line="288" w:lineRule="auto"/>
      <w:contextualSpacing w:val="0"/>
      <w:jc w:val="both"/>
      <w:textAlignment w:val="center"/>
    </w:pPr>
    <w:rPr>
      <w:rFonts w:ascii="Arial" w:eastAsia="Times New Roman" w:hAnsi="Arial" w:cs="Arial"/>
      <w:color w:val="000000"/>
      <w:sz w:val="19"/>
      <w:szCs w:val="19"/>
      <w:lang w:val="en-US" w:eastAsia="fr-BE"/>
    </w:rPr>
  </w:style>
  <w:style w:type="character" w:customStyle="1" w:styleId="OdstavecseseznamemChar">
    <w:name w:val="Odstavec se seznamem Char"/>
    <w:basedOn w:val="Standardnpsmoodstavce"/>
    <w:link w:val="Odstavecseseznamem"/>
    <w:uiPriority w:val="34"/>
    <w:rsid w:val="000700F3"/>
    <w:rPr>
      <w:rFonts w:ascii="Arial" w:eastAsia="Times New Roman" w:hAnsi="Arial" w:cs="Arial"/>
      <w:color w:val="000000"/>
      <w:sz w:val="19"/>
      <w:szCs w:val="19"/>
      <w:lang w:val="en-US" w:eastAsia="fr-BE"/>
    </w:rPr>
  </w:style>
  <w:style w:type="paragraph" w:styleId="Seznamsodrkami5">
    <w:name w:val="List Bullet 5"/>
    <w:basedOn w:val="Normln"/>
    <w:uiPriority w:val="99"/>
    <w:semiHidden/>
    <w:unhideWhenUsed/>
    <w:rsid w:val="000700F3"/>
    <w:pPr>
      <w:numPr>
        <w:numId w:val="1"/>
      </w:numPr>
      <w:contextualSpacing/>
    </w:pPr>
  </w:style>
  <w:style w:type="paragraph" w:styleId="Zkladntext">
    <w:name w:val="Body Text"/>
    <w:basedOn w:val="Normln"/>
    <w:link w:val="ZkladntextChar"/>
    <w:rsid w:val="00197413"/>
    <w:pPr>
      <w:suppressAutoHyphens/>
      <w:autoSpaceDE w:val="0"/>
      <w:autoSpaceDN w:val="0"/>
      <w:adjustRightInd w:val="0"/>
      <w:spacing w:before="100" w:beforeAutospacing="1" w:after="120" w:afterAutospacing="1" w:line="288" w:lineRule="auto"/>
      <w:textAlignment w:val="center"/>
    </w:pPr>
    <w:rPr>
      <w:rFonts w:ascii="Gill Sans Std" w:eastAsia="Times New Roman" w:hAnsi="Gill Sans Std" w:cs="Arial"/>
      <w:color w:val="000000"/>
      <w:sz w:val="18"/>
      <w:szCs w:val="19"/>
      <w:lang w:val="en-GB" w:eastAsia="fr-BE"/>
    </w:rPr>
  </w:style>
  <w:style w:type="character" w:customStyle="1" w:styleId="ZkladntextChar">
    <w:name w:val="Základní text Char"/>
    <w:basedOn w:val="Standardnpsmoodstavce"/>
    <w:link w:val="Zkladntext"/>
    <w:rsid w:val="00197413"/>
    <w:rPr>
      <w:rFonts w:ascii="Gill Sans Std" w:eastAsia="Times New Roman" w:hAnsi="Gill Sans Std" w:cs="Arial"/>
      <w:color w:val="000000"/>
      <w:sz w:val="18"/>
      <w:szCs w:val="19"/>
      <w:lang w:val="en-GB" w:eastAsia="fr-BE"/>
    </w:rPr>
  </w:style>
  <w:style w:type="paragraph" w:styleId="Zhlav">
    <w:name w:val="header"/>
    <w:basedOn w:val="Normln"/>
    <w:link w:val="ZhlavChar"/>
    <w:uiPriority w:val="99"/>
    <w:unhideWhenUsed/>
    <w:rsid w:val="001974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413"/>
  </w:style>
  <w:style w:type="paragraph" w:styleId="Zpat">
    <w:name w:val="footer"/>
    <w:basedOn w:val="Normln"/>
    <w:link w:val="ZpatChar"/>
    <w:uiPriority w:val="99"/>
    <w:unhideWhenUsed/>
    <w:rsid w:val="001974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413"/>
  </w:style>
  <w:style w:type="paragraph" w:styleId="Textbubliny">
    <w:name w:val="Balloon Text"/>
    <w:basedOn w:val="Normln"/>
    <w:link w:val="TextbublinyChar"/>
    <w:uiPriority w:val="99"/>
    <w:semiHidden/>
    <w:unhideWhenUsed/>
    <w:rsid w:val="000B78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84E"/>
    <w:rPr>
      <w:rFonts w:ascii="Segoe UI" w:hAnsi="Segoe UI" w:cs="Segoe UI"/>
      <w:sz w:val="18"/>
      <w:szCs w:val="18"/>
    </w:rPr>
  </w:style>
  <w:style w:type="character" w:styleId="Sledovanodkaz">
    <w:name w:val="FollowedHyperlink"/>
    <w:basedOn w:val="Standardnpsmoodstavce"/>
    <w:uiPriority w:val="99"/>
    <w:semiHidden/>
    <w:unhideWhenUsed/>
    <w:rsid w:val="00CE0D83"/>
    <w:rPr>
      <w:color w:val="954F72" w:themeColor="followedHyperlink"/>
      <w:u w:val="single"/>
    </w:rPr>
  </w:style>
  <w:style w:type="paragraph" w:styleId="Revize">
    <w:name w:val="Revision"/>
    <w:hidden/>
    <w:uiPriority w:val="99"/>
    <w:semiHidden/>
    <w:rsid w:val="00161108"/>
    <w:pPr>
      <w:spacing w:after="0" w:line="240" w:lineRule="auto"/>
    </w:pPr>
  </w:style>
  <w:style w:type="character" w:styleId="Odkaznakoment">
    <w:name w:val="annotation reference"/>
    <w:basedOn w:val="Standardnpsmoodstavce"/>
    <w:uiPriority w:val="99"/>
    <w:semiHidden/>
    <w:unhideWhenUsed/>
    <w:rsid w:val="00161108"/>
    <w:rPr>
      <w:sz w:val="16"/>
      <w:szCs w:val="16"/>
    </w:rPr>
  </w:style>
  <w:style w:type="paragraph" w:styleId="Textkomente">
    <w:name w:val="annotation text"/>
    <w:basedOn w:val="Normln"/>
    <w:link w:val="TextkomenteChar"/>
    <w:uiPriority w:val="99"/>
    <w:unhideWhenUsed/>
    <w:rsid w:val="00161108"/>
    <w:pPr>
      <w:spacing w:line="240" w:lineRule="auto"/>
    </w:pPr>
    <w:rPr>
      <w:sz w:val="20"/>
      <w:szCs w:val="20"/>
    </w:rPr>
  </w:style>
  <w:style w:type="character" w:customStyle="1" w:styleId="TextkomenteChar">
    <w:name w:val="Text komentáře Char"/>
    <w:basedOn w:val="Standardnpsmoodstavce"/>
    <w:link w:val="Textkomente"/>
    <w:uiPriority w:val="99"/>
    <w:rsid w:val="00161108"/>
    <w:rPr>
      <w:sz w:val="20"/>
      <w:szCs w:val="20"/>
    </w:rPr>
  </w:style>
  <w:style w:type="paragraph" w:styleId="Pedmtkomente">
    <w:name w:val="annotation subject"/>
    <w:basedOn w:val="Textkomente"/>
    <w:next w:val="Textkomente"/>
    <w:link w:val="PedmtkomenteChar"/>
    <w:uiPriority w:val="99"/>
    <w:semiHidden/>
    <w:unhideWhenUsed/>
    <w:rsid w:val="00161108"/>
    <w:rPr>
      <w:b/>
      <w:bCs/>
    </w:rPr>
  </w:style>
  <w:style w:type="character" w:customStyle="1" w:styleId="PedmtkomenteChar">
    <w:name w:val="Předmět komentáře Char"/>
    <w:basedOn w:val="TextkomenteChar"/>
    <w:link w:val="Pedmtkomente"/>
    <w:uiPriority w:val="99"/>
    <w:semiHidden/>
    <w:rsid w:val="00161108"/>
    <w:rPr>
      <w:b/>
      <w:bCs/>
      <w:sz w:val="20"/>
      <w:szCs w:val="20"/>
    </w:rPr>
  </w:style>
  <w:style w:type="character" w:customStyle="1" w:styleId="UnresolvedMention">
    <w:name w:val="Unresolved Mention"/>
    <w:basedOn w:val="Standardnpsmoodstavce"/>
    <w:uiPriority w:val="99"/>
    <w:semiHidden/>
    <w:unhideWhenUsed/>
    <w:rsid w:val="003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25126">
      <w:bodyDiv w:val="1"/>
      <w:marLeft w:val="0"/>
      <w:marRight w:val="0"/>
      <w:marTop w:val="0"/>
      <w:marBottom w:val="0"/>
      <w:divBdr>
        <w:top w:val="none" w:sz="0" w:space="0" w:color="auto"/>
        <w:left w:val="none" w:sz="0" w:space="0" w:color="auto"/>
        <w:bottom w:val="none" w:sz="0" w:space="0" w:color="auto"/>
        <w:right w:val="none" w:sz="0" w:space="0" w:color="auto"/>
      </w:divBdr>
    </w:div>
    <w:div w:id="18176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sites/default/files/resource_items/files/MedTech%20Europe%20-%20Code%20of%20Ethical%20Business%20Practice-QA-D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almedtech.eu/conference-vetting-system/objective/" TargetMode="External"/><Relationship Id="rId5" Type="http://schemas.openxmlformats.org/officeDocument/2006/relationships/webSettings" Target="webSettings.xml"/><Relationship Id="rId10" Type="http://schemas.openxmlformats.org/officeDocument/2006/relationships/hyperlink" Target="http://www.medtecheurope.org/sites/default/files/resource_items/files/MedTech%20Europe%20-%20Code%20of%20Ethical%20Business%20Practice-QA-DG.pdf" TargetMode="External"/><Relationship Id="rId4" Type="http://schemas.openxmlformats.org/officeDocument/2006/relationships/settings" Target="settings.xml"/><Relationship Id="rId9" Type="http://schemas.openxmlformats.org/officeDocument/2006/relationships/hyperlink" Target="https://www.ethicalmedtech.eu/conference-vetting-system/objectiv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34EB-199F-483F-9758-150BB604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3395</Words>
  <Characters>20033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2024-08-20T08:21:00Z</dcterms:created>
  <dcterms:modified xsi:type="dcterms:W3CDTF">2024-08-20T08:21:00Z</dcterms:modified>
</cp:coreProperties>
</file>