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51" w14:textId="5EDE1344" w:rsidR="00CA6C5C" w:rsidRDefault="00A02BCA" w:rsidP="00CA6C5C">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CA6C5C" w:rsidRPr="00940887">
        <w:rPr>
          <w:b/>
          <w:noProof/>
          <w:sz w:val="22"/>
          <w:lang w:eastAsia="cs-CZ"/>
        </w:rPr>
        <w:drawing>
          <wp:anchor distT="0" distB="0" distL="114300" distR="114300" simplePos="0" relativeHeight="251673600" behindDoc="1" locked="0" layoutInCell="1" allowOverlap="1" wp14:anchorId="115369F4" wp14:editId="4814733B">
            <wp:simplePos x="0" y="0"/>
            <wp:positionH relativeFrom="column">
              <wp:posOffset>-642620</wp:posOffset>
            </wp:positionH>
            <wp:positionV relativeFrom="paragraph">
              <wp:posOffset>-343997</wp:posOffset>
            </wp:positionV>
            <wp:extent cx="1093470" cy="3838575"/>
            <wp:effectExtent l="0" t="0" r="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08852590" w14:textId="77777777" w:rsidR="00CA6C5C" w:rsidRPr="00940887" w:rsidRDefault="00CA6C5C" w:rsidP="00CA6C5C">
      <w:pPr>
        <w:keepNext/>
        <w:keepLines/>
        <w:tabs>
          <w:tab w:val="left" w:pos="3969"/>
        </w:tabs>
        <w:ind w:left="992"/>
        <w:rPr>
          <w:b/>
          <w:sz w:val="22"/>
        </w:rPr>
      </w:pPr>
      <w:r w:rsidRPr="00940887">
        <w:rPr>
          <w:b/>
          <w:sz w:val="22"/>
        </w:rPr>
        <w:t>Technická správa komunikací hl. m. Prahy, a.s.</w:t>
      </w:r>
    </w:p>
    <w:p w14:paraId="76FEB437" w14:textId="77777777" w:rsidR="00CA6C5C" w:rsidRPr="00940887" w:rsidRDefault="00CA6C5C" w:rsidP="00CA6C5C">
      <w:pPr>
        <w:keepNext/>
        <w:keepLines/>
        <w:tabs>
          <w:tab w:val="left" w:pos="3969"/>
        </w:tabs>
        <w:ind w:left="993"/>
        <w:rPr>
          <w:sz w:val="22"/>
        </w:rPr>
      </w:pPr>
      <w:r w:rsidRPr="00940887">
        <w:rPr>
          <w:sz w:val="22"/>
        </w:rPr>
        <w:t xml:space="preserve">se sídlem </w:t>
      </w:r>
      <w:r>
        <w:rPr>
          <w:sz w:val="22"/>
        </w:rPr>
        <w:t>Veletržní 1623/24, 170 00 Praha 7 - Holešovice</w:t>
      </w:r>
    </w:p>
    <w:p w14:paraId="245496F2" w14:textId="77777777" w:rsidR="00CA6C5C" w:rsidRPr="00940887" w:rsidRDefault="00CA6C5C" w:rsidP="00CA6C5C">
      <w:pPr>
        <w:keepNext/>
        <w:keepLines/>
        <w:tabs>
          <w:tab w:val="left" w:pos="3969"/>
        </w:tabs>
        <w:ind w:left="993"/>
        <w:rPr>
          <w:sz w:val="22"/>
        </w:rPr>
      </w:pPr>
      <w:r w:rsidRPr="00940887">
        <w:rPr>
          <w:sz w:val="22"/>
        </w:rPr>
        <w:t>IČO: 034 47 286</w:t>
      </w:r>
    </w:p>
    <w:p w14:paraId="5C2F8A38" w14:textId="77777777" w:rsidR="00CA6C5C" w:rsidRPr="00940887" w:rsidRDefault="00CA6C5C" w:rsidP="00CA6C5C">
      <w:pPr>
        <w:keepNext/>
        <w:keepLines/>
        <w:tabs>
          <w:tab w:val="left" w:pos="3969"/>
        </w:tabs>
        <w:ind w:left="993"/>
        <w:rPr>
          <w:sz w:val="22"/>
        </w:rPr>
      </w:pPr>
      <w:r w:rsidRPr="00940887">
        <w:rPr>
          <w:sz w:val="22"/>
        </w:rPr>
        <w:t>DIČ: CZ03447286</w:t>
      </w:r>
    </w:p>
    <w:p w14:paraId="26D66B0D" w14:textId="77777777" w:rsidR="00CA6C5C" w:rsidRDefault="00CA6C5C" w:rsidP="00CA6C5C">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5395841C" wp14:editId="29FA12AB">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841C" id="Rectangle 11" o:spid="_x0000_s1026" style="position:absolute;left:0;text-align:left;margin-left:14.85pt;margin-top:152.35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Pr="00940887">
        <w:rPr>
          <w:sz w:val="22"/>
        </w:rPr>
        <w:t>zapsaná v obchodním rejstříku vedeném Městským soudem v Praze, spis. zn.  B 20059</w:t>
      </w:r>
    </w:p>
    <w:p w14:paraId="0AD589FF" w14:textId="77777777" w:rsidR="00CA6C5C" w:rsidRDefault="00CA6C5C" w:rsidP="00CA6C5C">
      <w:pPr>
        <w:keepNext/>
        <w:keepLines/>
        <w:tabs>
          <w:tab w:val="left" w:pos="3969"/>
        </w:tabs>
        <w:ind w:left="992"/>
        <w:rPr>
          <w:sz w:val="22"/>
        </w:rPr>
      </w:pPr>
    </w:p>
    <w:p w14:paraId="3D1BBEEC" w14:textId="54EDFF42" w:rsidR="00CA6C5C" w:rsidRDefault="00CA6C5C" w:rsidP="00CA6C5C">
      <w:pPr>
        <w:keepNext/>
        <w:keepLines/>
        <w:tabs>
          <w:tab w:val="left" w:pos="2552"/>
          <w:tab w:val="left" w:pos="3544"/>
        </w:tabs>
        <w:spacing w:after="80"/>
        <w:ind w:left="992"/>
        <w:rPr>
          <w:sz w:val="22"/>
        </w:rPr>
      </w:pPr>
      <w:r>
        <w:rPr>
          <w:b/>
          <w:bCs/>
          <w:sz w:val="22"/>
        </w:rPr>
        <w:t xml:space="preserve">osoby zmocněné k jednání: </w:t>
      </w:r>
      <w:r w:rsidR="00690198">
        <w:rPr>
          <w:sz w:val="22"/>
        </w:rPr>
        <w:t>xxxxxxxxxxxxxx</w:t>
      </w:r>
      <w:r>
        <w:rPr>
          <w:sz w:val="22"/>
        </w:rPr>
        <w:t xml:space="preserve"> – vedoucí oddělení správy odvodňovacích zařízení</w:t>
      </w:r>
    </w:p>
    <w:p w14:paraId="6C7841EB" w14:textId="4893F297" w:rsidR="00CA6C5C" w:rsidRPr="00E0667B" w:rsidRDefault="00CA6C5C" w:rsidP="00CA6C5C">
      <w:pPr>
        <w:keepNext/>
        <w:keepLines/>
        <w:tabs>
          <w:tab w:val="left" w:pos="2552"/>
          <w:tab w:val="left" w:pos="3261"/>
        </w:tabs>
        <w:spacing w:after="80"/>
        <w:ind w:left="992"/>
        <w:rPr>
          <w:sz w:val="22"/>
        </w:rPr>
      </w:pPr>
      <w:r>
        <w:rPr>
          <w:b/>
          <w:bCs/>
          <w:sz w:val="22"/>
        </w:rPr>
        <w:t xml:space="preserve">ve věcech technických: </w:t>
      </w:r>
      <w:r>
        <w:rPr>
          <w:b/>
          <w:bCs/>
          <w:sz w:val="22"/>
        </w:rPr>
        <w:tab/>
      </w:r>
      <w:r w:rsidR="00690198">
        <w:rPr>
          <w:b/>
          <w:bCs/>
          <w:sz w:val="22"/>
        </w:rPr>
        <w:t>xxxxxxxxxxxxxxx</w:t>
      </w:r>
      <w:r>
        <w:rPr>
          <w:sz w:val="22"/>
        </w:rPr>
        <w:t xml:space="preserve"> – řídící správní technik odd. odvodňov. zařízení</w:t>
      </w:r>
    </w:p>
    <w:p w14:paraId="5C85BA92" w14:textId="055F15F1" w:rsidR="00CA6C5C" w:rsidRPr="00D85548" w:rsidRDefault="00CA6C5C" w:rsidP="00CA6C5C">
      <w:pPr>
        <w:keepNext/>
        <w:keepLines/>
        <w:tabs>
          <w:tab w:val="left" w:pos="2552"/>
          <w:tab w:val="left" w:pos="3544"/>
        </w:tabs>
        <w:spacing w:after="160"/>
        <w:ind w:left="992"/>
        <w:rPr>
          <w:sz w:val="22"/>
        </w:rPr>
      </w:pPr>
      <w:r>
        <w:rPr>
          <w:sz w:val="22"/>
        </w:rPr>
        <w:t>Při podpisu prováděcí smlouvy do 0,25 mil. Kč bez DPH je oprávněn zastupovat Objednatele v souladu s Maticí odpovědnosti na základě pově</w:t>
      </w:r>
      <w:r w:rsidR="00457FDB">
        <w:rPr>
          <w:sz w:val="22"/>
        </w:rPr>
        <w:t xml:space="preserve">ření uděleného představenstvem </w:t>
      </w:r>
      <w:r w:rsidR="00690198">
        <w:rPr>
          <w:sz w:val="22"/>
        </w:rPr>
        <w:t>xxxxxxxxxxxxx</w:t>
      </w:r>
      <w:r>
        <w:rPr>
          <w:sz w:val="22"/>
        </w:rPr>
        <w:t xml:space="preserve"> – vedoucí oddělení správy odvodňovacích zařízení.</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2015F3">
      <w:pPr>
        <w:keepNext/>
        <w:keepLines/>
        <w:tabs>
          <w:tab w:val="left" w:pos="3969"/>
        </w:tabs>
        <w:ind w:left="993"/>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03ADEFEE"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r w:rsidR="000B1DF9">
        <w:rPr>
          <w:bCs/>
          <w:sz w:val="22"/>
        </w:rPr>
        <w:t>xxxxxxxxxx</w:t>
      </w:r>
      <w:r w:rsidRPr="007F0FFF">
        <w:rPr>
          <w:bCs/>
          <w:sz w:val="22"/>
        </w:rPr>
        <w:t>,</w:t>
      </w:r>
      <w:r>
        <w:rPr>
          <w:bCs/>
          <w:sz w:val="22"/>
        </w:rPr>
        <w:t xml:space="preserve"> </w:t>
      </w:r>
      <w:r w:rsidR="000B1DF9">
        <w:rPr>
          <w:bCs/>
          <w:sz w:val="22"/>
        </w:rPr>
        <w:t>xxxxxxxxxxx</w:t>
      </w:r>
      <w:r>
        <w:rPr>
          <w:bCs/>
          <w:sz w:val="22"/>
        </w:rPr>
        <w:t>,</w:t>
      </w:r>
      <w:r w:rsidRPr="007F0FFF">
        <w:rPr>
          <w:bCs/>
          <w:sz w:val="22"/>
        </w:rPr>
        <w:t xml:space="preserve"> </w:t>
      </w:r>
      <w:r w:rsidR="000B1DF9">
        <w:rPr>
          <w:bCs/>
          <w:sz w:val="22"/>
        </w:rPr>
        <w:t>xxxxxxxxxxxx</w:t>
      </w:r>
      <w:r w:rsidRPr="007F0FFF">
        <w:rPr>
          <w:bCs/>
          <w:sz w:val="22"/>
        </w:rPr>
        <w:t xml:space="preserve"> </w:t>
      </w:r>
      <w:r>
        <w:rPr>
          <w:bCs/>
          <w:sz w:val="22"/>
        </w:rPr>
        <w:t xml:space="preserve">a </w:t>
      </w:r>
      <w:r>
        <w:rPr>
          <w:bCs/>
          <w:sz w:val="22"/>
        </w:rPr>
        <w:br/>
      </w:r>
      <w:r w:rsidR="000B1DF9">
        <w:rPr>
          <w:bCs/>
          <w:sz w:val="22"/>
        </w:rPr>
        <w:t>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20422F28"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0B1DF9">
        <w:rPr>
          <w:bCs/>
          <w:sz w:val="22"/>
        </w:rPr>
        <w:t>xxxxxxxxxx</w:t>
      </w:r>
    </w:p>
    <w:p w14:paraId="2CA9E6DE" w14:textId="3C637145"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B1DF9">
        <w:rPr>
          <w:bCs/>
          <w:sz w:val="22"/>
        </w:rPr>
        <w:t>xxxxxxxxxx</w:t>
      </w:r>
    </w:p>
    <w:p w14:paraId="0D0AA719" w14:textId="66984CBC"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B1DF9">
        <w:rPr>
          <w:bCs/>
          <w:sz w:val="22"/>
        </w:rPr>
        <w:t>xxxxxxxxxx</w:t>
      </w:r>
    </w:p>
    <w:p w14:paraId="6CB91264" w14:textId="3927AEE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B1DF9">
        <w:rPr>
          <w:bCs/>
          <w:sz w:val="22"/>
        </w:rPr>
        <w:t>xxxxxxxxxx</w:t>
      </w:r>
    </w:p>
    <w:p w14:paraId="13037BE5" w14:textId="280CE89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B1DF9">
        <w:rPr>
          <w:bCs/>
          <w:sz w:val="22"/>
        </w:rPr>
        <w:t>xxxxxxxxxx</w:t>
      </w:r>
    </w:p>
    <w:p w14:paraId="07B4B385" w14:textId="7A2CFE0C"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B1DF9">
        <w:rPr>
          <w:bCs/>
          <w:sz w:val="22"/>
        </w:rPr>
        <w:t>xxxxxxxxxx</w:t>
      </w:r>
    </w:p>
    <w:p w14:paraId="3A57B90D" w14:textId="1A325781"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5100B3">
        <w:rPr>
          <w:bCs/>
          <w:sz w:val="22"/>
        </w:rPr>
        <w:t>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4537B4E7"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D15338">
        <w:rPr>
          <w:sz w:val="22"/>
        </w:rPr>
        <w:t>3/24/2800/084</w:t>
      </w:r>
    </w:p>
    <w:p w14:paraId="0969B1F6" w14:textId="52B8E033"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CA6C5C">
        <w:rPr>
          <w:sz w:val="22"/>
        </w:rPr>
        <w:t>D</w:t>
      </w:r>
      <w:r w:rsidR="00D15338">
        <w:rPr>
          <w:sz w:val="22"/>
        </w:rPr>
        <w:t>L</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0928844" w:rsidR="00136D29" w:rsidRPr="00636141" w:rsidRDefault="00136D29" w:rsidP="00287EB7">
      <w:pPr>
        <w:pStyle w:val="Preambule"/>
        <w:ind w:hanging="567"/>
      </w:pPr>
      <w:r w:rsidRPr="00636141">
        <w:t>Objed</w:t>
      </w:r>
      <w:r w:rsidR="0033209F">
        <w:t>natel zadal postupem podle § 134</w:t>
      </w:r>
      <w:r w:rsidRPr="00636141">
        <w:t xml:space="preserve"> ZZVZ plnění dílčí veřejné zakázky s názvem </w:t>
      </w:r>
      <w:r w:rsidR="007C0944">
        <w:t xml:space="preserve">  </w:t>
      </w:r>
      <w:r w:rsidR="000C16A3" w:rsidRPr="00287EB7">
        <w:rPr>
          <w:b/>
          <w:bCs/>
          <w:sz w:val="24"/>
        </w:rPr>
        <w:t>„</w:t>
      </w:r>
      <w:r w:rsidR="00332E2D">
        <w:rPr>
          <w:b/>
          <w:bCs/>
          <w:sz w:val="24"/>
        </w:rPr>
        <w:t>Štěrboholská spojka Praha 20 – seřezá</w:t>
      </w:r>
      <w:r w:rsidR="007A32BE">
        <w:rPr>
          <w:b/>
          <w:bCs/>
          <w:sz w:val="24"/>
        </w:rPr>
        <w:t>ní krajnic podél nájezdové větve</w:t>
      </w:r>
      <w:r w:rsidR="00332E2D">
        <w:rPr>
          <w:b/>
          <w:bCs/>
          <w:sz w:val="24"/>
        </w:rPr>
        <w:t xml:space="preserve"> Štěrboholské sp. na komunikaci Novopacká směr ZC</w:t>
      </w:r>
      <w:r w:rsidR="00BF29A8">
        <w:rPr>
          <w:b/>
          <w:bCs/>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43100E">
      <w:pPr>
        <w:pStyle w:val="Clanek11"/>
        <w:pageBreakBefore/>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 xml:space="preserve">povahou Díla a příslušné dokumentace a že jsou mu známy veškeré technické, kvalitativní a jiné </w:t>
      </w:r>
      <w:r w:rsidRPr="00136D29">
        <w:rPr>
          <w:rStyle w:val="normaltextrun"/>
          <w:szCs w:val="22"/>
        </w:rPr>
        <w:lastRenderedPageBreak/>
        <w:t>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789F25DC"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0944">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10BE1D9F"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8194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8194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1D602D">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w:t>
      </w:r>
      <w:r w:rsidR="001B7B35" w:rsidRPr="00D95A55">
        <w:rPr>
          <w:szCs w:val="22"/>
        </w:rPr>
        <w:lastRenderedPageBreak/>
        <w:t>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772691BE"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F9469EC" w:rsidR="000B6F62" w:rsidRPr="002015F3" w:rsidRDefault="000B6F62" w:rsidP="00940887">
      <w:pPr>
        <w:pStyle w:val="Clanek11"/>
        <w:numPr>
          <w:ilvl w:val="0"/>
          <w:numId w:val="0"/>
        </w:numPr>
        <w:ind w:left="567"/>
        <w:rPr>
          <w:rStyle w:val="eop"/>
          <w:b/>
          <w:szCs w:val="22"/>
        </w:rPr>
      </w:pPr>
      <w:r w:rsidRPr="002015F3">
        <w:rPr>
          <w:rStyle w:val="eop"/>
          <w:b/>
          <w:szCs w:val="22"/>
        </w:rPr>
        <w:t>Cena bez DPH:</w:t>
      </w:r>
      <w:r w:rsidRPr="002015F3">
        <w:rPr>
          <w:rStyle w:val="eop"/>
          <w:b/>
          <w:szCs w:val="22"/>
        </w:rPr>
        <w:tab/>
      </w:r>
      <w:r w:rsidR="00554651">
        <w:rPr>
          <w:rStyle w:val="eop"/>
          <w:b/>
          <w:szCs w:val="22"/>
        </w:rPr>
        <w:t xml:space="preserve"> </w:t>
      </w:r>
      <w:r w:rsidR="00332E2D">
        <w:rPr>
          <w:rStyle w:val="eop"/>
          <w:b/>
          <w:szCs w:val="22"/>
        </w:rPr>
        <w:t xml:space="preserve">   </w:t>
      </w:r>
      <w:r w:rsidR="00554651">
        <w:rPr>
          <w:rStyle w:val="eop"/>
          <w:b/>
          <w:szCs w:val="22"/>
        </w:rPr>
        <w:t xml:space="preserve"> </w:t>
      </w:r>
      <w:r w:rsidR="00332E2D">
        <w:rPr>
          <w:rStyle w:val="eop"/>
          <w:b/>
          <w:szCs w:val="22"/>
        </w:rPr>
        <w:t>129</w:t>
      </w:r>
      <w:r w:rsidR="00554651">
        <w:rPr>
          <w:rStyle w:val="eop"/>
          <w:b/>
          <w:szCs w:val="22"/>
        </w:rPr>
        <w:t xml:space="preserve"> </w:t>
      </w:r>
      <w:r w:rsidR="00332E2D">
        <w:rPr>
          <w:rStyle w:val="eop"/>
          <w:b/>
          <w:szCs w:val="22"/>
        </w:rPr>
        <w:t>218</w:t>
      </w:r>
      <w:r w:rsidR="00AF2497">
        <w:rPr>
          <w:rStyle w:val="eop"/>
          <w:b/>
          <w:szCs w:val="22"/>
        </w:rPr>
        <w:t>,</w:t>
      </w:r>
      <w:r w:rsidR="00332E2D">
        <w:rPr>
          <w:rStyle w:val="eop"/>
          <w:b/>
          <w:szCs w:val="22"/>
        </w:rPr>
        <w:t>4</w:t>
      </w:r>
      <w:r w:rsidR="00D71849">
        <w:rPr>
          <w:rStyle w:val="eop"/>
          <w:b/>
          <w:szCs w:val="22"/>
        </w:rPr>
        <w:t>0</w:t>
      </w:r>
      <w:r w:rsidR="002015F3" w:rsidRPr="002015F3">
        <w:rPr>
          <w:rStyle w:val="eop"/>
          <w:b/>
          <w:szCs w:val="22"/>
        </w:rPr>
        <w:t xml:space="preserve"> </w:t>
      </w:r>
      <w:r w:rsidRPr="002015F3">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1533A4D" w:rsidR="00DD2FA6" w:rsidRPr="002015F3" w:rsidRDefault="00DD2FA6" w:rsidP="002015F3">
      <w:pPr>
        <w:pStyle w:val="Clanek11"/>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BF616C">
        <w:t>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4CE25129"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8194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572BAC6"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81947">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43100E">
      <w:pPr>
        <w:pStyle w:val="Clanek11"/>
        <w:pageBreakBefore/>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43100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4EF89B9" w:rsidR="0079622A" w:rsidRDefault="00960D3A" w:rsidP="0043100E">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81947">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 xml:space="preserve">ispozitivní ustanovení Občanského zákoníku </w:t>
      </w:r>
      <w:r w:rsidRPr="00136D29">
        <w:rPr>
          <w:szCs w:val="22"/>
        </w:rPr>
        <w:lastRenderedPageBreak/>
        <w:t>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4D9F2B4"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96772B">
              <w:rPr>
                <w:sz w:val="22"/>
              </w:rPr>
              <w:t>15. 8. 2024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59A32EEA" w14:textId="77777777" w:rsidR="0013616B" w:rsidRDefault="0013616B" w:rsidP="0013616B">
            <w:pPr>
              <w:keepNext/>
              <w:keepLines/>
              <w:spacing w:before="120" w:after="120"/>
              <w:rPr>
                <w:sz w:val="22"/>
              </w:rPr>
            </w:pPr>
            <w:r>
              <w:rPr>
                <w:sz w:val="22"/>
              </w:rPr>
              <w:t>Za společníky sdružené ve společnosti</w:t>
            </w:r>
          </w:p>
          <w:p w14:paraId="644BAE1B" w14:textId="77777777" w:rsidR="0013616B" w:rsidRDefault="0013616B" w:rsidP="0013616B">
            <w:pPr>
              <w:keepNext/>
              <w:keepLines/>
              <w:spacing w:before="120" w:after="120"/>
              <w:rPr>
                <w:sz w:val="22"/>
              </w:rPr>
            </w:pPr>
            <w:r>
              <w:rPr>
                <w:sz w:val="22"/>
              </w:rPr>
              <w:t>PORR-SWIETELSKY-CHIC</w:t>
            </w:r>
          </w:p>
          <w:p w14:paraId="200CD51D" w14:textId="77777777" w:rsidR="002015F3" w:rsidRPr="00940887" w:rsidRDefault="002015F3"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05B259AF" w14:textId="19A44494" w:rsidR="007C0944" w:rsidRDefault="00050D2D" w:rsidP="007C0944">
            <w:pPr>
              <w:keepNext/>
              <w:keepLines/>
              <w:tabs>
                <w:tab w:val="left" w:pos="321"/>
                <w:tab w:val="center" w:pos="2159"/>
              </w:tabs>
              <w:spacing w:after="60"/>
              <w:jc w:val="left"/>
              <w:rPr>
                <w:sz w:val="22"/>
              </w:rPr>
            </w:pPr>
            <w:r>
              <w:rPr>
                <w:sz w:val="22"/>
              </w:rPr>
              <w:t>xxxxxxxxx</w:t>
            </w:r>
          </w:p>
          <w:p w14:paraId="26274D24" w14:textId="77777777" w:rsidR="007C0944" w:rsidRDefault="007C0944" w:rsidP="007C0944">
            <w:pPr>
              <w:keepNext/>
              <w:keepLines/>
              <w:tabs>
                <w:tab w:val="left" w:pos="321"/>
                <w:tab w:val="center" w:pos="2159"/>
              </w:tabs>
              <w:jc w:val="left"/>
              <w:rPr>
                <w:sz w:val="22"/>
              </w:rPr>
            </w:pPr>
            <w:r>
              <w:rPr>
                <w:sz w:val="22"/>
              </w:rPr>
              <w:t>vedoucí oddělení správy odvodňovacích</w:t>
            </w:r>
          </w:p>
          <w:p w14:paraId="4CC72B41" w14:textId="77777777" w:rsidR="007C0944" w:rsidRPr="00940887" w:rsidRDefault="007C0944" w:rsidP="007C0944">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2D52502B" w14:textId="77777777" w:rsidR="0013616B" w:rsidRDefault="0013616B" w:rsidP="0013616B">
            <w:pPr>
              <w:keepNext/>
              <w:keepLines/>
              <w:spacing w:before="120" w:after="120"/>
              <w:rPr>
                <w:sz w:val="22"/>
              </w:rPr>
            </w:pPr>
            <w:r>
              <w:rPr>
                <w:sz w:val="22"/>
              </w:rPr>
              <w:t>na základě plné moci</w:t>
            </w:r>
          </w:p>
          <w:p w14:paraId="49DA5AA3" w14:textId="77777777" w:rsidR="0013616B" w:rsidRDefault="0013616B" w:rsidP="0013616B">
            <w:pPr>
              <w:keepNext/>
              <w:keepLines/>
              <w:spacing w:before="120" w:after="120"/>
              <w:rPr>
                <w:sz w:val="22"/>
              </w:rPr>
            </w:pPr>
            <w:r>
              <w:rPr>
                <w:sz w:val="22"/>
              </w:rPr>
              <w:t>PORR a.s.</w:t>
            </w:r>
          </w:p>
          <w:p w14:paraId="58D3F0F6" w14:textId="77777777" w:rsidR="0013616B" w:rsidRDefault="0013616B" w:rsidP="0013616B">
            <w:pPr>
              <w:keepNext/>
              <w:keepLines/>
              <w:spacing w:before="120" w:after="120"/>
              <w:rPr>
                <w:sz w:val="22"/>
              </w:rPr>
            </w:pPr>
            <w:r>
              <w:rPr>
                <w:sz w:val="22"/>
              </w:rPr>
              <w:t>vedoucí společník</w:t>
            </w:r>
          </w:p>
          <w:p w14:paraId="55CFEDB9" w14:textId="77777777" w:rsidR="0013616B" w:rsidRDefault="0013616B" w:rsidP="0013616B">
            <w:pPr>
              <w:keepNext/>
              <w:keepLines/>
              <w:spacing w:before="120" w:after="120"/>
              <w:rPr>
                <w:sz w:val="22"/>
              </w:rPr>
            </w:pPr>
          </w:p>
          <w:p w14:paraId="24DFC2AD" w14:textId="77777777" w:rsidR="0013616B" w:rsidRDefault="0013616B" w:rsidP="0013616B">
            <w:pPr>
              <w:keepNext/>
              <w:keepLines/>
              <w:spacing w:before="120" w:after="300"/>
              <w:rPr>
                <w:sz w:val="22"/>
              </w:rPr>
            </w:pPr>
          </w:p>
          <w:p w14:paraId="373C32FA" w14:textId="77777777" w:rsidR="0013616B" w:rsidRPr="00940887" w:rsidRDefault="0013616B" w:rsidP="0013616B">
            <w:pPr>
              <w:keepNext/>
              <w:keepLines/>
              <w:spacing w:before="120" w:after="120"/>
              <w:rPr>
                <w:sz w:val="22"/>
              </w:rPr>
            </w:pPr>
            <w:r w:rsidRPr="00940887">
              <w:rPr>
                <w:sz w:val="22"/>
              </w:rPr>
              <w:t>_______________________</w:t>
            </w:r>
          </w:p>
          <w:p w14:paraId="1B7C6947" w14:textId="77777777" w:rsidR="0013616B" w:rsidRDefault="0013616B" w:rsidP="0013616B">
            <w:pPr>
              <w:keepNext/>
              <w:keepLines/>
              <w:spacing w:before="120"/>
              <w:rPr>
                <w:sz w:val="22"/>
              </w:rPr>
            </w:pPr>
            <w:r>
              <w:rPr>
                <w:sz w:val="22"/>
              </w:rPr>
              <w:t>na základě plné moci</w:t>
            </w:r>
          </w:p>
          <w:p w14:paraId="0EDF9513" w14:textId="77777777" w:rsidR="0013616B" w:rsidRDefault="0013616B" w:rsidP="0013616B">
            <w:pPr>
              <w:keepNext/>
              <w:keepLines/>
              <w:spacing w:before="120"/>
              <w:rPr>
                <w:sz w:val="22"/>
              </w:rPr>
            </w:pPr>
            <w:r>
              <w:rPr>
                <w:sz w:val="22"/>
              </w:rPr>
              <w:t>PORR a.s.</w:t>
            </w:r>
          </w:p>
          <w:p w14:paraId="30AFFA24" w14:textId="3266A9EF" w:rsidR="00A4515D" w:rsidRPr="00940887" w:rsidRDefault="0013616B" w:rsidP="0013616B">
            <w:pPr>
              <w:keepNext/>
              <w:keepLines/>
              <w:spacing w:before="120"/>
              <w:rPr>
                <w:sz w:val="22"/>
              </w:rPr>
            </w:pPr>
            <w:r>
              <w:rPr>
                <w:sz w:val="22"/>
              </w:rPr>
              <w:t>vedoucí společník</w:t>
            </w:r>
          </w:p>
        </w:tc>
      </w:tr>
    </w:tbl>
    <w:p w14:paraId="13D61482" w14:textId="31BC99FC" w:rsidR="00DD2FA6" w:rsidRDefault="00DD2FA6"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0FD4E35" w14:textId="1A353E06" w:rsidR="002015F3" w:rsidRDefault="002015F3" w:rsidP="002015F3">
      <w:pPr>
        <w:keepNext/>
        <w:keepLines/>
        <w:spacing w:before="120" w:after="120"/>
        <w:rPr>
          <w:sz w:val="22"/>
        </w:rPr>
      </w:pPr>
      <w:r>
        <w:rPr>
          <w:sz w:val="22"/>
        </w:rPr>
        <w:t xml:space="preserve">Předmětem této Smlouvy je </w:t>
      </w:r>
      <w:r w:rsidR="00457FDB">
        <w:rPr>
          <w:sz w:val="22"/>
        </w:rPr>
        <w:t>seřezání</w:t>
      </w:r>
      <w:r w:rsidR="00400B38">
        <w:rPr>
          <w:sz w:val="22"/>
        </w:rPr>
        <w:t xml:space="preserve"> krajnic.</w:t>
      </w:r>
    </w:p>
    <w:p w14:paraId="56FFDE3A" w14:textId="44F02DD9" w:rsidR="002015F3" w:rsidRPr="005322BB" w:rsidRDefault="002015F3" w:rsidP="00F2306C">
      <w:pPr>
        <w:keepNext/>
        <w:keepLines/>
        <w:spacing w:before="120" w:after="120"/>
        <w:rPr>
          <w:sz w:val="22"/>
        </w:rPr>
      </w:pPr>
      <w:r>
        <w:rPr>
          <w:sz w:val="22"/>
        </w:rPr>
        <w:t>Místem plnění Díla je Praha</w:t>
      </w:r>
      <w:r w:rsidR="007835CB">
        <w:rPr>
          <w:sz w:val="22"/>
        </w:rPr>
        <w:t xml:space="preserve"> 20</w:t>
      </w:r>
      <w:r w:rsidR="00BD4827">
        <w:rPr>
          <w:sz w:val="22"/>
        </w:rPr>
        <w:t>,</w:t>
      </w:r>
      <w:r w:rsidR="007835CB">
        <w:rPr>
          <w:sz w:val="22"/>
        </w:rPr>
        <w:t xml:space="preserve"> </w:t>
      </w:r>
      <w:r w:rsidR="00332E2D">
        <w:rPr>
          <w:sz w:val="22"/>
        </w:rPr>
        <w:t>Štěrboholská spojka, podél nájezdové větve</w:t>
      </w:r>
      <w:r w:rsidR="00906FB2">
        <w:rPr>
          <w:sz w:val="22"/>
        </w:rPr>
        <w:t xml:space="preserve"> ze Štěrboholské sp. na komunikaci Novopacká směr ZC.</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5C685AA7" w:rsidR="002015F3" w:rsidRDefault="0096772B" w:rsidP="002015F3">
      <w:pPr>
        <w:keepNext/>
        <w:keepLines/>
        <w:rPr>
          <w:sz w:val="22"/>
        </w:rPr>
      </w:pPr>
      <w:bookmarkStart w:id="14" w:name="_Hlk65137856"/>
      <w:r>
        <w:rPr>
          <w:sz w:val="22"/>
        </w:rPr>
        <w:t>xxxxxxxxxx</w:t>
      </w:r>
    </w:p>
    <w:p w14:paraId="3E03B690" w14:textId="4CD80E75" w:rsidR="002015F3" w:rsidRDefault="002015F3" w:rsidP="002015F3">
      <w:pPr>
        <w:keepNext/>
        <w:keepLines/>
        <w:rPr>
          <w:sz w:val="22"/>
        </w:rPr>
      </w:pPr>
      <w:r>
        <w:rPr>
          <w:sz w:val="22"/>
        </w:rPr>
        <w:t>telefon: +420 </w:t>
      </w:r>
      <w:r w:rsidR="0096772B">
        <w:rPr>
          <w:sz w:val="22"/>
        </w:rPr>
        <w:t>xxxxxxxxxxx</w:t>
      </w:r>
    </w:p>
    <w:p w14:paraId="2F7F8D0D" w14:textId="7D09A373" w:rsidR="002015F3" w:rsidRDefault="002015F3" w:rsidP="002015F3">
      <w:pPr>
        <w:keepNext/>
        <w:keepLines/>
        <w:rPr>
          <w:sz w:val="22"/>
        </w:rPr>
      </w:pPr>
      <w:r>
        <w:rPr>
          <w:sz w:val="22"/>
        </w:rPr>
        <w:t xml:space="preserve">e-mail: </w:t>
      </w:r>
      <w:hyperlink r:id="rId12" w:history="1">
        <w:r w:rsidR="0096772B">
          <w:rPr>
            <w:rStyle w:val="Hypertextovodkaz"/>
            <w:sz w:val="22"/>
          </w:rPr>
          <w:t>xxxxxxxxxxx</w:t>
        </w:r>
      </w:hyperlink>
    </w:p>
    <w:p w14:paraId="4B53044A" w14:textId="77777777" w:rsidR="002015F3" w:rsidRDefault="002015F3" w:rsidP="002015F3">
      <w:pPr>
        <w:keepNext/>
        <w:keepLines/>
        <w:rPr>
          <w:sz w:val="22"/>
        </w:rPr>
      </w:pPr>
    </w:p>
    <w:p w14:paraId="4AD8592F" w14:textId="79ADC7CB" w:rsidR="002015F3" w:rsidRDefault="0096772B" w:rsidP="002015F3">
      <w:pPr>
        <w:keepNext/>
        <w:keepLines/>
        <w:rPr>
          <w:sz w:val="22"/>
        </w:rPr>
      </w:pPr>
      <w:r>
        <w:rPr>
          <w:sz w:val="22"/>
        </w:rPr>
        <w:t>xxxxxxxxxxxx</w:t>
      </w:r>
    </w:p>
    <w:p w14:paraId="68E232CB" w14:textId="7FFF5805" w:rsidR="002015F3" w:rsidRDefault="002015F3" w:rsidP="002015F3">
      <w:pPr>
        <w:keepNext/>
        <w:keepLines/>
        <w:rPr>
          <w:sz w:val="22"/>
        </w:rPr>
      </w:pPr>
      <w:r>
        <w:rPr>
          <w:sz w:val="22"/>
        </w:rPr>
        <w:t>telefon: +420 </w:t>
      </w:r>
      <w:r w:rsidR="0096772B">
        <w:rPr>
          <w:sz w:val="22"/>
        </w:rPr>
        <w:t>xxxxxxxxxxx</w:t>
      </w:r>
    </w:p>
    <w:p w14:paraId="48C383F7" w14:textId="082AE40E" w:rsidR="002015F3" w:rsidRDefault="002015F3" w:rsidP="002015F3">
      <w:pPr>
        <w:keepNext/>
        <w:keepLines/>
        <w:rPr>
          <w:sz w:val="22"/>
        </w:rPr>
      </w:pPr>
      <w:r>
        <w:rPr>
          <w:sz w:val="22"/>
        </w:rPr>
        <w:t xml:space="preserve">e-mail: </w:t>
      </w:r>
      <w:hyperlink r:id="rId13" w:history="1">
        <w:r w:rsidR="0096772B">
          <w:rPr>
            <w:rStyle w:val="Hypertextovodkaz"/>
            <w:sz w:val="22"/>
          </w:rPr>
          <w:t>xxxxxxxxxxxxx</w:t>
        </w:r>
      </w:hyperlink>
    </w:p>
    <w:p w14:paraId="0FAA7BFE" w14:textId="77777777" w:rsidR="002015F3" w:rsidRDefault="002015F3" w:rsidP="002015F3">
      <w:pPr>
        <w:keepNext/>
        <w:keepLines/>
        <w:rPr>
          <w:sz w:val="22"/>
        </w:rPr>
      </w:pPr>
    </w:p>
    <w:p w14:paraId="1A6369E9" w14:textId="0577B48F" w:rsidR="002015F3" w:rsidRDefault="0096772B" w:rsidP="002015F3">
      <w:pPr>
        <w:keepNext/>
        <w:keepLines/>
        <w:rPr>
          <w:sz w:val="22"/>
        </w:rPr>
      </w:pPr>
      <w:r>
        <w:rPr>
          <w:sz w:val="22"/>
        </w:rPr>
        <w:t>xxxxxxxxxxxxx</w:t>
      </w:r>
    </w:p>
    <w:p w14:paraId="72E2D0AE" w14:textId="704EF498" w:rsidR="002015F3" w:rsidRDefault="002015F3" w:rsidP="002015F3">
      <w:pPr>
        <w:keepNext/>
        <w:keepLines/>
        <w:rPr>
          <w:sz w:val="22"/>
        </w:rPr>
      </w:pPr>
      <w:r>
        <w:rPr>
          <w:sz w:val="22"/>
        </w:rPr>
        <w:t>telefon: +420 </w:t>
      </w:r>
      <w:r w:rsidR="0096772B">
        <w:rPr>
          <w:sz w:val="22"/>
        </w:rPr>
        <w:t>xxxxxxxxxxx</w:t>
      </w:r>
    </w:p>
    <w:p w14:paraId="026C9688" w14:textId="548927E5" w:rsidR="002015F3" w:rsidRDefault="002015F3" w:rsidP="002015F3">
      <w:pPr>
        <w:keepNext/>
        <w:keepLines/>
        <w:rPr>
          <w:sz w:val="22"/>
        </w:rPr>
      </w:pPr>
      <w:r>
        <w:rPr>
          <w:sz w:val="22"/>
        </w:rPr>
        <w:t xml:space="preserve">e-mail: </w:t>
      </w:r>
      <w:hyperlink r:id="rId14" w:history="1">
        <w:r w:rsidR="0096772B">
          <w:rPr>
            <w:rStyle w:val="Hypertextovodkaz"/>
            <w:sz w:val="22"/>
          </w:rPr>
          <w:t>xxxxxxxxxxxxxxx</w:t>
        </w:r>
      </w:hyperlink>
    </w:p>
    <w:p w14:paraId="1AD78180" w14:textId="77777777" w:rsidR="002015F3" w:rsidRDefault="002015F3" w:rsidP="002015F3">
      <w:pPr>
        <w:keepNext/>
        <w:keepLines/>
        <w:rPr>
          <w:sz w:val="22"/>
        </w:rPr>
      </w:pPr>
    </w:p>
    <w:p w14:paraId="588FD7C7" w14:textId="17ED543D" w:rsidR="002015F3" w:rsidRDefault="0096772B" w:rsidP="002015F3">
      <w:pPr>
        <w:keepNext/>
        <w:keepLines/>
        <w:rPr>
          <w:sz w:val="22"/>
        </w:rPr>
      </w:pPr>
      <w:r>
        <w:rPr>
          <w:sz w:val="22"/>
        </w:rPr>
        <w:t>xxxxxxxxxxxxxx</w:t>
      </w:r>
    </w:p>
    <w:p w14:paraId="2155DAB1" w14:textId="175CEA3F" w:rsidR="002015F3" w:rsidRDefault="002015F3" w:rsidP="002015F3">
      <w:pPr>
        <w:keepNext/>
        <w:keepLines/>
        <w:rPr>
          <w:sz w:val="22"/>
        </w:rPr>
      </w:pPr>
      <w:r>
        <w:rPr>
          <w:sz w:val="22"/>
        </w:rPr>
        <w:t>telefon: +420 </w:t>
      </w:r>
      <w:r w:rsidR="0096772B">
        <w:rPr>
          <w:sz w:val="22"/>
        </w:rPr>
        <w:t>xxxxxxxxxxx</w:t>
      </w:r>
    </w:p>
    <w:p w14:paraId="75B37344" w14:textId="6048E82B" w:rsidR="002015F3" w:rsidRPr="00CA1C94" w:rsidRDefault="002015F3" w:rsidP="002015F3">
      <w:pPr>
        <w:keepNext/>
        <w:keepLines/>
        <w:rPr>
          <w:sz w:val="22"/>
        </w:rPr>
      </w:pPr>
      <w:r>
        <w:rPr>
          <w:sz w:val="22"/>
        </w:rPr>
        <w:t xml:space="preserve">e-mail: </w:t>
      </w:r>
      <w:hyperlink r:id="rId15" w:history="1">
        <w:r w:rsidR="0096772B">
          <w:rPr>
            <w:rStyle w:val="Hypertextovodkaz"/>
            <w:sz w:val="22"/>
          </w:rPr>
          <w:t>xxxxxxxxxxxxxxxxxx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570868" w:rsidRDefault="00CB2E09" w:rsidP="007214C7">
      <w:pPr>
        <w:pStyle w:val="Bezmezer"/>
        <w:keepNext/>
        <w:keepLines/>
        <w:pageBreakBefore/>
        <w:rPr>
          <w:bCs/>
          <w:color w:val="333333"/>
          <w:sz w:val="24"/>
          <w:lang w:eastAsia="cs-CZ"/>
        </w:rPr>
      </w:pPr>
      <w:r w:rsidRPr="00570868">
        <w:rPr>
          <w:bCs/>
          <w:color w:val="333333"/>
          <w:sz w:val="24"/>
          <w:lang w:eastAsia="cs-CZ"/>
        </w:rPr>
        <w:lastRenderedPageBreak/>
        <w:t xml:space="preserve">Příloha č.  </w:t>
      </w:r>
      <w:sdt>
        <w:sdtPr>
          <w:rPr>
            <w:sz w:val="24"/>
          </w:rPr>
          <w:id w:val="995993554"/>
          <w:placeholder>
            <w:docPart w:val="2E1470B94D0F4665AE90E28A7ACAF6C0"/>
          </w:placeholder>
        </w:sdt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7C3F" w14:textId="77777777" w:rsidR="00140650" w:rsidRDefault="00140650" w:rsidP="00D73C38">
      <w:r>
        <w:separator/>
      </w:r>
    </w:p>
  </w:endnote>
  <w:endnote w:type="continuationSeparator" w:id="0">
    <w:p w14:paraId="09C76AC7" w14:textId="77777777" w:rsidR="00140650" w:rsidRDefault="00140650" w:rsidP="00D73C38">
      <w:r>
        <w:continuationSeparator/>
      </w:r>
    </w:p>
  </w:endnote>
  <w:endnote w:type="continuationNotice" w:id="1">
    <w:p w14:paraId="478D9276" w14:textId="77777777" w:rsidR="00140650" w:rsidRDefault="0014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Content>
      <w:sdt>
        <w:sdtPr>
          <w:id w:val="1728636285"/>
          <w:docPartObj>
            <w:docPartGallery w:val="Page Numbers (Top of Page)"/>
            <w:docPartUnique/>
          </w:docPartObj>
        </w:sdt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7D4B20">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7D4B20">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267B" w14:textId="77777777" w:rsidR="00140650" w:rsidRDefault="00140650" w:rsidP="00D73C38">
      <w:r>
        <w:separator/>
      </w:r>
    </w:p>
  </w:footnote>
  <w:footnote w:type="continuationSeparator" w:id="0">
    <w:p w14:paraId="7028C226" w14:textId="77777777" w:rsidR="00140650" w:rsidRDefault="00140650" w:rsidP="00D73C38">
      <w:r>
        <w:continuationSeparator/>
      </w:r>
    </w:p>
  </w:footnote>
  <w:footnote w:type="continuationNotice" w:id="1">
    <w:p w14:paraId="1D6CAFD1" w14:textId="77777777" w:rsidR="00140650" w:rsidRDefault="00140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088120">
    <w:abstractNumId w:val="3"/>
  </w:num>
  <w:num w:numId="2" w16cid:durableId="357315874">
    <w:abstractNumId w:val="11"/>
  </w:num>
  <w:num w:numId="3" w16cid:durableId="448206073">
    <w:abstractNumId w:val="4"/>
  </w:num>
  <w:num w:numId="4" w16cid:durableId="1415277616">
    <w:abstractNumId w:val="8"/>
  </w:num>
  <w:num w:numId="5" w16cid:durableId="40247857">
    <w:abstractNumId w:val="10"/>
  </w:num>
  <w:num w:numId="6" w16cid:durableId="1730955702">
    <w:abstractNumId w:val="12"/>
  </w:num>
  <w:num w:numId="7" w16cid:durableId="1300917251">
    <w:abstractNumId w:val="0"/>
  </w:num>
  <w:num w:numId="8" w16cid:durableId="1924604139">
    <w:abstractNumId w:val="7"/>
  </w:num>
  <w:num w:numId="9" w16cid:durableId="618802886">
    <w:abstractNumId w:val="2"/>
  </w:num>
  <w:num w:numId="10" w16cid:durableId="1589002357">
    <w:abstractNumId w:val="10"/>
  </w:num>
  <w:num w:numId="11" w16cid:durableId="1165315521">
    <w:abstractNumId w:val="9"/>
  </w:num>
  <w:num w:numId="12" w16cid:durableId="1792891798">
    <w:abstractNumId w:val="6"/>
  </w:num>
  <w:num w:numId="13" w16cid:durableId="1487631132">
    <w:abstractNumId w:val="5"/>
  </w:num>
  <w:num w:numId="14" w16cid:durableId="54552975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2DC7"/>
    <w:rsid w:val="000449D4"/>
    <w:rsid w:val="00044E14"/>
    <w:rsid w:val="000458F4"/>
    <w:rsid w:val="00045AD3"/>
    <w:rsid w:val="00045C86"/>
    <w:rsid w:val="00050BE9"/>
    <w:rsid w:val="00050D2D"/>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593"/>
    <w:rsid w:val="00072546"/>
    <w:rsid w:val="000733AE"/>
    <w:rsid w:val="0007592F"/>
    <w:rsid w:val="00082ABB"/>
    <w:rsid w:val="00084212"/>
    <w:rsid w:val="00084499"/>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1DF9"/>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0A49"/>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16B"/>
    <w:rsid w:val="00136AC5"/>
    <w:rsid w:val="00136D29"/>
    <w:rsid w:val="00140650"/>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F3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6BB1"/>
    <w:rsid w:val="001B2FCE"/>
    <w:rsid w:val="001B404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24B"/>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55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141A"/>
    <w:rsid w:val="00294B4E"/>
    <w:rsid w:val="00296922"/>
    <w:rsid w:val="002A2D9F"/>
    <w:rsid w:val="002A3F33"/>
    <w:rsid w:val="002A4865"/>
    <w:rsid w:val="002A63C5"/>
    <w:rsid w:val="002B0A57"/>
    <w:rsid w:val="002B155F"/>
    <w:rsid w:val="002B1CAD"/>
    <w:rsid w:val="002B27C0"/>
    <w:rsid w:val="002B297C"/>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59E8"/>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09F"/>
    <w:rsid w:val="003326B0"/>
    <w:rsid w:val="00332E2D"/>
    <w:rsid w:val="00332F7A"/>
    <w:rsid w:val="0033380E"/>
    <w:rsid w:val="00335F5B"/>
    <w:rsid w:val="00337CF4"/>
    <w:rsid w:val="00340CFB"/>
    <w:rsid w:val="003520DD"/>
    <w:rsid w:val="0035346A"/>
    <w:rsid w:val="0035558C"/>
    <w:rsid w:val="00355840"/>
    <w:rsid w:val="00355F7A"/>
    <w:rsid w:val="0036037D"/>
    <w:rsid w:val="00360B11"/>
    <w:rsid w:val="003634E7"/>
    <w:rsid w:val="00365E81"/>
    <w:rsid w:val="00366B99"/>
    <w:rsid w:val="0036739A"/>
    <w:rsid w:val="003673E6"/>
    <w:rsid w:val="003710B0"/>
    <w:rsid w:val="00373FFA"/>
    <w:rsid w:val="003750AA"/>
    <w:rsid w:val="0037596C"/>
    <w:rsid w:val="003806FF"/>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97E4B"/>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6BF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0B38"/>
    <w:rsid w:val="00401839"/>
    <w:rsid w:val="00402361"/>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446C"/>
    <w:rsid w:val="00426A99"/>
    <w:rsid w:val="0043100E"/>
    <w:rsid w:val="00431CF3"/>
    <w:rsid w:val="0043232A"/>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57FDB"/>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42F2"/>
    <w:rsid w:val="00495B9E"/>
    <w:rsid w:val="00495EB2"/>
    <w:rsid w:val="00496F7A"/>
    <w:rsid w:val="004A276B"/>
    <w:rsid w:val="004A2AD1"/>
    <w:rsid w:val="004A2B30"/>
    <w:rsid w:val="004A372C"/>
    <w:rsid w:val="004A4D78"/>
    <w:rsid w:val="004A6465"/>
    <w:rsid w:val="004A7704"/>
    <w:rsid w:val="004A788D"/>
    <w:rsid w:val="004B0207"/>
    <w:rsid w:val="004B08F0"/>
    <w:rsid w:val="004B0B3E"/>
    <w:rsid w:val="004B0B90"/>
    <w:rsid w:val="004B1750"/>
    <w:rsid w:val="004B2A71"/>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0B3"/>
    <w:rsid w:val="00510681"/>
    <w:rsid w:val="00513AEF"/>
    <w:rsid w:val="00516309"/>
    <w:rsid w:val="0051748E"/>
    <w:rsid w:val="005212EC"/>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55A3"/>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892"/>
    <w:rsid w:val="005A39F8"/>
    <w:rsid w:val="005A5EB9"/>
    <w:rsid w:val="005A6D90"/>
    <w:rsid w:val="005B109A"/>
    <w:rsid w:val="005B6323"/>
    <w:rsid w:val="005B763F"/>
    <w:rsid w:val="005C0249"/>
    <w:rsid w:val="005C2EB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066B"/>
    <w:rsid w:val="005E1B7E"/>
    <w:rsid w:val="005E1C0C"/>
    <w:rsid w:val="005E31DE"/>
    <w:rsid w:val="005E5B57"/>
    <w:rsid w:val="005E5DD2"/>
    <w:rsid w:val="005E71E4"/>
    <w:rsid w:val="005E7864"/>
    <w:rsid w:val="005F05B6"/>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5D5D"/>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0198"/>
    <w:rsid w:val="006929ED"/>
    <w:rsid w:val="00693FC9"/>
    <w:rsid w:val="00694C85"/>
    <w:rsid w:val="00695890"/>
    <w:rsid w:val="00696CE5"/>
    <w:rsid w:val="006A101B"/>
    <w:rsid w:val="006A3C2E"/>
    <w:rsid w:val="006A72C7"/>
    <w:rsid w:val="006B1B9B"/>
    <w:rsid w:val="006B2868"/>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3AD"/>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14C7"/>
    <w:rsid w:val="00723CB0"/>
    <w:rsid w:val="00723DE6"/>
    <w:rsid w:val="00724E95"/>
    <w:rsid w:val="0073091B"/>
    <w:rsid w:val="00730BA8"/>
    <w:rsid w:val="00731100"/>
    <w:rsid w:val="00731191"/>
    <w:rsid w:val="00732627"/>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35CB"/>
    <w:rsid w:val="0078635D"/>
    <w:rsid w:val="007866DC"/>
    <w:rsid w:val="00786743"/>
    <w:rsid w:val="00790942"/>
    <w:rsid w:val="007933F1"/>
    <w:rsid w:val="0079403A"/>
    <w:rsid w:val="00794082"/>
    <w:rsid w:val="0079622A"/>
    <w:rsid w:val="007A2616"/>
    <w:rsid w:val="007A2B33"/>
    <w:rsid w:val="007A32BE"/>
    <w:rsid w:val="007A4B87"/>
    <w:rsid w:val="007A4E5D"/>
    <w:rsid w:val="007A51BA"/>
    <w:rsid w:val="007A721B"/>
    <w:rsid w:val="007B1136"/>
    <w:rsid w:val="007B596F"/>
    <w:rsid w:val="007C032D"/>
    <w:rsid w:val="007C0944"/>
    <w:rsid w:val="007C14C4"/>
    <w:rsid w:val="007C3506"/>
    <w:rsid w:val="007C50C7"/>
    <w:rsid w:val="007C60B9"/>
    <w:rsid w:val="007C7A70"/>
    <w:rsid w:val="007D1A12"/>
    <w:rsid w:val="007D3BC6"/>
    <w:rsid w:val="007D3F5B"/>
    <w:rsid w:val="007D4A79"/>
    <w:rsid w:val="007D4B20"/>
    <w:rsid w:val="007E1DAE"/>
    <w:rsid w:val="007E203E"/>
    <w:rsid w:val="007E2DCE"/>
    <w:rsid w:val="007E347E"/>
    <w:rsid w:val="007E3C67"/>
    <w:rsid w:val="007E4E76"/>
    <w:rsid w:val="007E62DB"/>
    <w:rsid w:val="007E6CA0"/>
    <w:rsid w:val="007E7966"/>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6E6B"/>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25"/>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5552"/>
    <w:rsid w:val="00876313"/>
    <w:rsid w:val="00877008"/>
    <w:rsid w:val="008806A4"/>
    <w:rsid w:val="00881D38"/>
    <w:rsid w:val="0088321F"/>
    <w:rsid w:val="00885BF2"/>
    <w:rsid w:val="008862C1"/>
    <w:rsid w:val="00887963"/>
    <w:rsid w:val="0089208C"/>
    <w:rsid w:val="00892E26"/>
    <w:rsid w:val="00894ECE"/>
    <w:rsid w:val="008954CB"/>
    <w:rsid w:val="00895EC1"/>
    <w:rsid w:val="008969CA"/>
    <w:rsid w:val="008A0C65"/>
    <w:rsid w:val="008A12E7"/>
    <w:rsid w:val="008A22AE"/>
    <w:rsid w:val="008A2478"/>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06FB2"/>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2B"/>
    <w:rsid w:val="009677D1"/>
    <w:rsid w:val="00967A66"/>
    <w:rsid w:val="009700C8"/>
    <w:rsid w:val="00970CE6"/>
    <w:rsid w:val="00970E49"/>
    <w:rsid w:val="00970F4E"/>
    <w:rsid w:val="0097259E"/>
    <w:rsid w:val="00972A59"/>
    <w:rsid w:val="009737A7"/>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1F7"/>
    <w:rsid w:val="009A7245"/>
    <w:rsid w:val="009B1383"/>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66C"/>
    <w:rsid w:val="009C77E3"/>
    <w:rsid w:val="009D155B"/>
    <w:rsid w:val="009D1AFD"/>
    <w:rsid w:val="009D6E25"/>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24C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1947"/>
    <w:rsid w:val="00A83631"/>
    <w:rsid w:val="00A848AB"/>
    <w:rsid w:val="00A854EC"/>
    <w:rsid w:val="00A85FC2"/>
    <w:rsid w:val="00A86880"/>
    <w:rsid w:val="00A86C5F"/>
    <w:rsid w:val="00A92D60"/>
    <w:rsid w:val="00A92F4F"/>
    <w:rsid w:val="00A950AE"/>
    <w:rsid w:val="00A95998"/>
    <w:rsid w:val="00A95A24"/>
    <w:rsid w:val="00AA18DE"/>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0F4A"/>
    <w:rsid w:val="00AD18EE"/>
    <w:rsid w:val="00AD1C18"/>
    <w:rsid w:val="00AD1FDB"/>
    <w:rsid w:val="00AD38D4"/>
    <w:rsid w:val="00AD3E7A"/>
    <w:rsid w:val="00AD61FE"/>
    <w:rsid w:val="00AD63CE"/>
    <w:rsid w:val="00AE3F8C"/>
    <w:rsid w:val="00AE4A91"/>
    <w:rsid w:val="00AE6FCC"/>
    <w:rsid w:val="00AF2497"/>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34F"/>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B3"/>
    <w:rsid w:val="00B5353B"/>
    <w:rsid w:val="00B53800"/>
    <w:rsid w:val="00B5473A"/>
    <w:rsid w:val="00B548ED"/>
    <w:rsid w:val="00B559E9"/>
    <w:rsid w:val="00B607FA"/>
    <w:rsid w:val="00B60F73"/>
    <w:rsid w:val="00B62C1E"/>
    <w:rsid w:val="00B63D13"/>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81B"/>
    <w:rsid w:val="00BD1E9F"/>
    <w:rsid w:val="00BD3861"/>
    <w:rsid w:val="00BD3B03"/>
    <w:rsid w:val="00BD4827"/>
    <w:rsid w:val="00BD5428"/>
    <w:rsid w:val="00BD642E"/>
    <w:rsid w:val="00BE0352"/>
    <w:rsid w:val="00BE0D6F"/>
    <w:rsid w:val="00BE2238"/>
    <w:rsid w:val="00BE5085"/>
    <w:rsid w:val="00BF0A41"/>
    <w:rsid w:val="00BF0CEF"/>
    <w:rsid w:val="00BF29A8"/>
    <w:rsid w:val="00BF39D9"/>
    <w:rsid w:val="00BF49A9"/>
    <w:rsid w:val="00BF535E"/>
    <w:rsid w:val="00BF55EC"/>
    <w:rsid w:val="00BF616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483"/>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6C5C"/>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2D0E"/>
    <w:rsid w:val="00CD3580"/>
    <w:rsid w:val="00CD3D6B"/>
    <w:rsid w:val="00CD4E4B"/>
    <w:rsid w:val="00CD5445"/>
    <w:rsid w:val="00CD5E8D"/>
    <w:rsid w:val="00CD7758"/>
    <w:rsid w:val="00CD79BB"/>
    <w:rsid w:val="00CD7E5C"/>
    <w:rsid w:val="00CE2145"/>
    <w:rsid w:val="00CE2E01"/>
    <w:rsid w:val="00CE3D63"/>
    <w:rsid w:val="00CE7813"/>
    <w:rsid w:val="00CF103B"/>
    <w:rsid w:val="00CF1624"/>
    <w:rsid w:val="00CF193A"/>
    <w:rsid w:val="00CF28A5"/>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4D0"/>
    <w:rsid w:val="00D14A71"/>
    <w:rsid w:val="00D14C83"/>
    <w:rsid w:val="00D1513D"/>
    <w:rsid w:val="00D15338"/>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70"/>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849"/>
    <w:rsid w:val="00D71D9C"/>
    <w:rsid w:val="00D73C38"/>
    <w:rsid w:val="00D73FC4"/>
    <w:rsid w:val="00D73FF4"/>
    <w:rsid w:val="00D75670"/>
    <w:rsid w:val="00D75D8B"/>
    <w:rsid w:val="00D817C2"/>
    <w:rsid w:val="00D82020"/>
    <w:rsid w:val="00D8269A"/>
    <w:rsid w:val="00D84B00"/>
    <w:rsid w:val="00D84C72"/>
    <w:rsid w:val="00D856EC"/>
    <w:rsid w:val="00D869DD"/>
    <w:rsid w:val="00D87A67"/>
    <w:rsid w:val="00D92D48"/>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6DD"/>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3A5"/>
    <w:rsid w:val="00E71504"/>
    <w:rsid w:val="00E717BC"/>
    <w:rsid w:val="00E71D88"/>
    <w:rsid w:val="00E71EE5"/>
    <w:rsid w:val="00E71F8E"/>
    <w:rsid w:val="00E724BB"/>
    <w:rsid w:val="00E72A3E"/>
    <w:rsid w:val="00E73468"/>
    <w:rsid w:val="00E74F69"/>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1F61"/>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56689"/>
    <w:rsid w:val="00F61AA6"/>
    <w:rsid w:val="00F625B9"/>
    <w:rsid w:val="00F64266"/>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6BC3"/>
    <w:rsid w:val="00FA7B8E"/>
    <w:rsid w:val="00FB01F5"/>
    <w:rsid w:val="00FB2F2E"/>
    <w:rsid w:val="00FB51B4"/>
    <w:rsid w:val="00FB54A3"/>
    <w:rsid w:val="00FB7056"/>
    <w:rsid w:val="00FC0842"/>
    <w:rsid w:val="00FC122B"/>
    <w:rsid w:val="00FC5CDC"/>
    <w:rsid w:val="00FC6D97"/>
    <w:rsid w:val="00FC70D0"/>
    <w:rsid w:val="00FC7961"/>
    <w:rsid w:val="00FC7E2A"/>
    <w:rsid w:val="00FD0025"/>
    <w:rsid w:val="00FD184C"/>
    <w:rsid w:val="00FD3A3F"/>
    <w:rsid w:val="00FD41BE"/>
    <w:rsid w:val="00FD42D9"/>
    <w:rsid w:val="00FD5865"/>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BFF7E929-1285-4986-85D5-2A202F1F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5250AC"/>
    <w:rsid w:val="00B4311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606D3-190D-4717-9B9F-43417E980AA9}">
  <ds:schemaRefs>
    <ds:schemaRef ds:uri="http://schemas.openxmlformats.org/officeDocument/2006/bibliography"/>
  </ds:schemaRefs>
</ds:datastoreItem>
</file>

<file path=customXml/itemProps2.xml><?xml version="1.0" encoding="utf-8"?>
<ds:datastoreItem xmlns:ds="http://schemas.openxmlformats.org/officeDocument/2006/customXml" ds:itemID="{6EBDE793-94D3-414C-B54B-DE7FE5858AC2}">
  <ds:schemaRefs>
    <ds:schemaRef ds:uri="http://schemas.openxmlformats.org/officeDocument/2006/bibliography"/>
  </ds:schemaRefs>
</ds:datastoreItem>
</file>

<file path=customXml/itemProps3.xml><?xml version="1.0" encoding="utf-8"?>
<ds:datastoreItem xmlns:ds="http://schemas.openxmlformats.org/officeDocument/2006/customXml" ds:itemID="{6AD5F1C4-E80E-4D41-8E4C-017092BB8AE3}">
  <ds:schemaRefs>
    <ds:schemaRef ds:uri="http://schemas.openxmlformats.org/officeDocument/2006/bibliography"/>
  </ds:schemaRefs>
</ds:datastoreItem>
</file>

<file path=customXml/itemProps4.xml><?xml version="1.0" encoding="utf-8"?>
<ds:datastoreItem xmlns:ds="http://schemas.openxmlformats.org/officeDocument/2006/customXml" ds:itemID="{C86C0D12-B645-4C35-9B5B-DB2A63BA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4893</Words>
  <Characters>28869</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8</cp:revision>
  <cp:lastPrinted>2024-08-13T05:20:00Z</cp:lastPrinted>
  <dcterms:created xsi:type="dcterms:W3CDTF">2024-08-19T09:34:00Z</dcterms:created>
  <dcterms:modified xsi:type="dcterms:W3CDTF">2024-08-19T09:39:00Z</dcterms:modified>
</cp:coreProperties>
</file>