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3FBDD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4B23715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3F80CC0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E0DFFB5" w14:textId="21E2A01F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4D7A03">
        <w:rPr>
          <w:caps/>
          <w:noProof/>
          <w:spacing w:val="8"/>
          <w:sz w:val="18"/>
          <w:szCs w:val="18"/>
        </w:rPr>
        <w:t>214/24/4</w:t>
      </w:r>
      <w:r w:rsidRPr="006B44F3">
        <w:rPr>
          <w:caps/>
          <w:spacing w:val="8"/>
          <w:sz w:val="18"/>
          <w:szCs w:val="18"/>
        </w:rPr>
        <w:tab/>
      </w:r>
    </w:p>
    <w:p w14:paraId="5B2D2529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E041B9F" w14:textId="77777777" w:rsidR="004D7A03" w:rsidRDefault="004D7A03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81BE84E" w14:textId="77777777" w:rsidR="004D7A03" w:rsidRPr="006B44F3" w:rsidRDefault="004D7A03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DF773DA" w14:textId="093D721C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D7A03">
        <w:rPr>
          <w:rFonts w:cs="Arial"/>
          <w:caps/>
          <w:noProof/>
          <w:spacing w:val="8"/>
          <w:sz w:val="18"/>
          <w:szCs w:val="18"/>
        </w:rPr>
        <w:t>15. 8. 2024</w:t>
      </w:r>
    </w:p>
    <w:p w14:paraId="492469DB" w14:textId="7F404ACB" w:rsidR="000B7B21" w:rsidRPr="006B44F3" w:rsidRDefault="004D7A03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14:paraId="14FDD38C" w14:textId="7F1DF5D1" w:rsidR="00D849F9" w:rsidRPr="006B44F3" w:rsidRDefault="004D7A03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14:paraId="68A9654B" w14:textId="7224F628" w:rsidR="00253892" w:rsidRPr="006B44F3" w:rsidRDefault="004D7A03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459FDA5E" w14:textId="341BD8D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4D7A03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14:paraId="2089261C" w14:textId="4D61E3F4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4D7A03">
        <w:rPr>
          <w:b/>
          <w:noProof/>
          <w:sz w:val="18"/>
          <w:szCs w:val="18"/>
        </w:rPr>
        <w:t>CZ25132644</w:t>
      </w:r>
    </w:p>
    <w:p w14:paraId="4887D17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D7BC582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3054C8B2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FA41E8B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6349816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7ABB3272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7A8B30ED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8"/>
        <w:gridCol w:w="229"/>
        <w:gridCol w:w="300"/>
        <w:gridCol w:w="1430"/>
        <w:gridCol w:w="1172"/>
      </w:tblGrid>
      <w:tr w:rsidR="00253892" w:rsidRPr="00021912" w14:paraId="2BE36E76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8E0FB7E" w14:textId="69493783" w:rsidR="00253892" w:rsidRPr="00021912" w:rsidRDefault="004D7A03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1.Stany na akci RegionFest 2024</w:t>
            </w:r>
          </w:p>
        </w:tc>
        <w:tc>
          <w:tcPr>
            <w:tcW w:w="0" w:type="auto"/>
          </w:tcPr>
          <w:p w14:paraId="7A1CF34D" w14:textId="0C25EA66" w:rsidR="00253892" w:rsidRPr="00021912" w:rsidRDefault="004D7A03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3AECBB5" w14:textId="3B6AFFDC" w:rsidR="00253892" w:rsidRPr="00021912" w:rsidRDefault="004D7A03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23C9A69D" w14:textId="65E16FAA" w:rsidR="00253892" w:rsidRPr="00021912" w:rsidRDefault="004D7A03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278 736,00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0A098FEF" w14:textId="2E568BCC" w:rsidR="00253892" w:rsidRPr="00021912" w:rsidRDefault="004D7A03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278 736,00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4F1165E8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7EFE363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41x Set stan 3x3m obsahuje stan, 4 bočnice, 4 zátěže 15kg </w:t>
      </w:r>
    </w:p>
    <w:p w14:paraId="60A09B7A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1x Doprava </w:t>
      </w:r>
    </w:p>
    <w:p w14:paraId="2A41C035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>25x Lednice</w:t>
      </w:r>
    </w:p>
    <w:p w14:paraId="7B7F9EAB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2x Set stan 3x6m obsahuje stan, 4 bočnice, 4 zátěže 15kg </w:t>
      </w:r>
    </w:p>
    <w:p w14:paraId="46249F9B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>82x Stoly - set</w:t>
      </w:r>
    </w:p>
    <w:p w14:paraId="0D3016AA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>1x Nádrž 1000l - s pitnou vodou</w:t>
      </w:r>
    </w:p>
    <w:p w14:paraId="6811896C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>82x Židle</w:t>
      </w:r>
    </w:p>
    <w:p w14:paraId="27732BAF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>1x Montáž, demontáž</w:t>
      </w:r>
    </w:p>
    <w:p w14:paraId="54DA3CE7" w14:textId="77777777" w:rsidR="004D7A03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>41x Konstrukce polobok</w:t>
      </w:r>
    </w:p>
    <w:p w14:paraId="697F423B" w14:textId="09389555" w:rsidR="00D92786" w:rsidRPr="007151A9" w:rsidRDefault="004D7A03" w:rsidP="007151A9">
      <w:pPr>
        <w:rPr>
          <w:sz w:val="18"/>
          <w:szCs w:val="18"/>
        </w:rPr>
      </w:pPr>
      <w:r>
        <w:rPr>
          <w:sz w:val="18"/>
          <w:szCs w:val="18"/>
        </w:rPr>
        <w:t>Montáž 6.9.2024 demontáž po akci 7.9.2024</w:t>
      </w:r>
    </w:p>
    <w:p w14:paraId="521CC02D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4056A05" w14:textId="4EDE2D48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D7A03">
        <w:rPr>
          <w:rFonts w:cs="Arial"/>
          <w:caps/>
          <w:noProof/>
          <w:spacing w:val="8"/>
          <w:sz w:val="18"/>
          <w:szCs w:val="18"/>
        </w:rPr>
        <w:t>5. 9. 2024</w:t>
      </w:r>
    </w:p>
    <w:p w14:paraId="4EC11C54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68AC8A" w14:textId="6A62BE91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4D7A03">
        <w:rPr>
          <w:rFonts w:cs="Arial"/>
          <w:b/>
          <w:noProof/>
          <w:sz w:val="18"/>
          <w:szCs w:val="18"/>
        </w:rPr>
        <w:t>278 736,00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07B004C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6B4D7B6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62C40D2C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163A49B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529FD0A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46DD5E7F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357EFD4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63C6C5FC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5BA63BCC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1350E67E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21A71A09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</w:t>
      </w:r>
    </w:p>
    <w:p w14:paraId="229E8FD5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38009993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0A1062EA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31AF5B90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F040E" w14:textId="77777777" w:rsidR="000C7A4C" w:rsidRDefault="000C7A4C">
      <w:r>
        <w:separator/>
      </w:r>
    </w:p>
  </w:endnote>
  <w:endnote w:type="continuationSeparator" w:id="0">
    <w:p w14:paraId="5C5EF6E9" w14:textId="77777777" w:rsidR="000C7A4C" w:rsidRDefault="000C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E122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B0DB3F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25EEE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23ECA" w14:textId="77777777" w:rsidR="000C7A4C" w:rsidRDefault="000C7A4C">
      <w:r>
        <w:separator/>
      </w:r>
    </w:p>
  </w:footnote>
  <w:footnote w:type="continuationSeparator" w:id="0">
    <w:p w14:paraId="5FA59AF9" w14:textId="77777777" w:rsidR="000C7A4C" w:rsidRDefault="000C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93385" w14:textId="1E8B3D96" w:rsidR="00D561EE" w:rsidRPr="00263B17" w:rsidRDefault="004D7A03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4366BCBA" wp14:editId="16282E77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68A38F9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FB8A97C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5A4ACBC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2790B1C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5171">
    <w:abstractNumId w:val="8"/>
  </w:num>
  <w:num w:numId="2" w16cid:durableId="667055052">
    <w:abstractNumId w:val="1"/>
  </w:num>
  <w:num w:numId="3" w16cid:durableId="455174138">
    <w:abstractNumId w:val="3"/>
  </w:num>
  <w:num w:numId="4" w16cid:durableId="781997937">
    <w:abstractNumId w:val="0"/>
  </w:num>
  <w:num w:numId="5" w16cid:durableId="1068072895">
    <w:abstractNumId w:val="4"/>
  </w:num>
  <w:num w:numId="6" w16cid:durableId="136143881">
    <w:abstractNumId w:val="6"/>
  </w:num>
  <w:num w:numId="7" w16cid:durableId="1926844843">
    <w:abstractNumId w:val="5"/>
  </w:num>
  <w:num w:numId="8" w16cid:durableId="170170808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9667323">
    <w:abstractNumId w:val="7"/>
  </w:num>
  <w:num w:numId="10" w16cid:durableId="190067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03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C7A4C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D7A03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596CD"/>
  <w15:chartTrackingRefBased/>
  <w15:docId w15:val="{FE318A4E-17C8-4A20-89FE-05ECD8A7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2024-08-19T08:36:00Z</dcterms:created>
  <dcterms:modified xsi:type="dcterms:W3CDTF">2024-08-19T08:37:00Z</dcterms:modified>
</cp:coreProperties>
</file>