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2E8DD22" w:rsidR="00D417EF" w:rsidRPr="005C3544" w:rsidRDefault="0034633E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D417EF" w:rsidRPr="005C3544">
        <w:rPr>
          <w:rFonts w:ascii="Arial" w:hAnsi="Arial" w:cs="Arial"/>
          <w:sz w:val="22"/>
          <w:szCs w:val="22"/>
        </w:rPr>
        <w:t xml:space="preserve">Č.j.: </w:t>
      </w:r>
      <w:r w:rsidRPr="0034633E">
        <w:rPr>
          <w:rFonts w:ascii="Arial" w:hAnsi="Arial" w:cs="Arial"/>
          <w:sz w:val="22"/>
          <w:szCs w:val="22"/>
        </w:rPr>
        <w:t>SPU 288157/2024/Nov</w:t>
      </w:r>
    </w:p>
    <w:p w14:paraId="49954279" w14:textId="7C7A001B" w:rsidR="00D417EF" w:rsidRDefault="0034633E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5C3544">
        <w:rPr>
          <w:rFonts w:ascii="Arial" w:hAnsi="Arial" w:cs="Arial"/>
          <w:sz w:val="22"/>
          <w:szCs w:val="22"/>
        </w:rPr>
        <w:t xml:space="preserve">UID: </w:t>
      </w:r>
      <w:bookmarkEnd w:id="0"/>
      <w:r w:rsidRPr="0034633E">
        <w:rPr>
          <w:rFonts w:ascii="Arial" w:hAnsi="Arial" w:cs="Arial"/>
          <w:sz w:val="22"/>
          <w:szCs w:val="22"/>
        </w:rPr>
        <w:t>spuess920c6297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16N17/80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B261B4" w14:textId="46641C8D" w:rsidR="00D417EF" w:rsidRPr="0034633E" w:rsidRDefault="00463039" w:rsidP="0034633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C354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Brázdim</w:t>
      </w:r>
      <w:r w:rsidR="00D417EF" w:rsidRPr="005C3544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Starý Brázdim 36, Brázdim, 25063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46353917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CZ46353917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5C3544">
        <w:rPr>
          <w:rFonts w:ascii="Arial" w:hAnsi="Arial" w:cs="Arial"/>
          <w:i w:val="0"/>
          <w:sz w:val="22"/>
          <w:szCs w:val="22"/>
        </w:rPr>
        <w:t>zapsán</w:t>
      </w:r>
      <w:r w:rsidR="005C3544" w:rsidRPr="005C3544">
        <w:rPr>
          <w:rFonts w:ascii="Arial" w:hAnsi="Arial" w:cs="Arial"/>
          <w:i w:val="0"/>
          <w:sz w:val="22"/>
          <w:szCs w:val="22"/>
        </w:rPr>
        <w:t>o</w:t>
      </w:r>
      <w:r w:rsidR="00D417EF" w:rsidRPr="005C3544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5C3544" w:rsidRPr="005C3544">
        <w:rPr>
          <w:rFonts w:ascii="Arial" w:hAnsi="Arial" w:cs="Arial"/>
          <w:i w:val="0"/>
          <w:sz w:val="22"/>
          <w:szCs w:val="22"/>
        </w:rPr>
        <w:t>Městským soudem v Praze oddíl Dr., vložka 767</w:t>
      </w:r>
      <w:r w:rsidR="00D417EF" w:rsidRPr="005C3544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5C3544" w:rsidRPr="005C3544">
        <w:rPr>
          <w:rFonts w:ascii="Arial" w:hAnsi="Arial" w:cs="Arial"/>
          <w:i w:val="0"/>
          <w:sz w:val="22"/>
          <w:szCs w:val="22"/>
        </w:rPr>
        <w:t>předseda představenstva pan Jaroslav Hraba a člen představenstva Martin Šídlo.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5C3544">
        <w:rPr>
          <w:rFonts w:ascii="Arial" w:hAnsi="Arial" w:cs="Arial"/>
          <w:i w:val="0"/>
          <w:sz w:val="22"/>
          <w:szCs w:val="22"/>
        </w:rPr>
        <w:t>…………………….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5C3544">
        <w:rPr>
          <w:rFonts w:ascii="Arial" w:hAnsi="Arial" w:cs="Arial"/>
          <w:i w:val="0"/>
          <w:sz w:val="22"/>
          <w:szCs w:val="22"/>
        </w:rPr>
        <w:t>……………………………..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34633E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3463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17B0D9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3544">
        <w:rPr>
          <w:rFonts w:ascii="Arial" w:hAnsi="Arial" w:cs="Arial"/>
          <w:sz w:val="22"/>
          <w:szCs w:val="22"/>
        </w:rPr>
        <w:t xml:space="preserve">uzavírají tento dodatek č. 7 k pachtovní smlouvě č. 16N17/80, ze dne 18.04.2017 ve znění dodatku č. </w:t>
      </w:r>
      <w:r w:rsidR="005C3544" w:rsidRPr="005C3544">
        <w:rPr>
          <w:rFonts w:ascii="Arial" w:hAnsi="Arial" w:cs="Arial"/>
          <w:sz w:val="22"/>
          <w:szCs w:val="22"/>
        </w:rPr>
        <w:t>1 – č.6</w:t>
      </w:r>
      <w:r w:rsidRPr="005C3544">
        <w:rPr>
          <w:rFonts w:ascii="Arial" w:hAnsi="Arial" w:cs="Arial"/>
          <w:sz w:val="22"/>
          <w:szCs w:val="22"/>
        </w:rPr>
        <w:t xml:space="preserve"> (dále jen „smlouva“), kterým se mění 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6B91A2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C354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C3544">
        <w:rPr>
          <w:rFonts w:ascii="Arial" w:hAnsi="Arial" w:cs="Arial"/>
          <w:iCs/>
          <w:sz w:val="22"/>
          <w:szCs w:val="22"/>
        </w:rPr>
        <w:t xml:space="preserve">               19 009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C3544">
        <w:rPr>
          <w:rFonts w:ascii="Arial" w:hAnsi="Arial" w:cs="Arial"/>
          <w:iCs/>
          <w:sz w:val="22"/>
          <w:szCs w:val="22"/>
        </w:rPr>
        <w:t>devatenácttisícdevět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480FA68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5C3544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5C3544" w:rsidRPr="00012682">
        <w:rPr>
          <w:rFonts w:ascii="Arial" w:hAnsi="Arial" w:cs="Arial"/>
          <w:sz w:val="22"/>
          <w:szCs w:val="22"/>
        </w:rPr>
        <w:t xml:space="preserve">z důvodu </w:t>
      </w:r>
      <w:r w:rsidR="005C3544">
        <w:rPr>
          <w:rFonts w:ascii="Arial" w:hAnsi="Arial" w:cs="Arial"/>
          <w:sz w:val="22"/>
          <w:szCs w:val="22"/>
        </w:rPr>
        <w:t>přepočtu výše pachtovného na základě aktualizace metodických pokynů Státního pozemkového úřadu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23 119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tři tisíce jedno sto devatenáct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BA59390" w14:textId="77777777" w:rsidR="005C3544" w:rsidRDefault="005C3544" w:rsidP="00D417EF">
      <w:pPr>
        <w:jc w:val="both"/>
        <w:rPr>
          <w:rFonts w:ascii="Arial" w:hAnsi="Arial" w:cs="Arial"/>
          <w:sz w:val="22"/>
          <w:szCs w:val="22"/>
        </w:rPr>
      </w:pPr>
    </w:p>
    <w:p w14:paraId="538C655D" w14:textId="683D7778" w:rsidR="005C3544" w:rsidRPr="00012682" w:rsidRDefault="005C3544" w:rsidP="005C35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>achtýř povinen zaplatit částku 19 009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devatenácttisíc devět korun českých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23 119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tři tisíce jedno sto devatenáct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5C354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C354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C354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AAC73CE" w:rsidR="00D417EF" w:rsidRPr="00012682" w:rsidRDefault="005C354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5B61545C" w:rsidR="00D417EF" w:rsidRPr="005C3544" w:rsidRDefault="005C354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C3544">
        <w:rPr>
          <w:rFonts w:ascii="Arial" w:hAnsi="Arial" w:cs="Arial"/>
          <w:b w:val="0"/>
          <w:sz w:val="22"/>
          <w:szCs w:val="22"/>
        </w:rPr>
        <w:t>5</w:t>
      </w:r>
      <w:r w:rsidR="00D417EF" w:rsidRPr="005C354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277D16">
        <w:rPr>
          <w:rFonts w:ascii="Arial" w:hAnsi="Arial" w:cs="Arial"/>
          <w:b w:val="0"/>
          <w:sz w:val="22"/>
          <w:szCs w:val="22"/>
        </w:rPr>
        <w:t>1.10.</w:t>
      </w:r>
      <w:r w:rsidR="002D6DC5">
        <w:rPr>
          <w:rFonts w:ascii="Arial" w:hAnsi="Arial" w:cs="Arial"/>
          <w:b w:val="0"/>
          <w:sz w:val="22"/>
          <w:szCs w:val="22"/>
        </w:rPr>
        <w:t>2024</w:t>
      </w:r>
      <w:r w:rsidR="00D417EF" w:rsidRPr="005C354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C354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9DF1936" w:rsidR="00D417EF" w:rsidRPr="00012682" w:rsidRDefault="005C354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v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4633E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2885E82" w:rsidR="00D417EF" w:rsidRPr="00012682" w:rsidRDefault="005C354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617F42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4633E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77D16">
        <w:rPr>
          <w:rFonts w:ascii="Arial" w:hAnsi="Arial" w:cs="Arial"/>
          <w:sz w:val="22"/>
          <w:szCs w:val="22"/>
        </w:rPr>
        <w:t>9.8.2024</w:t>
      </w:r>
      <w:r w:rsidRPr="0034633E">
        <w:rPr>
          <w:rFonts w:ascii="Arial" w:hAnsi="Arial" w:cs="Arial"/>
          <w:sz w:val="22"/>
          <w:szCs w:val="22"/>
        </w:rPr>
        <w:t>.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C244DDF" w14:textId="77777777" w:rsidR="0034633E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Agrodružstvo Brázdim</w:t>
      </w:r>
      <w:r w:rsidR="000A341B">
        <w:rPr>
          <w:rFonts w:ascii="Arial" w:hAnsi="Arial" w:cs="Arial"/>
          <w:i/>
          <w:sz w:val="22"/>
          <w:szCs w:val="22"/>
        </w:rPr>
        <w:br/>
      </w:r>
      <w:r w:rsidR="0034633E" w:rsidRPr="0034633E">
        <w:rPr>
          <w:rFonts w:ascii="Arial" w:hAnsi="Arial" w:cs="Arial"/>
          <w:color w:val="000000"/>
          <w:sz w:val="22"/>
          <w:szCs w:val="22"/>
        </w:rPr>
        <w:t>Jaroslav Hraba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34633E">
        <w:rPr>
          <w:rFonts w:ascii="Arial" w:hAnsi="Arial" w:cs="Arial"/>
          <w:iCs/>
          <w:sz w:val="22"/>
          <w:szCs w:val="22"/>
        </w:rPr>
        <w:t>předseda představenstva</w:t>
      </w:r>
    </w:p>
    <w:p w14:paraId="6D98214D" w14:textId="4EDB1708" w:rsidR="0034633E" w:rsidRDefault="000A341B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</w:p>
    <w:p w14:paraId="1290A360" w14:textId="77777777" w:rsidR="0034633E" w:rsidRDefault="0034633E" w:rsidP="00F300A0">
      <w:pPr>
        <w:rPr>
          <w:rFonts w:ascii="Arial" w:hAnsi="Arial" w:cs="Arial"/>
          <w:iCs/>
          <w:sz w:val="22"/>
          <w:szCs w:val="22"/>
        </w:rPr>
      </w:pPr>
    </w:p>
    <w:p w14:paraId="624C3A53" w14:textId="77777777" w:rsidR="0034633E" w:rsidRDefault="0034633E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……………………………………..</w:t>
      </w:r>
    </w:p>
    <w:p w14:paraId="71440E44" w14:textId="77777777" w:rsidR="0034633E" w:rsidRDefault="0034633E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Agrodružstvo Brázdim</w:t>
      </w:r>
    </w:p>
    <w:p w14:paraId="6635A3D4" w14:textId="77777777" w:rsidR="0034633E" w:rsidRDefault="0034633E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Martin Šídlo</w:t>
      </w:r>
    </w:p>
    <w:p w14:paraId="6C781BA0" w14:textId="77777777" w:rsidR="0034633E" w:rsidRDefault="0034633E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Člen představenstva</w:t>
      </w:r>
    </w:p>
    <w:p w14:paraId="6C3197AE" w14:textId="77777777" w:rsidR="0034633E" w:rsidRDefault="0034633E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301BF18B" w:rsidR="0048139C" w:rsidRDefault="0034633E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463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463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463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463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3463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3463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3463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3463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>V ……………….. dne ……………..</w:t>
      </w:r>
      <w:r w:rsidRPr="0034633E">
        <w:rPr>
          <w:rFonts w:ascii="Arial" w:hAnsi="Arial" w:cs="Arial"/>
          <w:sz w:val="22"/>
          <w:szCs w:val="22"/>
        </w:rPr>
        <w:tab/>
      </w:r>
      <w:r w:rsidRPr="0034633E">
        <w:rPr>
          <w:rFonts w:ascii="Arial" w:hAnsi="Arial" w:cs="Arial"/>
          <w:sz w:val="22"/>
          <w:szCs w:val="22"/>
        </w:rPr>
        <w:tab/>
      </w:r>
      <w:r w:rsidRPr="0034633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4633E">
        <w:rPr>
          <w:rFonts w:ascii="Arial" w:hAnsi="Arial" w:cs="Arial"/>
          <w:sz w:val="22"/>
          <w:szCs w:val="22"/>
        </w:rPr>
        <w:tab/>
      </w:r>
      <w:r w:rsidRPr="0034633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07471">
    <w:abstractNumId w:val="0"/>
  </w:num>
  <w:num w:numId="2" w16cid:durableId="207173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3D2F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77D16"/>
    <w:rsid w:val="002A1089"/>
    <w:rsid w:val="002A2A17"/>
    <w:rsid w:val="002A3AE7"/>
    <w:rsid w:val="002A4078"/>
    <w:rsid w:val="002B306C"/>
    <w:rsid w:val="002B54C2"/>
    <w:rsid w:val="002C47FA"/>
    <w:rsid w:val="002D41FD"/>
    <w:rsid w:val="002D6DC5"/>
    <w:rsid w:val="00305428"/>
    <w:rsid w:val="003218F9"/>
    <w:rsid w:val="00323B39"/>
    <w:rsid w:val="00343CC8"/>
    <w:rsid w:val="0034633E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3544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354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3</cp:revision>
  <cp:lastPrinted>2024-07-22T11:37:00Z</cp:lastPrinted>
  <dcterms:created xsi:type="dcterms:W3CDTF">2024-08-19T08:20:00Z</dcterms:created>
  <dcterms:modified xsi:type="dcterms:W3CDTF">2024-08-19T08:21:00Z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