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900/2024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76200" distR="76200" simplePos="0" relativeHeight="125829378" behindDoc="0" locked="0" layoutInCell="1" allowOverlap="1">
                <wp:simplePos x="0" y="0"/>
                <wp:positionH relativeFrom="page">
                  <wp:posOffset>889000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31.pt;width:85.450000000000003pt;height:82.100000000000009pt;z-index:-12582937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PD Terezín - domek jezného - plovoucí podlahy</w:t>
      </w:r>
    </w:p>
    <w:p>
      <w:pPr>
        <w:pStyle w:val="Style2"/>
        <w:keepNext w:val="0"/>
        <w:keepLines w:val="0"/>
        <w:widowControl w:val="0"/>
        <w:shd w:val="clear" w:color="auto" w:fill="auto"/>
        <w:bidi w:val="0"/>
        <w:spacing w:before="0" w:after="0" w:line="240" w:lineRule="auto"/>
        <w:ind w:left="202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02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70.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Linea podlahy, s.r.o.</w:t>
      </w:r>
    </w:p>
    <w:p>
      <w:pPr>
        <w:pStyle w:val="Style2"/>
        <w:keepNext w:val="0"/>
        <w:keepLines w:val="0"/>
        <w:widowControl w:val="0"/>
        <w:shd w:val="clear" w:color="auto" w:fill="auto"/>
        <w:bidi w:val="0"/>
        <w:spacing w:before="0" w:after="0" w:line="240" w:lineRule="auto"/>
        <w:ind w:left="2620" w:right="0" w:firstLine="0"/>
        <w:jc w:val="left"/>
      </w:pPr>
      <w:r>
        <w:rPr>
          <w:color w:val="000000"/>
          <w:spacing w:val="0"/>
          <w:w w:val="100"/>
          <w:position w:val="0"/>
          <w:shd w:val="clear" w:color="auto" w:fill="auto"/>
          <w:lang w:val="cs-CZ" w:eastAsia="cs-CZ" w:bidi="cs-CZ"/>
        </w:rPr>
        <w:t>Kamýcká 440/7, Předměstí, 412 01 Litoměřice</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28702611</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CZ28702611</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díla je výměna stávajících opotřebovaných laminátových podlah za nové v interiéru domu jezného na adrese …………………..</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Odstranění a likvidaci stávajících laminátových podlah zajistí před zahájením prací objednatel.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numPr>
          <w:ilvl w:val="0"/>
          <w:numId w:val="1"/>
        </w:numPr>
        <w:shd w:val="clear" w:color="auto" w:fill="auto"/>
        <w:tabs>
          <w:tab w:pos="657" w:val="left"/>
        </w:tabs>
        <w:bidi w:val="0"/>
        <w:spacing w:before="0" w:after="0" w:line="240" w:lineRule="auto"/>
        <w:ind w:left="0" w:right="0" w:firstLine="380"/>
        <w:jc w:val="both"/>
      </w:pPr>
      <w:bookmarkStart w:id="3" w:name="bookmark3"/>
      <w:bookmarkEnd w:id="3"/>
      <w:r>
        <w:rPr>
          <w:color w:val="000000"/>
          <w:spacing w:val="0"/>
          <w:w w:val="100"/>
          <w:position w:val="0"/>
          <w:shd w:val="clear" w:color="auto" w:fill="auto"/>
          <w:lang w:val="cs-CZ" w:eastAsia="cs-CZ" w:bidi="cs-CZ"/>
        </w:rPr>
        <w:t>Příprava podkladu před položením podlahové krytiny (odstranění nečistot)</w:t>
      </w:r>
    </w:p>
    <w:p>
      <w:pPr>
        <w:pStyle w:val="Style2"/>
        <w:keepNext w:val="0"/>
        <w:keepLines w:val="0"/>
        <w:widowControl w:val="0"/>
        <w:numPr>
          <w:ilvl w:val="0"/>
          <w:numId w:val="1"/>
        </w:numPr>
        <w:shd w:val="clear" w:color="auto" w:fill="auto"/>
        <w:tabs>
          <w:tab w:pos="697" w:val="left"/>
        </w:tabs>
        <w:bidi w:val="0"/>
        <w:spacing w:before="0" w:after="0" w:line="240" w:lineRule="auto"/>
        <w:ind w:left="580" w:right="0" w:hanging="160"/>
        <w:jc w:val="both"/>
      </w:pPr>
      <w:bookmarkStart w:id="4" w:name="bookmark4"/>
      <w:bookmarkEnd w:id="4"/>
      <w:r>
        <w:rPr>
          <w:color w:val="000000"/>
          <w:spacing w:val="0"/>
          <w:w w:val="100"/>
          <w:position w:val="0"/>
          <w:shd w:val="clear" w:color="auto" w:fill="auto"/>
          <w:lang w:val="cs-CZ" w:eastAsia="cs-CZ" w:bidi="cs-CZ"/>
        </w:rPr>
        <w:t>Vyrovnání odlišných výšek podlah deskovinou (3 místnosti: 4 - obývací pokoj, 5a – ložnice, Z1- pracovna) – 48,5 m2</w:t>
      </w:r>
    </w:p>
    <w:p>
      <w:pPr>
        <w:pStyle w:val="Style2"/>
        <w:keepNext w:val="0"/>
        <w:keepLines w:val="0"/>
        <w:widowControl w:val="0"/>
        <w:numPr>
          <w:ilvl w:val="0"/>
          <w:numId w:val="1"/>
        </w:numPr>
        <w:shd w:val="clear" w:color="auto" w:fill="auto"/>
        <w:tabs>
          <w:tab w:pos="697" w:val="left"/>
        </w:tabs>
        <w:bidi w:val="0"/>
        <w:spacing w:before="0" w:after="0" w:line="240" w:lineRule="auto"/>
        <w:ind w:left="580" w:right="0" w:hanging="160"/>
        <w:jc w:val="both"/>
      </w:pPr>
      <w:bookmarkStart w:id="5" w:name="bookmark5"/>
      <w:bookmarkEnd w:id="5"/>
      <w:r>
        <w:rPr>
          <w:color w:val="000000"/>
          <w:spacing w:val="0"/>
          <w:w w:val="100"/>
          <w:position w:val="0"/>
          <w:shd w:val="clear" w:color="auto" w:fill="auto"/>
          <w:lang w:val="cs-CZ" w:eastAsia="cs-CZ" w:bidi="cs-CZ"/>
        </w:rPr>
        <w:t>Položení kročejové izolace tl. 3 mm a parozábrany pod plovoucí podlahu (6 místností:</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2 - chodba, 3 -kuchyň, 4 - obývací pokoj, 5 - ložnice, 5a - ložnice, Z1- pracovna) – 102,2 m2</w:t>
      </w:r>
    </w:p>
    <w:p>
      <w:pPr>
        <w:pStyle w:val="Style2"/>
        <w:keepNext w:val="0"/>
        <w:keepLines w:val="0"/>
        <w:widowControl w:val="0"/>
        <w:numPr>
          <w:ilvl w:val="0"/>
          <w:numId w:val="1"/>
        </w:numPr>
        <w:shd w:val="clear" w:color="auto" w:fill="auto"/>
        <w:tabs>
          <w:tab w:pos="697" w:val="left"/>
        </w:tabs>
        <w:bidi w:val="0"/>
        <w:spacing w:before="0" w:after="0" w:line="240" w:lineRule="auto"/>
        <w:ind w:left="580" w:right="0" w:hanging="160"/>
        <w:jc w:val="both"/>
      </w:pPr>
      <w:bookmarkStart w:id="6" w:name="bookmark6"/>
      <w:bookmarkEnd w:id="6"/>
      <w:r>
        <w:rPr>
          <w:color w:val="000000"/>
          <w:spacing w:val="0"/>
          <w:w w:val="100"/>
          <w:position w:val="0"/>
          <w:shd w:val="clear" w:color="auto" w:fill="auto"/>
          <w:lang w:val="cs-CZ" w:eastAsia="cs-CZ" w:bidi="cs-CZ"/>
        </w:rPr>
        <w:t>Položení plovoucí laminátové podlahy tl. 8 mm, zátěžová třída 23/32, dekor dub stone (6 místností: 2 - chodba, 3 - kuchyň, 4 - obývací pokoj, 5 - ložnice, 5a - ložnice,</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Z1- pracovna) – 102,02 m2</w:t>
      </w:r>
    </w:p>
    <w:p>
      <w:pPr>
        <w:pStyle w:val="Style2"/>
        <w:keepNext w:val="0"/>
        <w:keepLines w:val="0"/>
        <w:widowControl w:val="0"/>
        <w:numPr>
          <w:ilvl w:val="0"/>
          <w:numId w:val="1"/>
        </w:numPr>
        <w:shd w:val="clear" w:color="auto" w:fill="auto"/>
        <w:tabs>
          <w:tab w:pos="657" w:val="left"/>
        </w:tabs>
        <w:bidi w:val="0"/>
        <w:spacing w:before="0" w:after="0" w:line="240" w:lineRule="auto"/>
        <w:ind w:left="0" w:right="0" w:firstLine="380"/>
        <w:jc w:val="both"/>
      </w:pPr>
      <w:bookmarkStart w:id="7" w:name="bookmark7"/>
      <w:bookmarkEnd w:id="7"/>
      <w:r>
        <w:rPr>
          <w:color w:val="000000"/>
          <w:spacing w:val="0"/>
          <w:w w:val="100"/>
          <w:position w:val="0"/>
          <w:shd w:val="clear" w:color="auto" w:fill="auto"/>
          <w:lang w:val="cs-CZ" w:eastAsia="cs-CZ" w:bidi="cs-CZ"/>
        </w:rPr>
        <w:t>Zalištování plovoucí podlahy (soklové lišty a přechodové lišty) – 112,26 bm</w:t>
      </w:r>
    </w:p>
    <w:p>
      <w:pPr>
        <w:pStyle w:val="Style2"/>
        <w:keepNext w:val="0"/>
        <w:keepLines w:val="0"/>
        <w:widowControl w:val="0"/>
        <w:numPr>
          <w:ilvl w:val="0"/>
          <w:numId w:val="1"/>
        </w:numPr>
        <w:shd w:val="clear" w:color="auto" w:fill="auto"/>
        <w:tabs>
          <w:tab w:pos="697" w:val="left"/>
        </w:tabs>
        <w:bidi w:val="0"/>
        <w:spacing w:before="0" w:after="0" w:line="240" w:lineRule="auto"/>
        <w:ind w:left="580" w:right="0" w:hanging="160"/>
        <w:jc w:val="both"/>
      </w:pPr>
      <w:bookmarkStart w:id="8" w:name="bookmark8"/>
      <w:bookmarkEnd w:id="8"/>
      <w:r>
        <w:rPr>
          <w:color w:val="000000"/>
          <w:spacing w:val="0"/>
          <w:w w:val="100"/>
          <w:position w:val="0"/>
          <w:shd w:val="clear" w:color="auto" w:fill="auto"/>
          <w:lang w:val="cs-CZ" w:eastAsia="cs-CZ" w:bidi="cs-CZ"/>
        </w:rPr>
        <w:t>Naložení, odvoz a likvidace vzniklého odpadu v souladu s platnými právními předpisy ČR</w:t>
      </w:r>
    </w:p>
    <w:p>
      <w:pPr>
        <w:pStyle w:val="Style2"/>
        <w:keepNext w:val="0"/>
        <w:keepLines w:val="0"/>
        <w:widowControl w:val="0"/>
        <w:numPr>
          <w:ilvl w:val="0"/>
          <w:numId w:val="1"/>
        </w:numPr>
        <w:shd w:val="clear" w:color="auto" w:fill="auto"/>
        <w:tabs>
          <w:tab w:pos="697" w:val="left"/>
        </w:tabs>
        <w:bidi w:val="0"/>
        <w:spacing w:before="0" w:line="240" w:lineRule="auto"/>
        <w:ind w:left="580" w:right="0" w:hanging="160"/>
        <w:jc w:val="both"/>
      </w:pPr>
      <w:bookmarkStart w:id="9" w:name="bookmark9"/>
      <w:bookmarkEnd w:id="9"/>
      <w:r>
        <w:rPr>
          <w:color w:val="000000"/>
          <w:spacing w:val="0"/>
          <w:w w:val="100"/>
          <w:position w:val="0"/>
          <w:shd w:val="clear" w:color="auto" w:fill="auto"/>
          <w:lang w:val="cs-CZ" w:eastAsia="cs-CZ" w:bidi="cs-CZ"/>
        </w:rPr>
        <w:t>Ostatní práce a náklady spojené s prováděním zakázky</w:t>
      </w:r>
    </w:p>
    <w:p>
      <w:pPr>
        <w:pStyle w:val="Style12"/>
        <w:keepNext/>
        <w:keepLines/>
        <w:widowControl w:val="0"/>
        <w:shd w:val="clear" w:color="auto" w:fill="auto"/>
        <w:bidi w:val="0"/>
        <w:spacing w:before="0" w:line="240" w:lineRule="auto"/>
        <w:ind w:right="0" w:firstLine="40"/>
        <w:jc w:val="both"/>
      </w:pPr>
      <w:bookmarkStart w:id="10" w:name="bookmark10"/>
      <w:bookmarkStart w:id="11" w:name="bookmark11"/>
      <w:bookmarkStart w:id="12" w:name="bookmark12"/>
      <w:r>
        <w:rPr>
          <w:color w:val="000000"/>
          <w:spacing w:val="0"/>
          <w:w w:val="100"/>
          <w:position w:val="0"/>
          <w:shd w:val="clear" w:color="auto" w:fill="auto"/>
          <w:lang w:val="cs-CZ" w:eastAsia="cs-CZ" w:bidi="cs-CZ"/>
        </w:rPr>
        <w:t xml:space="preserve">Místo provádění díla: Interiér domku jezného na adrese ………………. – viz půdorys místností </w:t>
      </w:r>
      <w:r>
        <w:rPr>
          <w:b/>
          <w:bCs/>
          <w:color w:val="000000"/>
          <w:spacing w:val="0"/>
          <w:w w:val="100"/>
          <w:position w:val="0"/>
          <w:shd w:val="clear" w:color="auto" w:fill="auto"/>
          <w:lang w:val="cs-CZ" w:eastAsia="cs-CZ" w:bidi="cs-CZ"/>
        </w:rPr>
        <w:t xml:space="preserve">v příloze č. 2. </w:t>
      </w:r>
      <w:r>
        <w:rPr>
          <w:color w:val="000000"/>
          <w:spacing w:val="0"/>
          <w:w w:val="100"/>
          <w:position w:val="0"/>
          <w:shd w:val="clear" w:color="auto" w:fill="auto"/>
          <w:lang w:val="cs-CZ" w:eastAsia="cs-CZ" w:bidi="cs-CZ"/>
        </w:rPr>
        <w:t>Jedná se o tyto pozemky ve správě objednatele: k. ú. Terezín - …….</w:t>
      </w:r>
      <w:bookmarkEnd w:id="10"/>
      <w:bookmarkEnd w:id="11"/>
      <w:bookmarkEnd w:id="12"/>
    </w:p>
    <w:p>
      <w:pPr>
        <w:pStyle w:val="Style12"/>
        <w:keepNext/>
        <w:keepLines/>
        <w:widowControl w:val="0"/>
        <w:numPr>
          <w:ilvl w:val="0"/>
          <w:numId w:val="3"/>
        </w:numPr>
        <w:shd w:val="clear" w:color="auto" w:fill="auto"/>
        <w:tabs>
          <w:tab w:pos="478" w:val="left"/>
        </w:tabs>
        <w:bidi w:val="0"/>
        <w:spacing w:before="0" w:line="240" w:lineRule="auto"/>
        <w:ind w:right="0"/>
        <w:jc w:val="both"/>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3"/>
      <w:bookmarkEnd w:id="14"/>
      <w:bookmarkEnd w:id="16"/>
    </w:p>
    <w:p>
      <w:pPr>
        <w:pStyle w:val="Style12"/>
        <w:keepNext/>
        <w:keepLines/>
        <w:widowControl w:val="0"/>
        <w:numPr>
          <w:ilvl w:val="0"/>
          <w:numId w:val="3"/>
        </w:numPr>
        <w:shd w:val="clear" w:color="auto" w:fill="auto"/>
        <w:tabs>
          <w:tab w:pos="478" w:val="left"/>
        </w:tabs>
        <w:bidi w:val="0"/>
        <w:spacing w:before="0" w:line="240" w:lineRule="auto"/>
        <w:ind w:left="0" w:right="0" w:firstLine="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Za předmět díla se dále považuje:</w:t>
      </w:r>
      <w:bookmarkEnd w:id="17"/>
      <w:bookmarkEnd w:id="18"/>
      <w:bookmarkEnd w:id="20"/>
    </w:p>
    <w:p>
      <w:pPr>
        <w:pStyle w:val="Style12"/>
        <w:keepNext/>
        <w:keepLines/>
        <w:widowControl w:val="0"/>
        <w:numPr>
          <w:ilvl w:val="0"/>
          <w:numId w:val="5"/>
        </w:numPr>
        <w:shd w:val="clear" w:color="auto" w:fill="auto"/>
        <w:tabs>
          <w:tab w:pos="812" w:val="left"/>
        </w:tabs>
        <w:bidi w:val="0"/>
        <w:spacing w:before="0" w:after="0" w:line="240" w:lineRule="auto"/>
        <w:ind w:left="800"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21"/>
      <w:bookmarkEnd w:id="22"/>
      <w:bookmarkEnd w:id="24"/>
    </w:p>
    <w:p>
      <w:pPr>
        <w:pStyle w:val="Style12"/>
        <w:keepNext/>
        <w:keepLines/>
        <w:widowControl w:val="0"/>
        <w:numPr>
          <w:ilvl w:val="0"/>
          <w:numId w:val="5"/>
        </w:numPr>
        <w:shd w:val="clear" w:color="auto" w:fill="auto"/>
        <w:tabs>
          <w:tab w:pos="826" w:val="left"/>
        </w:tabs>
        <w:bidi w:val="0"/>
        <w:spacing w:before="0" w:after="0" w:line="240" w:lineRule="auto"/>
        <w:ind w:left="800" w:right="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zakázky,</w:t>
      </w:r>
      <w:bookmarkEnd w:id="25"/>
      <w:bookmarkEnd w:id="26"/>
      <w:bookmarkEnd w:id="28"/>
    </w:p>
    <w:p>
      <w:pPr>
        <w:pStyle w:val="Style12"/>
        <w:keepNext/>
        <w:keepLines/>
        <w:widowControl w:val="0"/>
        <w:numPr>
          <w:ilvl w:val="0"/>
          <w:numId w:val="5"/>
        </w:numPr>
        <w:shd w:val="clear" w:color="auto" w:fill="auto"/>
        <w:tabs>
          <w:tab w:pos="826" w:val="left"/>
        </w:tabs>
        <w:bidi w:val="0"/>
        <w:spacing w:before="0" w:after="0" w:line="240" w:lineRule="auto"/>
        <w:ind w:left="800"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29"/>
      <w:bookmarkEnd w:id="30"/>
      <w:bookmarkEnd w:id="32"/>
    </w:p>
    <w:p>
      <w:pPr>
        <w:pStyle w:val="Style12"/>
        <w:keepNext/>
        <w:keepLines/>
        <w:widowControl w:val="0"/>
        <w:numPr>
          <w:ilvl w:val="0"/>
          <w:numId w:val="5"/>
        </w:numPr>
        <w:shd w:val="clear" w:color="auto" w:fill="auto"/>
        <w:tabs>
          <w:tab w:pos="826" w:val="left"/>
        </w:tabs>
        <w:bidi w:val="0"/>
        <w:spacing w:before="0" w:after="0" w:line="240" w:lineRule="auto"/>
        <w:ind w:left="800" w:right="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33"/>
      <w:bookmarkEnd w:id="34"/>
      <w:bookmarkEnd w:id="36"/>
    </w:p>
    <w:p>
      <w:pPr>
        <w:pStyle w:val="Style12"/>
        <w:keepNext/>
        <w:keepLines/>
        <w:widowControl w:val="0"/>
        <w:numPr>
          <w:ilvl w:val="0"/>
          <w:numId w:val="5"/>
        </w:numPr>
        <w:shd w:val="clear" w:color="auto" w:fill="auto"/>
        <w:tabs>
          <w:tab w:pos="826" w:val="left"/>
        </w:tabs>
        <w:bidi w:val="0"/>
        <w:spacing w:before="0" w:after="0" w:line="240" w:lineRule="auto"/>
        <w:ind w:left="800" w:right="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7"/>
      <w:bookmarkEnd w:id="38"/>
      <w:bookmarkEnd w:id="40"/>
    </w:p>
    <w:p>
      <w:pPr>
        <w:pStyle w:val="Style12"/>
        <w:keepNext/>
        <w:keepLines/>
        <w:widowControl w:val="0"/>
        <w:numPr>
          <w:ilvl w:val="0"/>
          <w:numId w:val="5"/>
        </w:numPr>
        <w:shd w:val="clear" w:color="auto" w:fill="auto"/>
        <w:tabs>
          <w:tab w:pos="826" w:val="left"/>
        </w:tabs>
        <w:bidi w:val="0"/>
        <w:spacing w:before="0" w:line="240" w:lineRule="auto"/>
        <w:ind w:left="800"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1"/>
      <w:bookmarkEnd w:id="42"/>
      <w:bookmarkEnd w:id="44"/>
    </w:p>
    <w:p>
      <w:pPr>
        <w:pStyle w:val="Style12"/>
        <w:keepNext/>
        <w:keepLines/>
        <w:widowControl w:val="0"/>
        <w:numPr>
          <w:ilvl w:val="0"/>
          <w:numId w:val="3"/>
        </w:numPr>
        <w:shd w:val="clear" w:color="auto" w:fill="auto"/>
        <w:tabs>
          <w:tab w:pos="478"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5"/>
      <w:bookmarkEnd w:id="46"/>
      <w:bookmarkEnd w:id="48"/>
    </w:p>
    <w:p>
      <w:pPr>
        <w:pStyle w:val="Style12"/>
        <w:keepNext/>
        <w:keepLines/>
        <w:widowControl w:val="0"/>
        <w:numPr>
          <w:ilvl w:val="0"/>
          <w:numId w:val="3"/>
        </w:numPr>
        <w:shd w:val="clear" w:color="auto" w:fill="auto"/>
        <w:tabs>
          <w:tab w:pos="478" w:val="left"/>
        </w:tabs>
        <w:bidi w:val="0"/>
        <w:spacing w:before="0" w:line="240" w:lineRule="auto"/>
        <w:ind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49"/>
      <w:bookmarkEnd w:id="50"/>
      <w:bookmarkEnd w:id="52"/>
    </w:p>
    <w:p>
      <w:pPr>
        <w:pStyle w:val="Style12"/>
        <w:keepNext/>
        <w:keepLines/>
        <w:widowControl w:val="0"/>
        <w:numPr>
          <w:ilvl w:val="0"/>
          <w:numId w:val="3"/>
        </w:numPr>
        <w:shd w:val="clear" w:color="auto" w:fill="auto"/>
        <w:tabs>
          <w:tab w:pos="382" w:val="left"/>
        </w:tabs>
        <w:bidi w:val="0"/>
        <w:spacing w:before="0" w:after="440" w:line="240" w:lineRule="auto"/>
        <w:ind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53"/>
      <w:bookmarkEnd w:id="54"/>
      <w:bookmarkEnd w:id="5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7"/>
        </w:numPr>
        <w:shd w:val="clear" w:color="auto" w:fill="auto"/>
        <w:tabs>
          <w:tab w:pos="382" w:val="left"/>
        </w:tabs>
        <w:bidi w:val="0"/>
        <w:spacing w:before="0" w:line="240" w:lineRule="auto"/>
        <w:ind w:left="0" w:right="0" w:firstLine="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Smluvní strany se dohodly na následujících lhůtách a podmínkách pro realizaci díla.</w:t>
      </w:r>
      <w:bookmarkEnd w:id="57"/>
      <w:bookmarkEnd w:id="58"/>
      <w:bookmarkEnd w:id="60"/>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61" w:name="bookmark61"/>
      <w:bookmarkEnd w:id="61"/>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Zhotovitel se zavazuje převzít staveniště nejpozději do 5 kalendářních dní od nabytí účinnosti této smlouvy o dílo.</w:t>
      </w:r>
    </w:p>
    <w:p>
      <w:pPr>
        <w:pStyle w:val="Style2"/>
        <w:keepNext w:val="0"/>
        <w:keepLines w:val="0"/>
        <w:widowControl w:val="0"/>
        <w:numPr>
          <w:ilvl w:val="0"/>
          <w:numId w:val="9"/>
        </w:numPr>
        <w:shd w:val="clear" w:color="auto" w:fill="auto"/>
        <w:tabs>
          <w:tab w:pos="786" w:val="left"/>
        </w:tabs>
        <w:bidi w:val="0"/>
        <w:spacing w:before="0" w:after="0" w:line="240" w:lineRule="auto"/>
        <w:ind w:left="0" w:right="0" w:firstLine="380"/>
        <w:jc w:val="both"/>
      </w:pPr>
      <w:bookmarkStart w:id="62" w:name="bookmark62"/>
      <w:bookmarkEnd w:id="62"/>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9"/>
        </w:numPr>
        <w:shd w:val="clear" w:color="auto" w:fill="auto"/>
        <w:tabs>
          <w:tab w:pos="786" w:val="left"/>
        </w:tabs>
        <w:bidi w:val="0"/>
        <w:spacing w:before="0" w:after="0" w:line="240" w:lineRule="auto"/>
        <w:ind w:left="0" w:right="0" w:firstLine="380"/>
        <w:jc w:val="both"/>
      </w:pPr>
      <w:bookmarkStart w:id="63" w:name="bookmark63"/>
      <w:bookmarkEnd w:id="63"/>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0" w:line="288" w:lineRule="auto"/>
        <w:ind w:left="0" w:right="0" w:firstLine="740"/>
        <w:jc w:val="both"/>
      </w:pPr>
      <w:r>
        <w:rPr>
          <w:b/>
          <w:bCs/>
          <w:color w:val="000000"/>
          <w:spacing w:val="0"/>
          <w:w w:val="100"/>
          <w:position w:val="0"/>
          <w:shd w:val="clear" w:color="auto" w:fill="auto"/>
          <w:lang w:val="cs-CZ" w:eastAsia="cs-CZ" w:bidi="cs-CZ"/>
        </w:rPr>
        <w:t>Nejpozději do 16.9.2024</w:t>
      </w:r>
    </w:p>
    <w:p>
      <w:pPr>
        <w:pStyle w:val="Style2"/>
        <w:keepNext w:val="0"/>
        <w:keepLines w:val="0"/>
        <w:widowControl w:val="0"/>
        <w:shd w:val="clear" w:color="auto" w:fill="auto"/>
        <w:bidi w:val="0"/>
        <w:spacing w:before="0" w:line="288" w:lineRule="auto"/>
        <w:ind w:left="740" w:right="0" w:firstLine="0"/>
        <w:jc w:val="both"/>
      </w:pPr>
      <w:r>
        <w:rPr>
          <w:color w:val="000000"/>
          <w:spacing w:val="0"/>
          <w:w w:val="100"/>
          <w:position w:val="0"/>
          <w:shd w:val="clear" w:color="auto" w:fill="auto"/>
          <w:lang w:val="cs-CZ" w:eastAsia="cs-CZ" w:bidi="cs-CZ"/>
        </w:rPr>
        <w:t>Zhotovitel je povinen ke dni předání a převzetí dokončeného díla pracoviště a upravit do původního stavu nebo do stavu, který odsouhlasí TDI.</w:t>
      </w:r>
    </w:p>
    <w:p>
      <w:pPr>
        <w:pStyle w:val="Style12"/>
        <w:keepNext/>
        <w:keepLines/>
        <w:widowControl w:val="0"/>
        <w:numPr>
          <w:ilvl w:val="0"/>
          <w:numId w:val="7"/>
        </w:numPr>
        <w:shd w:val="clear" w:color="auto" w:fill="auto"/>
        <w:tabs>
          <w:tab w:pos="382" w:val="left"/>
        </w:tabs>
        <w:bidi w:val="0"/>
        <w:spacing w:before="0" w:line="240" w:lineRule="auto"/>
        <w:ind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64"/>
      <w:bookmarkEnd w:id="65"/>
      <w:bookmarkEnd w:id="67"/>
    </w:p>
    <w:p>
      <w:pPr>
        <w:pStyle w:val="Style12"/>
        <w:keepNext/>
        <w:keepLines/>
        <w:widowControl w:val="0"/>
        <w:numPr>
          <w:ilvl w:val="0"/>
          <w:numId w:val="7"/>
        </w:numPr>
        <w:shd w:val="clear" w:color="auto" w:fill="auto"/>
        <w:tabs>
          <w:tab w:pos="382" w:val="left"/>
        </w:tabs>
        <w:bidi w:val="0"/>
        <w:spacing w:before="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68"/>
      <w:bookmarkEnd w:id="69"/>
      <w:bookmarkEnd w:id="71"/>
    </w:p>
    <w:p>
      <w:pPr>
        <w:pStyle w:val="Style12"/>
        <w:keepNext/>
        <w:keepLines/>
        <w:widowControl w:val="0"/>
        <w:numPr>
          <w:ilvl w:val="0"/>
          <w:numId w:val="7"/>
        </w:numPr>
        <w:shd w:val="clear" w:color="auto" w:fill="auto"/>
        <w:tabs>
          <w:tab w:pos="382" w:val="left"/>
        </w:tabs>
        <w:bidi w:val="0"/>
        <w:spacing w:before="0" w:after="320" w:line="240" w:lineRule="auto"/>
        <w:ind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Dílo bude dokončeno zhotovitelem a předáno objednateli písemně na základě zápisu o předání a převzetí díla. Každé dílčí plnění bude předáno objednateli písemně na základě zápisu o předání a převzetí dílčího plnění.</w:t>
      </w:r>
      <w:bookmarkEnd w:id="72"/>
      <w:bookmarkEnd w:id="73"/>
      <w:bookmarkEnd w:id="7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30"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w:t>
        <w:tab/>
        <w:t>141.953,95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87" w:val="left"/>
        </w:tabs>
        <w:bidi w:val="0"/>
        <w:spacing w:before="0" w:after="80" w:line="240" w:lineRule="auto"/>
        <w:ind w:left="0" w:right="0" w:firstLine="0"/>
        <w:jc w:val="both"/>
      </w:pPr>
      <w:bookmarkStart w:id="80" w:name="bookmark80"/>
      <w:bookmarkEnd w:id="80"/>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87" w:val="left"/>
        </w:tabs>
        <w:bidi w:val="0"/>
        <w:spacing w:before="0" w:after="180" w:line="240" w:lineRule="auto"/>
        <w:ind w:left="0" w:right="0" w:firstLine="0"/>
        <w:jc w:val="both"/>
      </w:pPr>
      <w:bookmarkStart w:id="81" w:name="bookmark81"/>
      <w:bookmarkEnd w:id="81"/>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87" w:val="left"/>
        </w:tabs>
        <w:bidi w:val="0"/>
        <w:spacing w:before="0" w:after="0" w:line="240" w:lineRule="auto"/>
        <w:ind w:left="0" w:right="0" w:firstLine="0"/>
        <w:jc w:val="both"/>
      </w:pPr>
      <w:bookmarkStart w:id="82" w:name="bookmark82"/>
      <w:bookmarkEnd w:id="82"/>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2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3"/>
        </w:numPr>
        <w:shd w:val="clear" w:color="auto" w:fill="auto"/>
        <w:tabs>
          <w:tab w:pos="387" w:val="left"/>
        </w:tabs>
        <w:bidi w:val="0"/>
        <w:spacing w:before="0" w:after="8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Datem uskutečnění plnění bude den předání a převzetí dokončeného díla uvedeného na předávacím a přejímacím protokolu. Protokol bude nedílnou součástí faktury.</w:t>
      </w:r>
    </w:p>
    <w:p>
      <w:pPr>
        <w:pStyle w:val="Style2"/>
        <w:keepNext w:val="0"/>
        <w:keepLines w:val="0"/>
        <w:widowControl w:val="0"/>
        <w:numPr>
          <w:ilvl w:val="0"/>
          <w:numId w:val="13"/>
        </w:numPr>
        <w:shd w:val="clear" w:color="auto" w:fill="auto"/>
        <w:tabs>
          <w:tab w:pos="387" w:val="left"/>
        </w:tabs>
        <w:bidi w:val="0"/>
        <w:spacing w:before="0" w:after="8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3"/>
        </w:numPr>
        <w:shd w:val="clear" w:color="auto" w:fill="auto"/>
        <w:tabs>
          <w:tab w:pos="387" w:val="left"/>
        </w:tabs>
        <w:bidi w:val="0"/>
        <w:spacing w:before="0" w:after="8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87" w:val="left"/>
        </w:tabs>
        <w:bidi w:val="0"/>
        <w:spacing w:before="0" w:after="18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87" w:val="left"/>
        </w:tabs>
        <w:bidi w:val="0"/>
        <w:spacing w:before="0" w:after="18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7" w:val="left"/>
        </w:tabs>
        <w:bidi w:val="0"/>
        <w:spacing w:before="0" w:after="8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366"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366" w:val="left"/>
        </w:tabs>
        <w:bidi w:val="0"/>
        <w:spacing w:before="0" w:after="56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66" w:val="left"/>
        </w:tabs>
        <w:bidi w:val="0"/>
        <w:spacing w:before="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line="240" w:lineRule="auto"/>
        <w:ind w:left="0" w:right="0" w:firstLine="380"/>
        <w:jc w:val="both"/>
      </w:pPr>
      <w:bookmarkStart w:id="98" w:name="bookmark98"/>
      <w:bookmarkEnd w:id="9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line="240" w:lineRule="auto"/>
        <w:ind w:left="1020" w:right="0" w:hanging="600"/>
        <w:jc w:val="both"/>
      </w:pPr>
      <w:bookmarkStart w:id="99" w:name="bookmark99"/>
      <w:bookmarkEnd w:id="9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line="240" w:lineRule="auto"/>
        <w:ind w:left="1020" w:right="0" w:hanging="600"/>
        <w:jc w:val="both"/>
      </w:pPr>
      <w:bookmarkStart w:id="100" w:name="bookmark100"/>
      <w:bookmarkEnd w:id="100"/>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66" w:val="left"/>
        </w:tabs>
        <w:bidi w:val="0"/>
        <w:spacing w:before="0" w:line="295" w:lineRule="auto"/>
        <w:ind w:left="380" w:right="0" w:hanging="380"/>
        <w:jc w:val="left"/>
      </w:pPr>
      <w:bookmarkStart w:id="101" w:name="bookmark101"/>
      <w:bookmarkEnd w:id="101"/>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36 měsíců </w:t>
      </w:r>
      <w:r>
        <w:rPr>
          <w:color w:val="000000"/>
          <w:spacing w:val="0"/>
          <w:w w:val="100"/>
          <w:position w:val="0"/>
          <w:shd w:val="clear" w:color="auto" w:fill="auto"/>
          <w:lang w:val="cs-CZ" w:eastAsia="cs-CZ" w:bidi="cs-CZ"/>
        </w:rPr>
        <w:t>ode dne předání a převzetí díla objednatelem. 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7"/>
        </w:numPr>
        <w:shd w:val="clear" w:color="auto" w:fill="auto"/>
        <w:tabs>
          <w:tab w:pos="366"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7"/>
        </w:numPr>
        <w:shd w:val="clear" w:color="auto" w:fill="auto"/>
        <w:tabs>
          <w:tab w:pos="366" w:val="left"/>
        </w:tabs>
        <w:bidi w:val="0"/>
        <w:spacing w:before="0" w:after="32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6"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58" w:val="left"/>
        </w:tabs>
        <w:bidi w:val="0"/>
        <w:spacing w:before="0" w:after="56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3"/>
        </w:numPr>
        <w:shd w:val="clear" w:color="auto" w:fill="auto"/>
        <w:tabs>
          <w:tab w:pos="358" w:val="left"/>
        </w:tabs>
        <w:bidi w:val="0"/>
        <w:spacing w:before="0" w:after="44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9"/>
      <w:bookmarkEnd w:id="110"/>
      <w:bookmarkEnd w:id="11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7"/>
        </w:numPr>
        <w:shd w:val="clear" w:color="auto" w:fill="auto"/>
        <w:tabs>
          <w:tab w:pos="1174" w:val="left"/>
        </w:tabs>
        <w:bidi w:val="0"/>
        <w:spacing w:before="0" w:after="0" w:line="240" w:lineRule="auto"/>
        <w:ind w:left="1160" w:right="0" w:hanging="3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16"/>
      <w:bookmarkEnd w:id="117"/>
      <w:bookmarkEnd w:id="119"/>
    </w:p>
    <w:p>
      <w:pPr>
        <w:pStyle w:val="Style12"/>
        <w:keepNext/>
        <w:keepLines/>
        <w:widowControl w:val="0"/>
        <w:numPr>
          <w:ilvl w:val="0"/>
          <w:numId w:val="27"/>
        </w:numPr>
        <w:shd w:val="clear" w:color="auto" w:fill="auto"/>
        <w:tabs>
          <w:tab w:pos="1174" w:val="left"/>
        </w:tabs>
        <w:bidi w:val="0"/>
        <w:spacing w:before="0" w:line="240" w:lineRule="auto"/>
        <w:ind w:left="0" w:right="0" w:firstLine="8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bezdůvodném přerušení prací zhotovitelem, které trvá více než 14 dnů,</w:t>
      </w:r>
      <w:bookmarkEnd w:id="120"/>
      <w:bookmarkEnd w:id="121"/>
      <w:bookmarkEnd w:id="123"/>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6" w:name="bookmark126"/>
      <w:bookmarkEnd w:id="126"/>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5"/>
        </w:numPr>
        <w:shd w:val="clear" w:color="auto" w:fill="auto"/>
        <w:tabs>
          <w:tab w:pos="442" w:val="left"/>
        </w:tabs>
        <w:bidi w:val="0"/>
        <w:spacing w:before="0" w:line="240" w:lineRule="auto"/>
        <w:ind w:left="0" w:right="0" w:firstLine="0"/>
        <w:jc w:val="left"/>
      </w:pPr>
      <w:bookmarkStart w:id="132" w:name="bookmark132"/>
      <w:bookmarkEnd w:id="132"/>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42" w:val="left"/>
        </w:tabs>
        <w:bidi w:val="0"/>
        <w:spacing w:before="0" w:after="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Cenová nabídka zhotovitele Priorita 3) Příloha č. 2: Půdorys místností Priorita 1) Příloha č. 3: Čestné prohlášení k finančním sankcím</w:t>
      </w:r>
    </w:p>
    <w:p>
      <w:pPr>
        <w:pStyle w:val="Style2"/>
        <w:keepNext w:val="0"/>
        <w:keepLines w:val="0"/>
        <w:widowControl w:val="0"/>
        <w:shd w:val="clear" w:color="auto" w:fill="auto"/>
        <w:bidi w:val="0"/>
        <w:spacing w:before="0" w:line="240" w:lineRule="auto"/>
        <w:ind w:left="380" w:right="0" w:firstLine="0"/>
        <w:jc w:val="both"/>
        <w:sectPr>
          <w:headerReference w:type="default" r:id="rId5"/>
          <w:footerReference w:type="default" r:id="rId6"/>
          <w:footnotePr>
            <w:pos w:val="pageBottom"/>
            <w:numFmt w:val="decimal"/>
            <w:numRestart w:val="continuous"/>
          </w:footnotePr>
          <w:pgSz w:w="11909" w:h="16838"/>
          <w:pgMar w:top="1067" w:left="1392" w:right="1386" w:bottom="1242"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2174" w:left="1394" w:right="2335" w:bottom="2174"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2174" w:left="1394" w:right="2335" w:bottom="2174"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9959975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2.pt;margin-top:784.2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387985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30.5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80" w:hanging="3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