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Smlouva o zájezdovém představení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>
          <w:b/>
          <w:b/>
        </w:rPr>
      </w:pPr>
      <w:r>
        <w:rPr/>
        <w:t>Název:</w:t>
        <w:tab/>
      </w:r>
      <w:r>
        <w:rPr>
          <w:b/>
        </w:rPr>
        <w:tab/>
        <w:t>Divadlo RB, s. r. o.</w:t>
      </w:r>
    </w:p>
    <w:p>
      <w:pPr>
        <w:pStyle w:val="Normal"/>
        <w:keepNext w:val="true"/>
        <w:rPr/>
      </w:pPr>
      <w:r>
        <w:rPr/>
        <w:t xml:space="preserve">Sídlem: </w:t>
        <w:tab/>
        <w:t>Brdlíkova 189/5, 150 00 Praha 5</w:t>
      </w:r>
    </w:p>
    <w:p>
      <w:pPr>
        <w:pStyle w:val="Normal"/>
        <w:keepNext w:val="true"/>
        <w:rPr/>
      </w:pPr>
      <w:r>
        <w:rPr/>
        <w:t>Provozovna:</w:t>
        <w:tab/>
      </w:r>
      <w:r>
        <w:rPr>
          <w:b/>
        </w:rPr>
        <w:t>Divadlo Radka Brzobohatého</w:t>
      </w:r>
    </w:p>
    <w:p>
      <w:pPr>
        <w:pStyle w:val="Normal"/>
        <w:keepNext w:val="true"/>
        <w:ind w:left="708" w:firstLine="708"/>
        <w:rPr/>
      </w:pPr>
      <w:r>
        <w:rPr/>
        <w:t>Opletalova 5/7, 110 00 Praha 1</w:t>
      </w:r>
    </w:p>
    <w:p>
      <w:pPr>
        <w:pStyle w:val="Normal"/>
        <w:keepNext w:val="true"/>
        <w:rPr/>
      </w:pPr>
      <w:r>
        <w:rPr/>
        <w:t xml:space="preserve">Zastoupeno: </w:t>
        <w:tab/>
        <w:t>Mgr. Romana Janáková</w:t>
      </w:r>
    </w:p>
    <w:p>
      <w:pPr>
        <w:pStyle w:val="Normal"/>
        <w:keepNext w:val="true"/>
        <w:rPr/>
      </w:pPr>
      <w:r>
        <w:rPr/>
        <w:t xml:space="preserve">IČ: </w:t>
        <w:tab/>
        <w:tab/>
        <w:t>05876974</w:t>
      </w:r>
    </w:p>
    <w:p>
      <w:pPr>
        <w:pStyle w:val="Normal"/>
        <w:keepNext w:val="true"/>
        <w:rPr/>
      </w:pPr>
      <w:r>
        <w:rPr/>
        <w:t>DIČ:</w:t>
        <w:tab/>
        <w:tab/>
        <w:t>CZ05876974</w:t>
      </w:r>
    </w:p>
    <w:p>
      <w:pPr>
        <w:pStyle w:val="Normal"/>
        <w:keepNext w:val="true"/>
        <w:rPr/>
      </w:pPr>
      <w:r>
        <w:rPr/>
        <w:t xml:space="preserve">Číslo účtu: </w:t>
        <w:tab/>
      </w:r>
      <w:r>
        <w:rPr/>
        <w:t>xxxxx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>(dále jen DRB)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>a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Název:           Městské kulturní středisko Jaroměř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Monika Brychová - ředitelka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nám. Dukelských hrdinů 240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55101 Jaroměř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IČ: 13585185</w:t>
      </w:r>
    </w:p>
    <w:p>
      <w:pPr>
        <w:pStyle w:val="Normal"/>
        <w:keepNext w:val="true"/>
        <w:rPr/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Tel.: </w:t>
      </w:r>
      <w:r>
        <w:rPr>
          <w:sz w:val="24"/>
          <w:szCs w:val="24"/>
        </w:rPr>
        <w:t>xxxxx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/>
        <w:t>(dále jen pořadatel)</w:t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       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Předmět smlouvy</w:t>
      </w:r>
    </w:p>
    <w:p>
      <w:pPr>
        <w:pStyle w:val="Normal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/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Touto smlouvou se smluvní strany dohodly na realizaci divadelního představení: 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567" w:right="0" w:firstLine="3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“</w:t>
      </w:r>
      <w:r>
        <w:rPr>
          <w:b/>
        </w:rPr>
        <w:t xml:space="preserve">Hračička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režie: </w:t>
      </w:r>
      <w:r>
        <w:rPr/>
        <w:t xml:space="preserve">Lukáš Burian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za podmínek dále uvedených v této smlouvě.</w:t>
        <w:br/>
      </w:r>
    </w:p>
    <w:p>
      <w:pPr>
        <w:pStyle w:val="Normal"/>
        <w:keepNext w:val="true"/>
        <w:keepLines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20"/>
        <w:ind w:left="432" w:right="0" w:hanging="432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Práva a povinnosti smluvních stran</w:t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DRB se zavazuje odehrát představení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</w:t>
      </w:r>
      <w:r>
        <w:rPr>
          <w:b/>
        </w:rPr>
        <w:t xml:space="preserve">Hračička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“.</w:t>
      </w:r>
    </w:p>
    <w:p>
      <w:pPr>
        <w:pStyle w:val="Normal"/>
        <w:keepNext w:val="true"/>
        <w:ind w:firstLine="567"/>
        <w:rPr/>
      </w:pPr>
      <w:r>
        <w:rPr/>
        <w:t>Místo:</w:t>
        <w:tab/>
        <w:tab/>
        <w:tab/>
      </w:r>
      <w:r>
        <w:rPr>
          <w:sz w:val="24"/>
          <w:szCs w:val="24"/>
        </w:rPr>
        <w:t xml:space="preserve">Městské kulturní středisko Jaroměř, </w:t>
      </w:r>
    </w:p>
    <w:p>
      <w:pPr>
        <w:pStyle w:val="Normal"/>
        <w:keepNext w:val="true"/>
        <w:ind w:firstLine="567"/>
        <w:rPr>
          <w:b/>
          <w:b/>
        </w:rPr>
      </w:pPr>
      <w:r>
        <w:rPr/>
        <w:t>Datum:</w:t>
        <w:tab/>
        <w:tab/>
        <w:tab/>
      </w:r>
      <w:r>
        <w:rPr>
          <w:b/>
        </w:rPr>
        <w:t xml:space="preserve">4.4. 2025 </w:t>
      </w:r>
    </w:p>
    <w:p>
      <w:pPr>
        <w:pStyle w:val="Normal"/>
        <w:keepNext w:val="true"/>
        <w:ind w:firstLine="567"/>
        <w:rPr>
          <w:b/>
          <w:b/>
        </w:rPr>
      </w:pPr>
      <w:r>
        <w:rPr/>
        <w:t>Počet představení:</w:t>
      </w:r>
      <w:r>
        <w:rPr>
          <w:b/>
        </w:rPr>
        <w:t xml:space="preserve"> </w:t>
        <w:tab/>
        <w:t>1</w:t>
      </w:r>
    </w:p>
    <w:p>
      <w:pPr>
        <w:pStyle w:val="Normal"/>
        <w:keepNext w:val="true"/>
        <w:ind w:left="567" w:hanging="0"/>
        <w:rPr>
          <w:b/>
          <w:b/>
        </w:rPr>
      </w:pPr>
      <w:r>
        <w:rPr/>
        <w:t xml:space="preserve">Začátek představení: </w:t>
        <w:tab/>
      </w:r>
      <w:r>
        <w:rPr>
          <w:b/>
        </w:rPr>
        <w:t>19:00 hod.</w:t>
      </w:r>
    </w:p>
    <w:p>
      <w:pPr>
        <w:pStyle w:val="Normal"/>
        <w:keepNext w:val="true"/>
        <w:ind w:left="567" w:hanging="0"/>
        <w:rPr/>
      </w:pPr>
      <w:r>
        <w:rPr/>
        <w:t xml:space="preserve">Kontakt:                         Monika Brychová  </w:t>
      </w:r>
      <w:r>
        <w:rPr/>
        <w:t>xxxxx</w:t>
      </w:r>
    </w:p>
    <w:p>
      <w:pPr>
        <w:pStyle w:val="Normal"/>
        <w:keepNext w:val="true"/>
        <w:ind w:left="567" w:hanging="0"/>
        <w:rPr/>
      </w:pPr>
      <w:r>
        <w:rPr/>
        <w:t xml:space="preserve">Technický kontakt :       </w:t>
      </w:r>
      <w:r>
        <w:rPr>
          <w:sz w:val="24"/>
          <w:szCs w:val="24"/>
        </w:rPr>
        <w:t xml:space="preserve"> </w:t>
      </w:r>
      <w:r>
        <w:rPr>
          <w:highlight w:val="white"/>
        </w:rPr>
        <w:t xml:space="preserve">Milan Hrycík </w:t>
      </w:r>
      <w:r>
        <w:rPr>
          <w:highlight w:val="white"/>
        </w:rPr>
        <w:t>xxxxx</w:t>
      </w:r>
      <w:r>
        <w:rPr>
          <w:highlight w:val="white"/>
        </w:rPr>
        <w:t xml:space="preserve"> a  p.Blahovec </w:t>
      </w:r>
      <w:r>
        <w:rPr>
          <w:highlight w:val="white"/>
        </w:rPr>
        <w:t>xxxxx</w:t>
      </w:r>
      <w:r>
        <w:rPr>
          <w:highlight w:val="white"/>
        </w:rPr>
        <w:t>.</w:t>
      </w:r>
    </w:p>
    <w:p>
      <w:pPr>
        <w:pStyle w:val="Normal"/>
        <w:keepNext w:val="true"/>
        <w:ind w:left="0" w:hanging="0"/>
        <w:rPr/>
      </w:pPr>
      <w:r>
        <w:rPr/>
      </w:r>
    </w:p>
    <w:p>
      <w:pPr>
        <w:pStyle w:val="Normal"/>
        <w:keepNext w:val="true"/>
        <w:ind w:left="567" w:hanging="0"/>
        <w:rPr/>
      </w:pPr>
      <w:r>
        <w:rPr/>
        <w:br/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DRB se zavazuje, že se účinkující dostaví na vystoupení včas a umělecký výkon bude proveden svědomitě.</w:t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Pořadatel se zavazuje zajistit: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 xml:space="preserve">Přístup do na jeviště a do zákulisí </w:t>
      </w:r>
      <w:r>
        <w:rPr/>
        <w:t>5</w:t>
      </w:r>
      <w:r>
        <w:rPr>
          <w:color w:val="000000"/>
        </w:rPr>
        <w:t xml:space="preserve"> hodin před představením (popř. dle domluvy s technikem)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>Přítomnost 2 místních techniků na vynesení kulis a po skončení představení naložení kulis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>Přítomnost jednoho technického pracovníka obeznámeného s osvětlovací a zvukovou technikou v místě konání divadelního představení 3 hodiny před představením.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>Připravit vhodné podmínky pro představení po stránce společenské, technické, bezpečnostní a hygienické.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 xml:space="preserve">Minimálně dvě standardně vybavené divadelní šatny (židle, stůl, zrcadlo s dobrým osvětlením) pro </w:t>
      </w:r>
      <w:r>
        <w:rPr/>
        <w:t xml:space="preserve">1 ženu a 1 muže 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/>
        <w:t xml:space="preserve">zdvořile žádáme o balenou vodu a drobné </w:t>
      </w:r>
      <w:r>
        <w:rPr>
          <w:color w:val="000000"/>
        </w:rPr>
        <w:t xml:space="preserve"> občerstvení pro</w:t>
      </w:r>
      <w:r>
        <w:rPr/>
        <w:t xml:space="preserve">  účinkující.</w:t>
      </w:r>
    </w:p>
    <w:p>
      <w:pPr>
        <w:pStyle w:val="Normal"/>
        <w:keepNext w:val="true"/>
        <w:numPr>
          <w:ilvl w:val="0"/>
          <w:numId w:val="2"/>
        </w:numPr>
        <w:pBdr/>
        <w:ind w:left="993" w:hanging="426"/>
        <w:rPr>
          <w:color w:val="000000"/>
        </w:rPr>
      </w:pPr>
      <w:r>
        <w:rPr>
          <w:color w:val="000000"/>
        </w:rPr>
        <w:t>V dostatečném předstihu kontaktovat osobu zplnomocněnou k jednání stran řešení technických podmínek světla/zvuk a stavby scény na jevišti:</w:t>
      </w:r>
    </w:p>
    <w:p>
      <w:pPr>
        <w:pStyle w:val="Normal"/>
        <w:ind w:firstLine="567"/>
        <w:rPr/>
      </w:pPr>
      <w:r>
        <w:rPr>
          <w:color w:val="000000"/>
        </w:rPr>
        <w:t xml:space="preserve">        </w:t>
      </w:r>
      <w:r>
        <w:rPr>
          <w:b/>
          <w:color w:val="000000"/>
        </w:rPr>
        <w:t>Kontak</w:t>
      </w:r>
      <w:r>
        <w:rPr>
          <w:b/>
        </w:rPr>
        <w:t>t</w:t>
      </w:r>
      <w:r>
        <w:rPr>
          <w:b/>
          <w:color w:val="000000"/>
        </w:rPr>
        <w:t xml:space="preserve">: Karel Vacek, vedoucí techniky  </w:t>
      </w:r>
      <w:r>
        <w:rPr>
          <w:b/>
          <w:color w:val="000000"/>
        </w:rPr>
        <w:t>xxxxx</w:t>
      </w:r>
    </w:p>
    <w:p>
      <w:pPr>
        <w:pStyle w:val="Normal"/>
        <w:keepNext w:val="true"/>
        <w:numPr>
          <w:ilvl w:val="0"/>
          <w:numId w:val="2"/>
        </w:numPr>
        <w:ind w:left="993" w:hanging="426"/>
        <w:rPr/>
      </w:pPr>
      <w:r>
        <w:rPr/>
        <w:t>Ostatní viz. technický rider, který je přílohou této smlouvy.</w:t>
      </w:r>
    </w:p>
    <w:p>
      <w:pPr>
        <w:pStyle w:val="Normal"/>
        <w:ind w:firstLine="567"/>
        <w:rPr>
          <w:b/>
          <w:b/>
        </w:rPr>
      </w:pPr>
      <w:r>
        <w:rPr>
          <w:b/>
        </w:rPr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Pořadatel je pojištěn v objektu konání akce pro případ úrazu a majetkových škod účinkujících z jejich strany průkazně nezaviněných. V případě, že pořadatel není pojištěn, poskytuje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případné náhrady škody sám. 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/>
      </w:pPr>
      <w:r>
        <w:rPr>
          <w:sz w:val="26"/>
          <w:szCs w:val="26"/>
        </w:rPr>
        <w:t>2.5</w:t>
      </w:r>
      <w:r>
        <w:rPr>
          <w:b/>
          <w:sz w:val="26"/>
          <w:szCs w:val="26"/>
        </w:rPr>
        <w:t xml:space="preserve">     </w:t>
      </w:r>
      <w:r>
        <w:rPr/>
        <w:t xml:space="preserve">Pořadatel se zavazuje uhradit odměnu za poskytnutí licence ve výši </w:t>
      </w:r>
      <w:r>
        <w:rPr>
          <w:b/>
        </w:rPr>
        <w:t xml:space="preserve">4.250,- Kč </w:t>
      </w:r>
      <w:r>
        <w:rPr/>
        <w:t>(autor). Odměnu zaplatí pořadatel na     základě faktury vystavené Divadlem RB po uskutečnění akce.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/>
      </w:pPr>
      <w:r>
        <w:rPr>
          <w:sz w:val="26"/>
          <w:szCs w:val="26"/>
        </w:rPr>
        <w:t xml:space="preserve">2.6   </w:t>
      </w:r>
      <w:r>
        <w:rPr>
          <w:b/>
          <w:sz w:val="26"/>
          <w:szCs w:val="26"/>
        </w:rPr>
        <w:t xml:space="preserve">  </w:t>
      </w:r>
      <w:r>
        <w:rPr/>
        <w:t xml:space="preserve">Společnosti ABG PICTURES INTERNATIONAL, spol. s.r.o. se sídlem Petrohradská 3, 101 00, Praha 10, IČ: 45309086, DIČ: CZ45309086, se zavazuje zaplatit odměnu za poskytnutí licence (překlad) ve výši </w:t>
      </w:r>
      <w:r>
        <w:rPr>
          <w:b/>
        </w:rPr>
        <w:t>5% z hrubých tržeb</w:t>
      </w:r>
      <w:r>
        <w:rPr/>
        <w:t xml:space="preserve"> z uvedení díla, a to na účet: </w:t>
      </w:r>
      <w:r>
        <w:rPr/>
        <w:t>xxxxx</w:t>
      </w:r>
      <w:r>
        <w:rPr/>
        <w:t xml:space="preserve"> na základě hlášení do 5 dnů po konci měsíce a obdržené faktury od společnosti ABG PICTURES INTERNATIONAL, spol. s.r.o. 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20"/>
        <w:ind w:left="432" w:right="0" w:hanging="432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a platební ujednání</w:t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Za odehrané představení se pořadatel zavazuje zaplatit Divadlu RB částku </w:t>
      </w:r>
      <w:r>
        <w:rPr>
          <w:b/>
          <w:u w:val="single"/>
        </w:rPr>
        <w:t>69.000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 Kč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+ 21 % DPH.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Částka bude poukázána na číslo účtu: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xxxxx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v CZK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 xml:space="preserve">do sedmi dnů po odehrání představení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základě faktury zaslané DRB.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/>
        <w:numPr>
          <w:ilvl w:val="1"/>
          <w:numId w:val="1"/>
        </w:numPr>
        <w:ind w:left="578" w:hanging="578"/>
        <w:rPr>
          <w:rFonts w:ascii="Calibri" w:hAnsi="Calibri" w:eastAsia="Calibri" w:cs="Calibri"/>
          <w:color w:val="000000"/>
        </w:rPr>
      </w:pPr>
      <w:r>
        <w:rPr>
          <w:color w:val="000000"/>
        </w:rPr>
        <w:t xml:space="preserve">Cena za dopravu bude uhrazena pořadatelem bankovním převodem dopravní společnosti </w:t>
      </w:r>
      <w:r>
        <w:rPr>
          <w:b/>
        </w:rPr>
        <w:t>FORTRESS QUEEN s.r.o</w:t>
      </w:r>
      <w:r>
        <w:rPr/>
        <w:t>. Trojanova 2022/12, Nové Město (Praha 2), 120 00 Praha,</w:t>
      </w:r>
    </w:p>
    <w:p>
      <w:pPr>
        <w:pStyle w:val="Normal"/>
        <w:keepNext w:val="true"/>
        <w:keepLines/>
        <w:ind w:left="576" w:hanging="0"/>
        <w:rPr>
          <w:color w:val="000000"/>
        </w:rPr>
      </w:pPr>
      <w:r>
        <w:rPr/>
        <w:t xml:space="preserve"> </w:t>
      </w:r>
      <w:r>
        <w:rPr/>
        <w:t xml:space="preserve">IČ: 08931798 DIČ: CZ08931798 (zapsána : C 327734/MSPH Městský soud v Praze), do sedmi dnů, na základě vydané faktury. Cena za dopravu celkem: </w:t>
      </w:r>
      <w:r>
        <w:rPr>
          <w:b/>
        </w:rPr>
        <w:t xml:space="preserve">13.500 </w:t>
      </w:r>
      <w:r>
        <w:rPr>
          <w:b/>
          <w:color w:val="000000"/>
        </w:rPr>
        <w:t>Kč + 21% DPH.</w:t>
      </w:r>
      <w:r>
        <w:rPr>
          <w:color w:val="000000"/>
        </w:rPr>
        <w:t xml:space="preserve"> </w:t>
      </w:r>
    </w:p>
    <w:p>
      <w:pPr>
        <w:pStyle w:val="Normal"/>
        <w:keepNext w:val="true"/>
        <w:keepLines/>
        <w:ind w:left="578" w:hanging="0"/>
        <w:rPr/>
      </w:pPr>
      <w:r>
        <w:rPr>
          <w:color w:val="000000"/>
        </w:rPr>
        <w:t xml:space="preserve">Kontakt na dopravní společnost: </w:t>
      </w:r>
      <w:r>
        <w:rPr/>
        <w:t xml:space="preserve">Lukáš Malínek , tel.: </w:t>
      </w:r>
      <w:r>
        <w:rPr/>
        <w:t>xxxxx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120"/>
        <w:ind w:left="432" w:right="0" w:hanging="432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Společná ujednání</w:t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Bude-li představení zrušeno v důsledku nepředvídané, nebo neodvratitelné události (přírodní katastrofa, havárie, epidemie, vážné onemocnění), mají obě strany právo od smlouvy odstoupit bez nároku na finanční náhradu škody, pokud se nedohodnou jinak.</w:t>
      </w:r>
      <w:r>
        <w:rPr/>
        <w:t xml:space="preserve"> Neplatí pro případ, kdy výše zmíněné události neumožní představení odehrát nebo dohrát, ačkoli jsou všichni účinkující připraveni na místě konání.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Malý zájem o vstupenky není důvodem k odstoupení od smlouvy.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keepNext w:val="true"/>
        <w:keepLines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576" w:right="0" w:hanging="576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případě, že se představení neuskuteční z výše uvedených důvodů (ad 4.1) souhlasí obě strany s náhradním termínem popř. náhradním titulem.     </w:t>
      </w:r>
    </w:p>
    <w:p>
      <w:pPr>
        <w:pStyle w:val="Normal"/>
        <w:rPr/>
      </w:pPr>
      <w:r>
        <w:rPr/>
        <w:tab/>
      </w:r>
    </w:p>
    <w:p>
      <w:pPr>
        <w:pStyle w:val="Normal"/>
        <w:keepNext w:val="true"/>
        <w:keepLines/>
        <w:numPr>
          <w:ilvl w:val="1"/>
          <w:numId w:val="3"/>
        </w:numPr>
        <w:spacing w:lineRule="auto" w:line="240" w:before="0" w:after="120"/>
        <w:ind w:left="360" w:hanging="36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 xml:space="preserve">Bude-li smlouva vypovězena z jiných důvodů než </w:t>
      </w:r>
      <w:r>
        <w:rPr/>
        <w:t xml:space="preserve">jsou uvedeny </w:t>
      </w:r>
      <w:r>
        <w:rPr>
          <w:color w:val="000000"/>
        </w:rPr>
        <w:t xml:space="preserve">v bodě 4. 1.  </w:t>
      </w:r>
      <w:r>
        <w:rPr>
          <w:color w:val="000000"/>
          <w:u w:val="single"/>
        </w:rPr>
        <w:t>do sedmi dnů</w:t>
      </w:r>
      <w:r>
        <w:rPr>
          <w:color w:val="000000"/>
        </w:rPr>
        <w:t xml:space="preserve">   před sjednaným termínem ze strany:</w:t>
      </w:r>
    </w:p>
    <w:p>
      <w:pPr>
        <w:pStyle w:val="Normal"/>
        <w:rPr/>
      </w:pPr>
      <w:r>
        <w:rPr/>
        <w:t xml:space="preserve">          </w:t>
      </w:r>
      <w:r>
        <w:rPr/>
        <w:t>a) pořadatele, uhradí pořadatel DRB polovinu ze smluvní částky</w:t>
      </w:r>
    </w:p>
    <w:p>
      <w:pPr>
        <w:pStyle w:val="Normal"/>
        <w:rPr/>
      </w:pPr>
      <w:r>
        <w:rPr/>
        <w:t xml:space="preserve">          </w:t>
      </w:r>
      <w:r>
        <w:rPr/>
        <w:t>b) DRB, uhradí DRB pořadateli náklady, vzniklé se zrušením představení</w:t>
      </w:r>
    </w:p>
    <w:p>
      <w:pPr>
        <w:pStyle w:val="Normal"/>
        <w:ind w:left="567" w:hanging="0"/>
        <w:rPr/>
      </w:pPr>
      <w:r>
        <w:rPr/>
      </w:r>
    </w:p>
    <w:p>
      <w:pPr>
        <w:pStyle w:val="Normal"/>
        <w:ind w:firstLine="567"/>
        <w:rPr>
          <w:b/>
          <w:b/>
        </w:rPr>
      </w:pPr>
      <w:r>
        <w:rPr/>
        <w:t xml:space="preserve">Bude-li smlouva vypovězena ve lhůtě </w:t>
      </w:r>
      <w:r>
        <w:rPr>
          <w:u w:val="single"/>
        </w:rPr>
        <w:t>kratší než sedm dní</w:t>
      </w:r>
      <w:r>
        <w:rPr/>
        <w:t xml:space="preserve"> před sjednaným termínem</w:t>
      </w:r>
    </w:p>
    <w:p>
      <w:pPr>
        <w:pStyle w:val="Normal"/>
        <w:ind w:left="567" w:hanging="0"/>
        <w:rPr>
          <w:b/>
          <w:b/>
        </w:rPr>
      </w:pPr>
      <w:r>
        <w:rPr/>
        <w:t>představení ze strany:</w:t>
        <w:br/>
      </w:r>
    </w:p>
    <w:p>
      <w:pPr>
        <w:pStyle w:val="Normal"/>
        <w:ind w:left="567" w:hanging="0"/>
        <w:rPr>
          <w:b/>
          <w:b/>
        </w:rPr>
      </w:pPr>
      <w:r>
        <w:rPr/>
        <w:t>a) pořadatele, uhradí pořadatel DRB smluvní částku v plné výši</w:t>
      </w:r>
    </w:p>
    <w:p>
      <w:pPr>
        <w:pStyle w:val="Normal"/>
        <w:ind w:left="567" w:hanging="0"/>
        <w:rPr>
          <w:b/>
          <w:b/>
        </w:rPr>
      </w:pPr>
      <w:r>
        <w:rPr/>
        <w:t>b) DRB, uhradí DRB pořadateli náklady, vzniklé se zrušením představení</w:t>
      </w:r>
    </w:p>
    <w:p>
      <w:pPr>
        <w:pStyle w:val="Normal"/>
        <w:keepNext w:val="true"/>
        <w:keepLines/>
        <w:numPr>
          <w:ilvl w:val="1"/>
          <w:numId w:val="3"/>
        </w:numPr>
        <w:spacing w:lineRule="auto" w:line="240" w:before="120" w:after="0"/>
        <w:ind w:left="360" w:hanging="36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Změna této smlouvy je možná pouze na základě písemné dohody obou smluvních stran.</w:t>
      </w:r>
    </w:p>
    <w:p>
      <w:pPr>
        <w:pStyle w:val="Normal"/>
        <w:keepNext w:val="true"/>
        <w:keepLines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numPr>
          <w:ilvl w:val="1"/>
          <w:numId w:val="3"/>
        </w:numPr>
        <w:ind w:left="357" w:hanging="360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 xml:space="preserve">Tato smlouva je vyhotovena ve dvou stejnopisech, z nichž každá smluvní strana obdrží po </w:t>
      </w:r>
    </w:p>
    <w:p>
      <w:pPr>
        <w:pStyle w:val="Normal"/>
        <w:keepNext w:val="true"/>
        <w:keepLines/>
        <w:ind w:left="357" w:hanging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jednom vyhotovení.</w:t>
      </w:r>
    </w:p>
    <w:p>
      <w:pPr>
        <w:pStyle w:val="Normal"/>
        <w:keepNext w:val="true"/>
        <w:keepLines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numPr>
          <w:ilvl w:val="1"/>
          <w:numId w:val="3"/>
        </w:numPr>
        <w:ind w:left="578" w:hanging="578"/>
        <w:rPr>
          <w:color w:val="000000"/>
        </w:rPr>
      </w:pPr>
      <w:r>
        <w:rPr>
          <w:color w:val="000000"/>
        </w:rPr>
        <w:t>Tato smlouva nabývá platnosti dnem podpisu obou smluvních stran.</w:t>
      </w:r>
    </w:p>
    <w:p>
      <w:pPr>
        <w:pStyle w:val="Normal"/>
        <w:keepNext w:val="true"/>
        <w:keepLines/>
        <w:spacing w:lineRule="auto" w:line="240" w:before="0" w:after="120"/>
        <w:ind w:left="567" w:hanging="0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spacing w:lineRule="auto" w:line="240" w:before="0" w:after="120"/>
        <w:ind w:left="567" w:hanging="0"/>
        <w:rPr>
          <w:color w:val="000000"/>
        </w:rPr>
      </w:pPr>
      <w:r>
        <w:rPr>
          <w:color w:val="000000"/>
        </w:rPr>
        <w:br/>
      </w:r>
    </w:p>
    <w:p>
      <w:pPr>
        <w:pStyle w:val="Normal"/>
        <w:rPr/>
      </w:pPr>
      <w:r>
        <w:rPr/>
        <w:t>V Praze dne 14.8. 2024</w:t>
        <w:tab/>
        <w:tab/>
        <w:tab/>
        <w:tab/>
        <w:t xml:space="preserve">             V </w:t>
      </w:r>
      <w:r>
        <w:rPr/>
        <w:t>Jaroměři d</w:t>
      </w:r>
      <w:r>
        <w:rPr/>
        <w:t>n</w:t>
      </w:r>
      <w:r>
        <w:rPr/>
        <w:t>e 15. 8. 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</w:t>
      </w:r>
      <w:r>
        <w:rPr/>
        <w:t>...</w:t>
        <w:tab/>
        <w:tab/>
        <w:tab/>
        <w:t>……………………………………..............</w:t>
      </w:r>
    </w:p>
    <w:p>
      <w:pPr>
        <w:pStyle w:val="Normal"/>
        <w:keepNext w:val="true"/>
        <w:rPr>
          <w:b/>
          <w:b/>
        </w:rPr>
      </w:pPr>
      <w:r>
        <w:rPr>
          <w:b/>
        </w:rPr>
        <w:t>Mgr. Romana Janáková, jednatelka</w:t>
        <w:tab/>
        <w:tab/>
        <w:tab/>
        <w:tab/>
        <w:t xml:space="preserve">     </w:t>
      </w:r>
      <w:r>
        <w:rPr>
          <w:b/>
          <w:color w:val="222222"/>
          <w:highlight w:val="white"/>
        </w:rPr>
        <w:t xml:space="preserve">    Monika Brychová  </w:t>
      </w:r>
      <w:r>
        <w:rPr>
          <w:b/>
        </w:rPr>
        <w:tab/>
        <w:tab/>
      </w:r>
    </w:p>
    <w:p>
      <w:pPr>
        <w:pStyle w:val="Normal"/>
        <w:keepNext w:val="true"/>
        <w:rPr>
          <w:b/>
          <w:b/>
        </w:rPr>
      </w:pPr>
      <w:r>
        <w:rPr>
          <w:b/>
        </w:rPr>
        <w:t xml:space="preserve">             </w:t>
      </w:r>
      <w:r>
        <w:rPr>
          <w:b/>
        </w:rPr>
        <w:t>Divadlo RB, s. r. o.</w:t>
        <w:tab/>
        <w:tab/>
        <w:tab/>
        <w:tab/>
        <w:t xml:space="preserve">                            ředitelka </w:t>
      </w:r>
    </w:p>
    <w:p>
      <w:pPr>
        <w:pStyle w:val="Normal"/>
        <w:keepNext w:val="true"/>
        <w:keepLines/>
        <w:pageBreakBefore w:val="false"/>
        <w:widowControl/>
        <w:pBdr/>
        <w:shd w:val="clear" w:fill="auto"/>
        <w:spacing w:lineRule="auto" w:line="240" w:before="0" w:after="120"/>
        <w:ind w:left="56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ind w:firstLine="720"/>
        <w:rPr/>
      </w:pPr>
      <w:r>
        <w:rPr/>
        <w:tab/>
        <w:t xml:space="preserve">       </w:t>
        <w:tab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Normal"/>
    <w:next w:val="Normal"/>
    <w:uiPriority w:val="9"/>
    <w:qFormat/>
    <w:pPr>
      <w:keepNext w:val="true"/>
      <w:keepLines/>
      <w:spacing w:before="0" w:after="120"/>
      <w:ind w:left="567" w:hanging="567"/>
      <w:outlineLvl w:val="0"/>
    </w:pPr>
    <w:rPr>
      <w:b/>
      <w:color w:val="000000"/>
      <w:sz w:val="24"/>
      <w:szCs w:val="24"/>
    </w:rPr>
  </w:style>
  <w:style w:type="paragraph" w:styleId="Nadpis2">
    <w:name w:val="Heading 2"/>
    <w:basedOn w:val="Normal"/>
    <w:next w:val="Normal"/>
    <w:uiPriority w:val="9"/>
    <w:unhideWhenUsed/>
    <w:qFormat/>
    <w:pPr>
      <w:keepNext w:val="true"/>
      <w:keepLines/>
      <w:spacing w:before="0" w:after="120"/>
      <w:ind w:left="576" w:hanging="576"/>
      <w:outlineLvl w:val="1"/>
    </w:pPr>
    <w:rPr>
      <w:color w:val="000000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00" w:after="0"/>
      <w:ind w:left="720" w:hanging="720"/>
      <w:outlineLvl w:val="2"/>
    </w:pPr>
    <w:rPr>
      <w:rFonts w:ascii="Cambria" w:hAnsi="Cambria" w:eastAsia="Cambria" w:cs="Cambria"/>
      <w:b/>
      <w:color w:val="4F81BD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00" w:after="0"/>
      <w:ind w:left="864" w:hanging="864"/>
      <w:outlineLvl w:val="3"/>
    </w:pPr>
    <w:rPr>
      <w:rFonts w:ascii="Cambria" w:hAnsi="Cambria" w:eastAsia="Cambria" w:cs="Cambria"/>
      <w:b/>
      <w:i/>
      <w:color w:val="4F81BD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00" w:after="0"/>
      <w:ind w:left="1008" w:hanging="1008"/>
      <w:outlineLvl w:val="4"/>
    </w:pPr>
    <w:rPr>
      <w:rFonts w:ascii="Cambria" w:hAnsi="Cambria" w:eastAsia="Cambria" w:cs="Cambria"/>
      <w:color w:val="243F61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0"/>
      <w:ind w:left="1152" w:hanging="1152"/>
      <w:outlineLvl w:val="5"/>
    </w:pPr>
    <w:rPr>
      <w:rFonts w:ascii="Cambria" w:hAnsi="Cambria" w:eastAsia="Cambria" w:cs="Cambria"/>
      <w:i/>
      <w:color w:val="243F6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uiPriority w:val="1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0L2ySDrQ2WbDG2MRhkfVINNnVXg==">CgMxLjA4AHIhMV81QkxLNXNvdHpPZmw0S2hKVmdUekNCVEczTWUzOXZF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LibreOffice/6.3.4.2$Windows_X86_64 LibreOffice_project/60da17e045e08f1793c57c00ba83cdfce946d0aa</Application>
  <Pages>4</Pages>
  <Words>733</Words>
  <Characters>4155</Characters>
  <CharactersWithSpaces>5162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2024-06-20T11:22:00Z</dcterms:created>
  <dc:creator>produkce</dc:creator>
  <dc:description/>
  <dc:language>cs-CZ</dc:language>
  <cp:lastModifiedBy/>
  <dcterms:modified xsi:type="dcterms:W3CDTF">2024-08-16T09:42:53Z</dcterms:modified>
  <cp:revision>2</cp:revision>
  <dc:subject/>
  <dc:title/>
</cp:coreProperties>
</file>