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E86D" w14:textId="77777777" w:rsidR="0027582B" w:rsidRDefault="0027582B" w:rsidP="0027582B">
      <w:pPr>
        <w:pStyle w:val="StylDoprava"/>
        <w:rPr>
          <w:rFonts w:cs="Arial"/>
          <w:sz w:val="22"/>
          <w:szCs w:val="22"/>
        </w:rPr>
      </w:pPr>
      <w:r>
        <w:rPr>
          <w:rFonts w:cs="Arial"/>
          <w:sz w:val="22"/>
          <w:szCs w:val="22"/>
        </w:rPr>
        <w:t>Čj.:SPU 360697/2023/Vaš</w:t>
      </w:r>
    </w:p>
    <w:p w14:paraId="373B8CB8" w14:textId="77777777" w:rsidR="0027582B" w:rsidRDefault="0027582B" w:rsidP="0027582B">
      <w:pPr>
        <w:pStyle w:val="StylDoprava"/>
        <w:rPr>
          <w:rFonts w:cs="Arial"/>
          <w:sz w:val="22"/>
          <w:szCs w:val="22"/>
        </w:rPr>
      </w:pPr>
      <w:r>
        <w:rPr>
          <w:rFonts w:cs="Arial"/>
          <w:sz w:val="22"/>
          <w:szCs w:val="22"/>
        </w:rPr>
        <w:t>UID:spuess8c17876a</w:t>
      </w:r>
    </w:p>
    <w:p w14:paraId="029230A3"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3D607CC3"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399F0A60"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55DE4EF"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1E24796C"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Petr Lázňovský, ředitel Krajského pozemkového úřadu pro Královéhradecký kraj</w:t>
      </w:r>
    </w:p>
    <w:p w14:paraId="7852DA7B" w14:textId="77777777" w:rsidR="00FB6E4E" w:rsidRPr="00A2149C" w:rsidRDefault="00BC17A6" w:rsidP="000B0AA7">
      <w:pPr>
        <w:pStyle w:val="VnitrniText"/>
        <w:ind w:firstLine="0"/>
        <w:rPr>
          <w:sz w:val="22"/>
          <w:szCs w:val="22"/>
        </w:rPr>
      </w:pPr>
      <w:r w:rsidRPr="00A2149C">
        <w:rPr>
          <w:sz w:val="22"/>
          <w:szCs w:val="22"/>
        </w:rPr>
        <w:t>adresa Kydlinovská 245, 50301 Hradec Králové</w:t>
      </w:r>
    </w:p>
    <w:p w14:paraId="1D948E02"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71896CD" w14:textId="77777777" w:rsidR="00BC17A6" w:rsidRPr="00A2149C" w:rsidRDefault="00BC17A6" w:rsidP="000B0AA7">
      <w:pPr>
        <w:pStyle w:val="VnitrniText"/>
        <w:ind w:firstLine="0"/>
        <w:rPr>
          <w:sz w:val="22"/>
          <w:szCs w:val="22"/>
        </w:rPr>
      </w:pPr>
    </w:p>
    <w:p w14:paraId="355E1987" w14:textId="77777777" w:rsidR="00CF17C0" w:rsidRPr="00A2149C" w:rsidRDefault="00CF17C0" w:rsidP="000B0AA7">
      <w:pPr>
        <w:pStyle w:val="VnitrniText"/>
        <w:ind w:firstLine="0"/>
        <w:rPr>
          <w:sz w:val="22"/>
          <w:szCs w:val="22"/>
        </w:rPr>
      </w:pPr>
      <w:r w:rsidRPr="00A2149C">
        <w:rPr>
          <w:sz w:val="22"/>
          <w:szCs w:val="22"/>
        </w:rPr>
        <w:t>a</w:t>
      </w:r>
    </w:p>
    <w:p w14:paraId="76062ED3" w14:textId="77777777" w:rsidR="00BC17A6" w:rsidRPr="00A2149C" w:rsidRDefault="00BC17A6" w:rsidP="000B0AA7">
      <w:pPr>
        <w:pStyle w:val="VnitrniText"/>
        <w:ind w:firstLine="0"/>
        <w:rPr>
          <w:sz w:val="22"/>
          <w:szCs w:val="22"/>
        </w:rPr>
      </w:pPr>
    </w:p>
    <w:p w14:paraId="663F4C3C" w14:textId="77777777" w:rsidR="00BC17A6" w:rsidRPr="00A2149C" w:rsidRDefault="00BC17A6" w:rsidP="000B0AA7">
      <w:pPr>
        <w:pStyle w:val="VnitrniText"/>
        <w:ind w:firstLine="0"/>
        <w:rPr>
          <w:sz w:val="22"/>
          <w:szCs w:val="22"/>
        </w:rPr>
      </w:pPr>
      <w:r w:rsidRPr="00A2149C">
        <w:rPr>
          <w:b/>
          <w:sz w:val="22"/>
          <w:szCs w:val="22"/>
        </w:rPr>
        <w:t>ARRAKIS, spol. s r.o.</w:t>
      </w:r>
    </w:p>
    <w:p w14:paraId="255C961B" w14:textId="77777777" w:rsidR="00BC17A6" w:rsidRPr="00A2149C" w:rsidRDefault="00BC17A6" w:rsidP="000B0AA7">
      <w:pPr>
        <w:pStyle w:val="VnitrniText"/>
        <w:ind w:firstLine="0"/>
        <w:rPr>
          <w:sz w:val="22"/>
          <w:szCs w:val="22"/>
        </w:rPr>
      </w:pPr>
      <w:r w:rsidRPr="00A2149C">
        <w:rPr>
          <w:sz w:val="22"/>
          <w:szCs w:val="22"/>
        </w:rPr>
        <w:t>se sídlem Revoluční 264, Žacléř, PSČ 54201</w:t>
      </w:r>
    </w:p>
    <w:p w14:paraId="6BF74A65" w14:textId="77777777" w:rsidR="00BC17A6" w:rsidRPr="00A2149C" w:rsidRDefault="00BC17A6" w:rsidP="000B0AA7">
      <w:pPr>
        <w:pStyle w:val="VnitrniText"/>
        <w:ind w:firstLine="0"/>
        <w:rPr>
          <w:sz w:val="22"/>
          <w:szCs w:val="22"/>
        </w:rPr>
      </w:pPr>
      <w:r w:rsidRPr="00A2149C">
        <w:rPr>
          <w:sz w:val="22"/>
          <w:szCs w:val="22"/>
        </w:rPr>
        <w:t>IČO: 60109637, zapsán v obchodním rejstříku, vedeném Krajským soudem v Hradci Králové, oddíl C, vložka 5303, za kt. jedná Ticháček Tomáš, jednatel společnosti</w:t>
      </w:r>
    </w:p>
    <w:p w14:paraId="08EDF490" w14:textId="77777777" w:rsidR="00BC17A6" w:rsidRPr="00A2149C" w:rsidRDefault="00BC17A6" w:rsidP="000B0AA7">
      <w:pPr>
        <w:pStyle w:val="VnitrniText"/>
        <w:ind w:firstLine="0"/>
        <w:rPr>
          <w:sz w:val="22"/>
          <w:szCs w:val="22"/>
        </w:rPr>
      </w:pPr>
      <w:r w:rsidRPr="00A2149C">
        <w:rPr>
          <w:sz w:val="22"/>
          <w:szCs w:val="22"/>
        </w:rPr>
        <w:t>(dále jen "nabyvatel")</w:t>
      </w:r>
    </w:p>
    <w:p w14:paraId="2BCBF322" w14:textId="77777777" w:rsidR="00BC17A6" w:rsidRPr="00A2149C" w:rsidRDefault="00BC17A6" w:rsidP="000B0AA7">
      <w:pPr>
        <w:pStyle w:val="VnitrniText"/>
        <w:ind w:firstLine="0"/>
        <w:rPr>
          <w:sz w:val="22"/>
          <w:szCs w:val="22"/>
        </w:rPr>
      </w:pPr>
    </w:p>
    <w:p w14:paraId="4A3B2961" w14:textId="77777777" w:rsidR="00CF17C0" w:rsidRPr="00A2149C" w:rsidRDefault="00CF17C0" w:rsidP="000B0AA7">
      <w:pPr>
        <w:pStyle w:val="VnitrniText"/>
        <w:ind w:firstLine="0"/>
        <w:rPr>
          <w:sz w:val="22"/>
          <w:szCs w:val="22"/>
        </w:rPr>
      </w:pPr>
    </w:p>
    <w:p w14:paraId="5AAF59C2"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4135A6B" w14:textId="77777777" w:rsidR="00CF17C0" w:rsidRPr="00A2149C" w:rsidRDefault="00CF17C0" w:rsidP="001274AE">
      <w:pPr>
        <w:rPr>
          <w:rFonts w:ascii="Arial" w:hAnsi="Arial" w:cs="Arial"/>
          <w:sz w:val="22"/>
          <w:szCs w:val="22"/>
        </w:rPr>
      </w:pPr>
    </w:p>
    <w:p w14:paraId="458086C6" w14:textId="77777777" w:rsidR="00830569" w:rsidRPr="00A2149C" w:rsidRDefault="00830569" w:rsidP="001274AE">
      <w:pPr>
        <w:rPr>
          <w:rFonts w:ascii="Arial" w:hAnsi="Arial" w:cs="Arial"/>
          <w:sz w:val="22"/>
          <w:szCs w:val="22"/>
        </w:rPr>
      </w:pPr>
    </w:p>
    <w:p w14:paraId="6EBF33D7"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3834BE1C"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2008S23/54</w:t>
      </w:r>
    </w:p>
    <w:p w14:paraId="5A6E0D84" w14:textId="77777777" w:rsidR="00CF17C0" w:rsidRPr="00A2149C" w:rsidRDefault="00CF17C0" w:rsidP="00D06D0F">
      <w:pPr>
        <w:rPr>
          <w:rFonts w:ascii="Arial" w:hAnsi="Arial" w:cs="Arial"/>
          <w:sz w:val="22"/>
          <w:szCs w:val="22"/>
        </w:rPr>
      </w:pPr>
    </w:p>
    <w:p w14:paraId="4B095685" w14:textId="77777777" w:rsidR="00CF17C0" w:rsidRPr="00A2149C" w:rsidRDefault="00CF17C0" w:rsidP="00D06D0F">
      <w:pPr>
        <w:rPr>
          <w:rFonts w:ascii="Arial" w:hAnsi="Arial" w:cs="Arial"/>
          <w:sz w:val="22"/>
          <w:szCs w:val="22"/>
        </w:rPr>
      </w:pPr>
    </w:p>
    <w:p w14:paraId="404916CA"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EFC217E"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399DBE02" w14:textId="77777777" w:rsidR="008505AD" w:rsidRPr="00A2149C" w:rsidRDefault="008505AD" w:rsidP="000B0AA7">
      <w:pPr>
        <w:pStyle w:val="VnitrniText"/>
        <w:ind w:firstLine="0"/>
        <w:rPr>
          <w:sz w:val="22"/>
          <w:szCs w:val="22"/>
        </w:rPr>
      </w:pPr>
      <w:r w:rsidRPr="00A2149C">
        <w:rPr>
          <w:sz w:val="22"/>
          <w:szCs w:val="22"/>
        </w:rPr>
        <w:t>Pozemek:</w:t>
      </w:r>
    </w:p>
    <w:p w14:paraId="738F2765" w14:textId="77777777" w:rsidR="008505AD" w:rsidRPr="00112F3C" w:rsidRDefault="008505AD" w:rsidP="00112F3C">
      <w:pPr>
        <w:pStyle w:val="cary"/>
      </w:pPr>
      <w:r w:rsidRPr="00112F3C">
        <w:t>------------------------------------------------------------------------------------------------------------------------</w:t>
      </w:r>
      <w:r w:rsidR="00E60971" w:rsidRPr="00112F3C">
        <w:t>--</w:t>
      </w:r>
      <w:r w:rsidR="007431BA" w:rsidRPr="00112F3C">
        <w:t>-----------</w:t>
      </w:r>
    </w:p>
    <w:p w14:paraId="55E7314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15A0D58" w14:textId="77777777" w:rsidR="007431BA" w:rsidRPr="007431BA" w:rsidRDefault="007431BA" w:rsidP="00112F3C">
      <w:pPr>
        <w:pStyle w:val="cary"/>
      </w:pPr>
      <w:r w:rsidRPr="007431BA">
        <w:t>-------------------------------------------------------------------------------------------------------------------------------------</w:t>
      </w:r>
    </w:p>
    <w:p w14:paraId="16BEA45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AB2658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Žacléř</w:t>
      </w:r>
      <w:r w:rsidRPr="00257EB0">
        <w:rPr>
          <w:rStyle w:val="tabulkyNemovitosti"/>
        </w:rPr>
        <w:tab/>
        <w:t>Prkenný Důl</w:t>
      </w:r>
      <w:r w:rsidRPr="00257EB0">
        <w:rPr>
          <w:rStyle w:val="tabulkyNemovitosti"/>
        </w:rPr>
        <w:tab/>
        <w:t>14/1</w:t>
      </w:r>
      <w:r w:rsidRPr="00257EB0">
        <w:rPr>
          <w:rStyle w:val="tabulkyNemovitosti"/>
        </w:rPr>
        <w:tab/>
        <w:t>ostatní plocha</w:t>
      </w:r>
      <w:r w:rsidRPr="00257EB0">
        <w:rPr>
          <w:rStyle w:val="tabulkyNemovitosti"/>
        </w:rPr>
        <w:tab/>
        <w:t>10002</w:t>
      </w:r>
    </w:p>
    <w:p w14:paraId="18ECFAE7" w14:textId="77777777" w:rsidR="007431BA" w:rsidRPr="007431BA" w:rsidRDefault="007431BA" w:rsidP="00112F3C">
      <w:pPr>
        <w:pStyle w:val="cary"/>
      </w:pPr>
      <w:r w:rsidRPr="007431BA">
        <w:t>-------------------------------------------------------------------------------------------------------------------------------------</w:t>
      </w:r>
    </w:p>
    <w:p w14:paraId="56623F1E"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Královéhradecký kraj , Katastrální pracoviště Trutnov.</w:t>
      </w:r>
    </w:p>
    <w:p w14:paraId="121C3B84" w14:textId="77777777" w:rsidR="003D2D95" w:rsidRDefault="003D2D95" w:rsidP="003D2D95">
      <w:pPr>
        <w:pStyle w:val="VnitrniText"/>
        <w:ind w:firstLine="0"/>
      </w:pPr>
    </w:p>
    <w:p w14:paraId="6023F3B8"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5E49BF98" w14:textId="77777777" w:rsidR="006E33CA" w:rsidRDefault="006E33CA" w:rsidP="001274AE">
      <w:pPr>
        <w:rPr>
          <w:rFonts w:ascii="Arial" w:hAnsi="Arial" w:cs="Arial"/>
          <w:sz w:val="22"/>
          <w:szCs w:val="22"/>
        </w:rPr>
      </w:pPr>
    </w:p>
    <w:p w14:paraId="4E481DAF"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770 490,00 Kč</w:t>
      </w:r>
      <w:r>
        <w:rPr>
          <w:rFonts w:ascii="Arial" w:hAnsi="Arial" w:cs="Arial"/>
          <w:iCs/>
          <w:sz w:val="22"/>
          <w:szCs w:val="22"/>
        </w:rPr>
        <w:t xml:space="preserve"> (slovy: </w:t>
      </w:r>
      <w:r w:rsidR="001A2AD4">
        <w:rPr>
          <w:rFonts w:ascii="Arial" w:hAnsi="Arial" w:cs="Arial"/>
          <w:iCs/>
          <w:sz w:val="22"/>
          <w:szCs w:val="22"/>
        </w:rPr>
        <w:t>sedm set sedmdesát tisíc čtyři sta devadesát korun českých</w:t>
      </w:r>
      <w:r>
        <w:rPr>
          <w:rFonts w:ascii="Arial" w:hAnsi="Arial" w:cs="Arial"/>
          <w:iCs/>
          <w:sz w:val="22"/>
          <w:szCs w:val="22"/>
        </w:rPr>
        <w:t>)</w:t>
      </w:r>
      <w:r>
        <w:rPr>
          <w:rFonts w:ascii="Arial" w:hAnsi="Arial" w:cs="Arial"/>
          <w:color w:val="000000"/>
          <w:sz w:val="22"/>
          <w:szCs w:val="22"/>
        </w:rPr>
        <w:t xml:space="preserve">. </w:t>
      </w:r>
    </w:p>
    <w:p w14:paraId="3FA798E4" w14:textId="77777777" w:rsidR="00E6010E" w:rsidRPr="00A2149C" w:rsidRDefault="00E6010E" w:rsidP="001274AE">
      <w:pPr>
        <w:rPr>
          <w:rFonts w:ascii="Arial" w:hAnsi="Arial" w:cs="Arial"/>
          <w:sz w:val="22"/>
          <w:szCs w:val="22"/>
        </w:rPr>
      </w:pPr>
    </w:p>
    <w:p w14:paraId="1BA14643"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15112D3E" w14:textId="77777777" w:rsidR="00F533CB" w:rsidRDefault="00F533CB" w:rsidP="00F533CB">
      <w:pPr>
        <w:pStyle w:val="VnitrniText"/>
        <w:ind w:firstLine="0"/>
        <w:rPr>
          <w:sz w:val="22"/>
          <w:szCs w:val="22"/>
        </w:rPr>
      </w:pPr>
      <w:r>
        <w:rPr>
          <w:sz w:val="22"/>
          <w:szCs w:val="22"/>
        </w:rPr>
        <w:t xml:space="preserve">Nabyvatel je vlastníkem nemovitých věcí: </w:t>
      </w:r>
    </w:p>
    <w:p w14:paraId="4F016024" w14:textId="77777777" w:rsidR="00F533CB" w:rsidRDefault="00F533CB" w:rsidP="00F533CB">
      <w:pPr>
        <w:pStyle w:val="VnitrniText"/>
        <w:ind w:firstLine="0"/>
        <w:rPr>
          <w:sz w:val="22"/>
          <w:szCs w:val="22"/>
        </w:rPr>
      </w:pPr>
      <w:r>
        <w:rPr>
          <w:sz w:val="22"/>
          <w:szCs w:val="22"/>
        </w:rPr>
        <w:t>Pozemků:</w:t>
      </w:r>
    </w:p>
    <w:p w14:paraId="02D21CE6" w14:textId="77777777" w:rsidR="00F533CB" w:rsidRDefault="00F533CB" w:rsidP="00F533CB">
      <w:pPr>
        <w:pStyle w:val="cary"/>
      </w:pPr>
      <w:r>
        <w:t>-------------------------------------------------------------------------------------------------------------------------------------</w:t>
      </w:r>
    </w:p>
    <w:p w14:paraId="51AB5289"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348A2757" w14:textId="77777777" w:rsidR="00F533CB" w:rsidRPr="00F533CB" w:rsidRDefault="00F533CB" w:rsidP="00F533CB">
      <w:pPr>
        <w:pStyle w:val="cary"/>
      </w:pPr>
      <w:r>
        <w:t>-------------------------------------------------------------------------------------------------------------------------------------</w:t>
      </w:r>
    </w:p>
    <w:p w14:paraId="33140FB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23ABDAE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Žacléř</w:t>
      </w:r>
      <w:r w:rsidRPr="00F533CB">
        <w:rPr>
          <w:rStyle w:val="tabulkyNemovitosti"/>
        </w:rPr>
        <w:tab/>
        <w:t>Bobr</w:t>
      </w:r>
      <w:r w:rsidRPr="00F533CB">
        <w:rPr>
          <w:rStyle w:val="tabulkyNemovitosti"/>
        </w:rPr>
        <w:tab/>
        <w:t>529/10</w:t>
      </w:r>
      <w:r w:rsidRPr="00F533CB">
        <w:rPr>
          <w:rStyle w:val="tabulkyNemovitosti"/>
        </w:rPr>
        <w:tab/>
        <w:t>trvalý travní porost</w:t>
      </w:r>
      <w:r w:rsidRPr="00F533CB">
        <w:rPr>
          <w:rStyle w:val="tabulkyNemovitosti"/>
        </w:rPr>
        <w:tab/>
        <w:t>1315</w:t>
      </w:r>
    </w:p>
    <w:p w14:paraId="12F9168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Královéhradecký kraj, Katastrální pracoviště Trutnov</w:t>
      </w:r>
    </w:p>
    <w:p w14:paraId="78E1E745" w14:textId="77777777" w:rsidR="00F533CB" w:rsidRPr="00F533CB" w:rsidRDefault="00F533CB" w:rsidP="00F533CB">
      <w:pPr>
        <w:pStyle w:val="cary"/>
      </w:pPr>
      <w:r>
        <w:t>-------------------------------------------------------------------------------------------------------------------------------------</w:t>
      </w:r>
    </w:p>
    <w:p w14:paraId="0D72450B" w14:textId="00A4EF08" w:rsidR="00F533CB" w:rsidRDefault="00F533CB" w:rsidP="00F533CB">
      <w:pPr>
        <w:jc w:val="both"/>
        <w:rPr>
          <w:rFonts w:ascii="Arial" w:hAnsi="Arial" w:cs="Arial"/>
          <w:sz w:val="22"/>
          <w:szCs w:val="22"/>
        </w:rPr>
      </w:pPr>
      <w:r>
        <w:rPr>
          <w:rFonts w:ascii="Arial" w:hAnsi="Arial" w:cs="Arial"/>
          <w:sz w:val="22"/>
          <w:szCs w:val="22"/>
        </w:rPr>
        <w:t>(dále jen „směňované nemovitosti“).</w:t>
      </w:r>
    </w:p>
    <w:p w14:paraId="73CF7DF3" w14:textId="77777777" w:rsidR="00F533CB" w:rsidRDefault="00F533CB" w:rsidP="00F533CB">
      <w:pPr>
        <w:pStyle w:val="VnitrniText"/>
        <w:rPr>
          <w:sz w:val="22"/>
          <w:szCs w:val="22"/>
        </w:rPr>
      </w:pPr>
    </w:p>
    <w:p w14:paraId="7A1FD400"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23 587,00 Kč (slovy: dvacet tři tisíce pět set osmdesát sedm korun českých).</w:t>
      </w:r>
    </w:p>
    <w:p w14:paraId="3215069A" w14:textId="77777777" w:rsidR="00022579" w:rsidRPr="00A2149C" w:rsidRDefault="00022579" w:rsidP="00EB6C54">
      <w:pPr>
        <w:pStyle w:val="VnitrniText"/>
        <w:rPr>
          <w:sz w:val="22"/>
          <w:szCs w:val="22"/>
        </w:rPr>
      </w:pPr>
    </w:p>
    <w:p w14:paraId="6BAB0C7F"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1C0B5A14"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7A8B6124" w14:textId="77777777" w:rsidR="00F533CB" w:rsidRDefault="00F533CB" w:rsidP="006069E5">
      <w:pPr>
        <w:pStyle w:val="para"/>
        <w:rPr>
          <w:rFonts w:ascii="Arial" w:hAnsi="Arial" w:cs="Arial"/>
          <w:sz w:val="22"/>
          <w:szCs w:val="22"/>
        </w:rPr>
      </w:pPr>
    </w:p>
    <w:p w14:paraId="501AA4E7" w14:textId="77777777" w:rsidR="004E34F7" w:rsidRDefault="004E34F7" w:rsidP="004E34F7">
      <w:pPr>
        <w:pStyle w:val="para"/>
        <w:rPr>
          <w:rFonts w:ascii="Arial" w:hAnsi="Arial" w:cs="Arial"/>
          <w:sz w:val="22"/>
          <w:szCs w:val="22"/>
        </w:rPr>
      </w:pPr>
      <w:r>
        <w:rPr>
          <w:rFonts w:ascii="Arial" w:hAnsi="Arial" w:cs="Arial"/>
          <w:sz w:val="22"/>
          <w:szCs w:val="22"/>
        </w:rPr>
        <w:t>IV.</w:t>
      </w:r>
    </w:p>
    <w:p w14:paraId="73EB5951"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746 903,00 Kč (slovy: sedm set čtyřicet šest tisíc devět set tři koruny české).</w:t>
      </w:r>
    </w:p>
    <w:p w14:paraId="26CE71E3"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746 903,00 Kč (slovy: sedm set čtyřicet šest tisíc devět set tři koruny české)</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70017-3723001/0710, variabilní symbol 2008482354.</w:t>
      </w:r>
      <w:r w:rsidR="00C173D3">
        <w:rPr>
          <w:rFonts w:ascii="Arial" w:hAnsi="Arial" w:cs="Arial"/>
          <w:color w:val="000000"/>
          <w:szCs w:val="22"/>
          <w:lang w:val="en-US"/>
        </w:rPr>
        <w:t xml:space="preserve"> </w:t>
      </w:r>
    </w:p>
    <w:p w14:paraId="15EB5A07" w14:textId="77777777" w:rsidR="0000281A" w:rsidRDefault="0000281A" w:rsidP="006069E5">
      <w:pPr>
        <w:pStyle w:val="para"/>
        <w:rPr>
          <w:rFonts w:ascii="Arial" w:hAnsi="Arial" w:cs="Arial"/>
          <w:sz w:val="22"/>
          <w:szCs w:val="22"/>
        </w:rPr>
      </w:pPr>
    </w:p>
    <w:p w14:paraId="58F3D5E0" w14:textId="5272B735"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1D60C5FF"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24989663"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0CCE2A23" w14:textId="77777777" w:rsidR="001D73FD" w:rsidRDefault="001D73FD" w:rsidP="000B0AA7">
      <w:pPr>
        <w:pStyle w:val="VnitrniText"/>
        <w:rPr>
          <w:sz w:val="22"/>
          <w:szCs w:val="22"/>
        </w:rPr>
      </w:pPr>
    </w:p>
    <w:p w14:paraId="5C332FD8"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32BF54FA" w14:textId="77777777" w:rsidR="00C8663B"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4500N05/54, kterou se Státním pozemkovým úřadem uzavřel ARRAKIS, spol. s r.o. , jakožto nájemce. S obsahem nájemní smlouvy byl kupující seznámen před podpisem této smlouvy, což stvrzuje svým podpisem.</w:t>
      </w:r>
    </w:p>
    <w:p w14:paraId="5801A3B3" w14:textId="77777777" w:rsidR="00132B9F" w:rsidRDefault="00132B9F" w:rsidP="00EB6C54">
      <w:pPr>
        <w:pStyle w:val="VnitrniText"/>
        <w:rPr>
          <w:sz w:val="22"/>
          <w:szCs w:val="22"/>
        </w:rPr>
      </w:pPr>
    </w:p>
    <w:p w14:paraId="22325589" w14:textId="7D253397" w:rsidR="00132B9F" w:rsidRDefault="00132B9F" w:rsidP="00132B9F">
      <w:pPr>
        <w:pStyle w:val="VnitrniText"/>
        <w:rPr>
          <w:sz w:val="22"/>
          <w:szCs w:val="22"/>
        </w:rPr>
      </w:pPr>
      <w:r>
        <w:rPr>
          <w:sz w:val="22"/>
          <w:szCs w:val="22"/>
        </w:rPr>
        <w:t>2.  Na převáděném pozemku váznou tato práva třetích osob - věcné břemeno (podle listiny) právo umístit, zřídit a provozovat stavbu zařízení distribuční soustavy v rozsahu vymezeném geometrickým plánem č. 238-10338/2018 pro ČEZ Distribuce, a.s.</w:t>
      </w:r>
    </w:p>
    <w:p w14:paraId="6CAD2749" w14:textId="00083CC5" w:rsidR="00132B9F" w:rsidRPr="00A2149C" w:rsidRDefault="00132B9F" w:rsidP="00EB6C54">
      <w:pPr>
        <w:pStyle w:val="VnitrniText"/>
        <w:rPr>
          <w:sz w:val="22"/>
          <w:szCs w:val="22"/>
        </w:rPr>
      </w:pPr>
    </w:p>
    <w:p w14:paraId="563FD989" w14:textId="77777777" w:rsidR="0037157C" w:rsidRDefault="0037157C" w:rsidP="00EB6C54">
      <w:pPr>
        <w:pStyle w:val="VnitrniText"/>
        <w:rPr>
          <w:sz w:val="22"/>
          <w:szCs w:val="22"/>
        </w:rPr>
      </w:pPr>
    </w:p>
    <w:p w14:paraId="6A893BDA" w14:textId="77777777" w:rsidR="00696D39" w:rsidRDefault="00696D39" w:rsidP="00696D39">
      <w:pPr>
        <w:pStyle w:val="VnitrniText"/>
        <w:ind w:firstLine="0"/>
        <w:rPr>
          <w:b/>
          <w:sz w:val="22"/>
          <w:szCs w:val="22"/>
        </w:rPr>
      </w:pPr>
      <w:r>
        <w:rPr>
          <w:b/>
          <w:sz w:val="22"/>
          <w:szCs w:val="22"/>
        </w:rPr>
        <w:t>Práva týkající se nemovitostí uvedených v čl. II.</w:t>
      </w:r>
    </w:p>
    <w:p w14:paraId="2DCA074B"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60CD8BE3" w14:textId="77777777" w:rsidR="00696D39" w:rsidRDefault="00696D39" w:rsidP="00A87FFB">
      <w:pPr>
        <w:pStyle w:val="para"/>
        <w:rPr>
          <w:rFonts w:ascii="Arial" w:hAnsi="Arial" w:cs="Arial"/>
          <w:sz w:val="22"/>
          <w:szCs w:val="22"/>
        </w:rPr>
      </w:pPr>
    </w:p>
    <w:p w14:paraId="487C5EE1"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6650A84A"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3F5514D2" w14:textId="77777777" w:rsidR="00A87FFB" w:rsidRDefault="00A87FFB" w:rsidP="00A87FFB">
      <w:pPr>
        <w:tabs>
          <w:tab w:val="left" w:pos="709"/>
        </w:tabs>
        <w:ind w:firstLine="426"/>
        <w:jc w:val="both"/>
        <w:rPr>
          <w:rFonts w:ascii="Arial" w:hAnsi="Arial" w:cs="Arial"/>
          <w:sz w:val="22"/>
          <w:szCs w:val="22"/>
          <w:lang w:val="en-US"/>
        </w:rPr>
      </w:pPr>
    </w:p>
    <w:p w14:paraId="3E0C9262" w14:textId="77777777" w:rsidR="00F359D3" w:rsidRDefault="00F359D3" w:rsidP="00F359D3">
      <w:pPr>
        <w:pStyle w:val="para"/>
        <w:rPr>
          <w:rFonts w:ascii="Arial" w:hAnsi="Arial" w:cs="Arial"/>
          <w:sz w:val="22"/>
          <w:szCs w:val="22"/>
        </w:rPr>
      </w:pPr>
      <w:r>
        <w:rPr>
          <w:rFonts w:ascii="Arial" w:hAnsi="Arial" w:cs="Arial"/>
          <w:sz w:val="22"/>
          <w:szCs w:val="22"/>
        </w:rPr>
        <w:t>VII.</w:t>
      </w:r>
    </w:p>
    <w:p w14:paraId="03588821"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766B1B3F" w14:textId="77777777" w:rsidR="00F359D3" w:rsidRDefault="00F359D3" w:rsidP="00F359D3">
      <w:pPr>
        <w:tabs>
          <w:tab w:val="left" w:pos="709"/>
        </w:tabs>
        <w:ind w:firstLine="426"/>
        <w:jc w:val="both"/>
        <w:rPr>
          <w:rFonts w:ascii="Arial" w:hAnsi="Arial" w:cs="Arial"/>
          <w:sz w:val="22"/>
          <w:szCs w:val="22"/>
        </w:rPr>
      </w:pPr>
    </w:p>
    <w:p w14:paraId="0601481C" w14:textId="77777777" w:rsidR="00A87FFB" w:rsidRDefault="00A87FFB" w:rsidP="00A87FFB">
      <w:pPr>
        <w:pStyle w:val="para"/>
        <w:rPr>
          <w:rFonts w:ascii="Arial" w:hAnsi="Arial" w:cs="Arial"/>
          <w:sz w:val="22"/>
          <w:szCs w:val="22"/>
        </w:rPr>
      </w:pPr>
      <w:r>
        <w:rPr>
          <w:rFonts w:ascii="Arial" w:hAnsi="Arial" w:cs="Arial"/>
          <w:sz w:val="22"/>
          <w:szCs w:val="22"/>
        </w:rPr>
        <w:t>VIII.</w:t>
      </w:r>
    </w:p>
    <w:p w14:paraId="7A381656"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4BDDBF9" w14:textId="77777777" w:rsidR="00F359D3" w:rsidRDefault="00F359D3" w:rsidP="00F359D3">
      <w:pPr>
        <w:ind w:firstLine="360"/>
        <w:jc w:val="both"/>
        <w:rPr>
          <w:rFonts w:ascii="Arial" w:hAnsi="Arial" w:cs="Arial"/>
          <w:sz w:val="22"/>
          <w:szCs w:val="22"/>
        </w:rPr>
      </w:pPr>
    </w:p>
    <w:p w14:paraId="12ACCDAE" w14:textId="77777777" w:rsidR="00F359D3" w:rsidRPr="00C707C8" w:rsidRDefault="007C3A0B" w:rsidP="00F359D3">
      <w:pPr>
        <w:pStyle w:val="para"/>
        <w:rPr>
          <w:rFonts w:ascii="Arial" w:hAnsi="Arial" w:cs="Arial"/>
          <w:sz w:val="22"/>
          <w:szCs w:val="22"/>
        </w:rPr>
      </w:pPr>
      <w:r>
        <w:rPr>
          <w:rFonts w:ascii="Arial" w:hAnsi="Arial" w:cs="Arial"/>
          <w:sz w:val="22"/>
          <w:szCs w:val="22"/>
        </w:rPr>
        <w:lastRenderedPageBreak/>
        <w:t>I</w:t>
      </w:r>
      <w:r w:rsidR="00F359D3">
        <w:rPr>
          <w:rFonts w:ascii="Arial" w:hAnsi="Arial" w:cs="Arial"/>
          <w:sz w:val="22"/>
          <w:szCs w:val="22"/>
        </w:rPr>
        <w:t>X</w:t>
      </w:r>
      <w:r w:rsidR="00F359D3" w:rsidRPr="00C707C8">
        <w:rPr>
          <w:rFonts w:ascii="Arial" w:hAnsi="Arial" w:cs="Arial"/>
          <w:sz w:val="22"/>
          <w:szCs w:val="22"/>
        </w:rPr>
        <w:t>.</w:t>
      </w:r>
    </w:p>
    <w:p w14:paraId="0A5B471C" w14:textId="1957F2F9"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6AC3A7CE" w14:textId="77777777" w:rsidR="00F359D3" w:rsidRPr="00BE50B5" w:rsidRDefault="00F359D3" w:rsidP="00F359D3">
      <w:pPr>
        <w:ind w:firstLine="360"/>
        <w:jc w:val="both"/>
        <w:rPr>
          <w:rFonts w:ascii="Arial" w:hAnsi="Arial" w:cs="Arial"/>
          <w:sz w:val="22"/>
          <w:szCs w:val="22"/>
        </w:rPr>
      </w:pPr>
    </w:p>
    <w:p w14:paraId="6F09713C" w14:textId="00E98175"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07131594" w14:textId="77777777" w:rsidR="00132B9F" w:rsidRDefault="00132B9F" w:rsidP="00415244">
      <w:pPr>
        <w:pStyle w:val="para"/>
        <w:rPr>
          <w:rFonts w:ascii="Arial" w:hAnsi="Arial" w:cs="Arial"/>
          <w:sz w:val="22"/>
          <w:szCs w:val="22"/>
        </w:rPr>
      </w:pPr>
    </w:p>
    <w:p w14:paraId="29A666FE" w14:textId="17392A29"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6FC9EA8C"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3037F99E" w14:textId="77777777" w:rsidR="006B73C0" w:rsidRPr="009D4E32" w:rsidRDefault="006B73C0" w:rsidP="006B73C0">
      <w:pPr>
        <w:tabs>
          <w:tab w:val="left" w:pos="709"/>
        </w:tabs>
        <w:ind w:firstLine="426"/>
        <w:jc w:val="both"/>
        <w:rPr>
          <w:rFonts w:ascii="Arial" w:hAnsi="Arial" w:cs="Arial"/>
          <w:sz w:val="22"/>
          <w:szCs w:val="22"/>
        </w:rPr>
      </w:pPr>
    </w:p>
    <w:p w14:paraId="6E6FE681"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55EAE75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2FB9AD7A" w14:textId="77777777" w:rsidR="00420F01" w:rsidRPr="00420F01" w:rsidRDefault="00420F01" w:rsidP="00420F01">
      <w:pPr>
        <w:tabs>
          <w:tab w:val="left" w:pos="709"/>
        </w:tabs>
        <w:ind w:firstLine="426"/>
        <w:jc w:val="both"/>
        <w:rPr>
          <w:rFonts w:ascii="Arial" w:hAnsi="Arial" w:cs="Arial"/>
          <w:sz w:val="22"/>
          <w:szCs w:val="22"/>
        </w:rPr>
      </w:pPr>
    </w:p>
    <w:p w14:paraId="0140F5FE"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3429CE7E" w14:textId="77777777" w:rsidR="00420F01" w:rsidRPr="00420F01" w:rsidRDefault="00420F01" w:rsidP="00420F01">
      <w:pPr>
        <w:tabs>
          <w:tab w:val="left" w:pos="709"/>
        </w:tabs>
        <w:ind w:firstLine="426"/>
        <w:jc w:val="both"/>
        <w:rPr>
          <w:rFonts w:ascii="Arial" w:hAnsi="Arial" w:cs="Arial"/>
          <w:sz w:val="22"/>
          <w:szCs w:val="22"/>
        </w:rPr>
      </w:pPr>
    </w:p>
    <w:p w14:paraId="42E37A9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2BE398EA" w14:textId="77777777" w:rsidR="00420F01" w:rsidRPr="00420F01" w:rsidRDefault="00420F01" w:rsidP="00420F01">
      <w:pPr>
        <w:tabs>
          <w:tab w:val="left" w:pos="709"/>
        </w:tabs>
        <w:ind w:firstLine="426"/>
        <w:jc w:val="both"/>
        <w:rPr>
          <w:rFonts w:ascii="Arial" w:hAnsi="Arial" w:cs="Arial"/>
          <w:sz w:val="22"/>
          <w:szCs w:val="22"/>
        </w:rPr>
      </w:pPr>
    </w:p>
    <w:p w14:paraId="045760AA"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7241E52"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FABEAFC"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1628C0D" w14:textId="77777777" w:rsidR="00E37537" w:rsidRPr="009D4E32" w:rsidRDefault="00E37537" w:rsidP="00E37537">
      <w:pPr>
        <w:pStyle w:val="VnitrniText"/>
        <w:rPr>
          <w:sz w:val="22"/>
          <w:szCs w:val="22"/>
        </w:rPr>
      </w:pPr>
    </w:p>
    <w:p w14:paraId="6CA3CC00"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62D610D0"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494FDC4B"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17C31632"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323733B0"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14BE34C1" w14:textId="77777777" w:rsidTr="004E17F9">
        <w:tc>
          <w:tcPr>
            <w:tcW w:w="4888" w:type="dxa"/>
            <w:hideMark/>
          </w:tcPr>
          <w:p w14:paraId="0AC6B145" w14:textId="157AD293" w:rsidR="004E17F9" w:rsidRPr="004E17F9" w:rsidRDefault="004E17F9">
            <w:pPr>
              <w:pStyle w:val="VnitrniText"/>
              <w:ind w:firstLine="0"/>
              <w:rPr>
                <w:sz w:val="22"/>
                <w:szCs w:val="22"/>
              </w:rPr>
            </w:pPr>
            <w:r w:rsidRPr="004E17F9">
              <w:rPr>
                <w:sz w:val="22"/>
                <w:szCs w:val="22"/>
              </w:rPr>
              <w:t xml:space="preserve">V Hradci Králové dne </w:t>
            </w:r>
            <w:r w:rsidR="000050D8">
              <w:rPr>
                <w:sz w:val="22"/>
                <w:szCs w:val="22"/>
              </w:rPr>
              <w:t>15.8.2024</w:t>
            </w:r>
          </w:p>
        </w:tc>
        <w:tc>
          <w:tcPr>
            <w:tcW w:w="4889" w:type="dxa"/>
            <w:hideMark/>
          </w:tcPr>
          <w:p w14:paraId="038B5EBD" w14:textId="3E45048E" w:rsidR="004E17F9" w:rsidRPr="004E17F9" w:rsidRDefault="004E17F9">
            <w:pPr>
              <w:pStyle w:val="VnitrniText"/>
              <w:tabs>
                <w:tab w:val="left" w:pos="4820"/>
              </w:tabs>
              <w:ind w:firstLine="0"/>
              <w:rPr>
                <w:sz w:val="22"/>
                <w:szCs w:val="22"/>
              </w:rPr>
            </w:pPr>
            <w:r w:rsidRPr="004E17F9">
              <w:rPr>
                <w:sz w:val="22"/>
                <w:szCs w:val="22"/>
              </w:rPr>
              <w:t xml:space="preserve">V </w:t>
            </w:r>
            <w:r w:rsidR="000050D8">
              <w:rPr>
                <w:sz w:val="22"/>
                <w:szCs w:val="22"/>
              </w:rPr>
              <w:t xml:space="preserve">Žacléři </w:t>
            </w:r>
            <w:r w:rsidRPr="004E17F9">
              <w:rPr>
                <w:sz w:val="22"/>
                <w:szCs w:val="22"/>
              </w:rPr>
              <w:t xml:space="preserve">dne </w:t>
            </w:r>
            <w:r w:rsidR="000050D8">
              <w:rPr>
                <w:sz w:val="22"/>
                <w:szCs w:val="22"/>
              </w:rPr>
              <w:t>12.8.2024</w:t>
            </w:r>
          </w:p>
        </w:tc>
      </w:tr>
    </w:tbl>
    <w:p w14:paraId="5FFA9D83"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2C799CC8" w14:textId="77777777" w:rsidR="004E17F9" w:rsidRPr="004E17F9" w:rsidRDefault="004E17F9" w:rsidP="004E17F9">
      <w:pPr>
        <w:pStyle w:val="VnitrniText"/>
        <w:tabs>
          <w:tab w:val="left" w:pos="5103"/>
        </w:tabs>
        <w:ind w:firstLine="142"/>
        <w:rPr>
          <w:sz w:val="22"/>
          <w:szCs w:val="22"/>
        </w:rPr>
      </w:pPr>
    </w:p>
    <w:p w14:paraId="5080779A"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52C31980" w14:textId="77777777" w:rsidTr="004E17F9">
        <w:tc>
          <w:tcPr>
            <w:tcW w:w="4888" w:type="dxa"/>
          </w:tcPr>
          <w:p w14:paraId="6B792BB4" w14:textId="77777777" w:rsidR="004E17F9" w:rsidRPr="004E17F9" w:rsidRDefault="004E17F9">
            <w:pPr>
              <w:pStyle w:val="VnitrniText"/>
              <w:ind w:firstLine="0"/>
              <w:rPr>
                <w:sz w:val="22"/>
                <w:szCs w:val="22"/>
              </w:rPr>
            </w:pPr>
          </w:p>
        </w:tc>
        <w:tc>
          <w:tcPr>
            <w:tcW w:w="4889" w:type="dxa"/>
          </w:tcPr>
          <w:p w14:paraId="228E93A6" w14:textId="77777777" w:rsidR="004E17F9" w:rsidRPr="004E17F9" w:rsidRDefault="004E17F9">
            <w:pPr>
              <w:pStyle w:val="VnitrniText"/>
              <w:tabs>
                <w:tab w:val="left" w:pos="5103"/>
              </w:tabs>
              <w:ind w:firstLine="0"/>
              <w:rPr>
                <w:sz w:val="22"/>
                <w:szCs w:val="22"/>
              </w:rPr>
            </w:pPr>
          </w:p>
        </w:tc>
      </w:tr>
      <w:tr w:rsidR="004E17F9" w:rsidRPr="004E17F9" w14:paraId="22F8D4A5" w14:textId="77777777" w:rsidTr="004E17F9">
        <w:tc>
          <w:tcPr>
            <w:tcW w:w="4888" w:type="dxa"/>
          </w:tcPr>
          <w:p w14:paraId="21B6274F"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640EB313"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75C3C51A" w14:textId="77777777" w:rsidTr="004E17F9">
        <w:tc>
          <w:tcPr>
            <w:tcW w:w="4888" w:type="dxa"/>
          </w:tcPr>
          <w:p w14:paraId="3F027145"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5BC027C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ARRAKIS, spol. s r.o.</w:t>
            </w:r>
          </w:p>
        </w:tc>
      </w:tr>
      <w:tr w:rsidR="004E17F9" w:rsidRPr="004E17F9" w14:paraId="2EDCC311" w14:textId="77777777" w:rsidTr="004E17F9">
        <w:tc>
          <w:tcPr>
            <w:tcW w:w="4888" w:type="dxa"/>
          </w:tcPr>
          <w:p w14:paraId="726D6A48"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6A934576"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jednatel společnosti</w:t>
            </w:r>
          </w:p>
        </w:tc>
      </w:tr>
      <w:tr w:rsidR="004E17F9" w:rsidRPr="004E17F9" w14:paraId="614D9410" w14:textId="77777777" w:rsidTr="004E17F9">
        <w:tc>
          <w:tcPr>
            <w:tcW w:w="4888" w:type="dxa"/>
          </w:tcPr>
          <w:p w14:paraId="66343F0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Petr Lázňovský</w:t>
            </w:r>
          </w:p>
        </w:tc>
        <w:tc>
          <w:tcPr>
            <w:tcW w:w="4889" w:type="dxa"/>
          </w:tcPr>
          <w:p w14:paraId="7D6330A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Ticháček Tomáš</w:t>
            </w:r>
          </w:p>
        </w:tc>
      </w:tr>
      <w:tr w:rsidR="004E17F9" w:rsidRPr="004E17F9" w14:paraId="78087054" w14:textId="77777777" w:rsidTr="004E17F9">
        <w:tc>
          <w:tcPr>
            <w:tcW w:w="4888" w:type="dxa"/>
          </w:tcPr>
          <w:p w14:paraId="78360226"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4AFD71E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76CA418B" w14:textId="77777777" w:rsidR="004E17F9" w:rsidRPr="004E17F9" w:rsidRDefault="004E17F9">
      <w:pPr>
        <w:suppressAutoHyphens w:val="0"/>
        <w:autoSpaceDE w:val="0"/>
        <w:autoSpaceDN w:val="0"/>
        <w:adjustRightInd w:val="0"/>
        <w:rPr>
          <w:rFonts w:ascii="Arial" w:hAnsi="Arial" w:cs="Arial"/>
          <w:sz w:val="22"/>
          <w:szCs w:val="22"/>
        </w:rPr>
      </w:pPr>
    </w:p>
    <w:p w14:paraId="48417B97" w14:textId="77777777" w:rsidR="00722C9B" w:rsidRPr="00A2149C" w:rsidRDefault="00722C9B" w:rsidP="000B0AA7">
      <w:pPr>
        <w:pStyle w:val="VnitrniText"/>
        <w:rPr>
          <w:sz w:val="22"/>
          <w:szCs w:val="22"/>
        </w:rPr>
      </w:pPr>
    </w:p>
    <w:p w14:paraId="132F20B5" w14:textId="77777777" w:rsidR="00722C9B" w:rsidRPr="00A2149C" w:rsidRDefault="00722C9B" w:rsidP="000B0AA7">
      <w:pPr>
        <w:pStyle w:val="VnitrniText"/>
        <w:ind w:firstLine="0"/>
        <w:rPr>
          <w:sz w:val="22"/>
          <w:szCs w:val="22"/>
        </w:rPr>
      </w:pPr>
    </w:p>
    <w:p w14:paraId="120672DC" w14:textId="77777777" w:rsidR="003307CF" w:rsidRPr="00A2149C" w:rsidRDefault="003307CF" w:rsidP="000B0AA7">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1C7110C1" w14:textId="77777777" w:rsidR="00E61F91" w:rsidRPr="00A2149C" w:rsidRDefault="00E61F91" w:rsidP="000B0AA7">
      <w:pPr>
        <w:pStyle w:val="VnitrniText"/>
        <w:ind w:firstLine="0"/>
        <w:rPr>
          <w:sz w:val="22"/>
          <w:szCs w:val="22"/>
        </w:rPr>
      </w:pPr>
    </w:p>
    <w:p w14:paraId="389C83BF"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677702BD" w14:textId="77777777" w:rsidR="00E61F91" w:rsidRPr="00A2149C" w:rsidRDefault="00E61F91" w:rsidP="000B0AA7">
      <w:pPr>
        <w:pStyle w:val="VnitrniText"/>
        <w:ind w:firstLine="0"/>
        <w:rPr>
          <w:sz w:val="22"/>
          <w:szCs w:val="22"/>
        </w:rPr>
      </w:pPr>
    </w:p>
    <w:p w14:paraId="5BB0EA05" w14:textId="77777777" w:rsidR="003307CF" w:rsidRPr="00A2149C" w:rsidRDefault="003307CF" w:rsidP="000B0AA7">
      <w:pPr>
        <w:pStyle w:val="VnitrniText"/>
        <w:ind w:firstLine="0"/>
        <w:rPr>
          <w:sz w:val="22"/>
          <w:szCs w:val="22"/>
        </w:rPr>
      </w:pPr>
      <w:r w:rsidRPr="00A2149C">
        <w:rPr>
          <w:sz w:val="22"/>
          <w:szCs w:val="22"/>
        </w:rPr>
        <w:t xml:space="preserve">ID smlouvy ……………………………... </w:t>
      </w:r>
    </w:p>
    <w:p w14:paraId="2D0EA818" w14:textId="77777777" w:rsidR="00E61F91" w:rsidRPr="00A2149C" w:rsidRDefault="00E61F91" w:rsidP="000B0AA7">
      <w:pPr>
        <w:pStyle w:val="VnitrniText"/>
        <w:ind w:firstLine="0"/>
        <w:rPr>
          <w:sz w:val="22"/>
          <w:szCs w:val="22"/>
        </w:rPr>
      </w:pPr>
    </w:p>
    <w:p w14:paraId="2653783D"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6B3875A1" w14:textId="77777777" w:rsidR="00EB1964" w:rsidRPr="00EB1964" w:rsidRDefault="00EB1964" w:rsidP="000B0AA7">
      <w:pPr>
        <w:pStyle w:val="VnitrniText"/>
        <w:ind w:firstLine="0"/>
        <w:rPr>
          <w:sz w:val="22"/>
          <w:szCs w:val="22"/>
        </w:rPr>
      </w:pPr>
    </w:p>
    <w:p w14:paraId="7005878A"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1F2DA242" w14:textId="77777777" w:rsidR="00CC1097" w:rsidRPr="00A2149C" w:rsidRDefault="00CC1097" w:rsidP="000B0AA7">
      <w:pPr>
        <w:pStyle w:val="VnitrniText"/>
        <w:ind w:firstLine="0"/>
        <w:rPr>
          <w:sz w:val="22"/>
          <w:szCs w:val="22"/>
        </w:rPr>
      </w:pPr>
    </w:p>
    <w:p w14:paraId="34B691D3"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5B0508F1"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6B34F5B7" w14:textId="77777777" w:rsidR="00F66E72" w:rsidRDefault="00F66E72" w:rsidP="000B0AA7">
      <w:pPr>
        <w:pStyle w:val="VnitrniText"/>
        <w:ind w:firstLine="0"/>
        <w:rPr>
          <w:sz w:val="22"/>
          <w:szCs w:val="22"/>
        </w:rPr>
      </w:pPr>
    </w:p>
    <w:p w14:paraId="69C36A75" w14:textId="77777777" w:rsidR="007C2D30" w:rsidRDefault="007C2D30" w:rsidP="000B0AA7">
      <w:pPr>
        <w:pStyle w:val="VnitrniText"/>
        <w:ind w:firstLine="0"/>
        <w:rPr>
          <w:sz w:val="22"/>
          <w:szCs w:val="22"/>
        </w:rPr>
      </w:pPr>
    </w:p>
    <w:p w14:paraId="08D809D0"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A7C6" w14:textId="77777777" w:rsidR="0000281A" w:rsidRDefault="0000281A">
      <w:r>
        <w:separator/>
      </w:r>
    </w:p>
  </w:endnote>
  <w:endnote w:type="continuationSeparator" w:id="0">
    <w:p w14:paraId="00013812" w14:textId="77777777" w:rsidR="0000281A" w:rsidRDefault="0000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14FA" w14:textId="77777777" w:rsidR="0000281A" w:rsidRDefault="0000281A">
      <w:r>
        <w:separator/>
      </w:r>
    </w:p>
  </w:footnote>
  <w:footnote w:type="continuationSeparator" w:id="0">
    <w:p w14:paraId="725E16B3" w14:textId="77777777" w:rsidR="0000281A" w:rsidRDefault="00002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98722027">
    <w:abstractNumId w:val="0"/>
  </w:num>
  <w:num w:numId="2" w16cid:durableId="641272581">
    <w:abstractNumId w:val="1"/>
  </w:num>
  <w:num w:numId="3" w16cid:durableId="1881286858">
    <w:abstractNumId w:val="2"/>
  </w:num>
  <w:num w:numId="4" w16cid:durableId="2036998730">
    <w:abstractNumId w:val="3"/>
  </w:num>
  <w:num w:numId="5" w16cid:durableId="402142129">
    <w:abstractNumId w:val="4"/>
  </w:num>
  <w:num w:numId="6" w16cid:durableId="961306023">
    <w:abstractNumId w:val="5"/>
  </w:num>
  <w:num w:numId="7" w16cid:durableId="6763521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1106852">
    <w:abstractNumId w:val="9"/>
  </w:num>
  <w:num w:numId="9" w16cid:durableId="2087413213">
    <w:abstractNumId w:val="6"/>
  </w:num>
  <w:num w:numId="10" w16cid:durableId="537819056">
    <w:abstractNumId w:val="8"/>
  </w:num>
  <w:num w:numId="11" w16cid:durableId="1951936069">
    <w:abstractNumId w:val="10"/>
  </w:num>
  <w:num w:numId="12" w16cid:durableId="1287084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9864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281A"/>
    <w:rsid w:val="000050D8"/>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2B9F"/>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0883"/>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436F0"/>
  <w14:defaultImageDpi w14:val="0"/>
  <w15:docId w15:val="{FAE9EDCF-2888-44BC-89E0-76C9211E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445629">
      <w:marLeft w:val="0"/>
      <w:marRight w:val="0"/>
      <w:marTop w:val="0"/>
      <w:marBottom w:val="0"/>
      <w:divBdr>
        <w:top w:val="none" w:sz="0" w:space="0" w:color="auto"/>
        <w:left w:val="none" w:sz="0" w:space="0" w:color="auto"/>
        <w:bottom w:val="none" w:sz="0" w:space="0" w:color="auto"/>
        <w:right w:val="none" w:sz="0" w:space="0" w:color="auto"/>
      </w:divBdr>
    </w:div>
    <w:div w:id="1204445630">
      <w:marLeft w:val="0"/>
      <w:marRight w:val="0"/>
      <w:marTop w:val="0"/>
      <w:marBottom w:val="0"/>
      <w:divBdr>
        <w:top w:val="none" w:sz="0" w:space="0" w:color="auto"/>
        <w:left w:val="none" w:sz="0" w:space="0" w:color="auto"/>
        <w:bottom w:val="none" w:sz="0" w:space="0" w:color="auto"/>
        <w:right w:val="none" w:sz="0" w:space="0" w:color="auto"/>
      </w:divBdr>
    </w:div>
    <w:div w:id="1204445631">
      <w:marLeft w:val="0"/>
      <w:marRight w:val="0"/>
      <w:marTop w:val="0"/>
      <w:marBottom w:val="0"/>
      <w:divBdr>
        <w:top w:val="none" w:sz="0" w:space="0" w:color="auto"/>
        <w:left w:val="none" w:sz="0" w:space="0" w:color="auto"/>
        <w:bottom w:val="none" w:sz="0" w:space="0" w:color="auto"/>
        <w:right w:val="none" w:sz="0" w:space="0" w:color="auto"/>
      </w:divBdr>
    </w:div>
    <w:div w:id="1204445632">
      <w:marLeft w:val="0"/>
      <w:marRight w:val="0"/>
      <w:marTop w:val="0"/>
      <w:marBottom w:val="0"/>
      <w:divBdr>
        <w:top w:val="none" w:sz="0" w:space="0" w:color="auto"/>
        <w:left w:val="none" w:sz="0" w:space="0" w:color="auto"/>
        <w:bottom w:val="none" w:sz="0" w:space="0" w:color="auto"/>
        <w:right w:val="none" w:sz="0" w:space="0" w:color="auto"/>
      </w:divBdr>
    </w:div>
    <w:div w:id="1204445633">
      <w:marLeft w:val="0"/>
      <w:marRight w:val="0"/>
      <w:marTop w:val="0"/>
      <w:marBottom w:val="0"/>
      <w:divBdr>
        <w:top w:val="none" w:sz="0" w:space="0" w:color="auto"/>
        <w:left w:val="none" w:sz="0" w:space="0" w:color="auto"/>
        <w:bottom w:val="none" w:sz="0" w:space="0" w:color="auto"/>
        <w:right w:val="none" w:sz="0" w:space="0" w:color="auto"/>
      </w:divBdr>
    </w:div>
    <w:div w:id="1204445634">
      <w:marLeft w:val="0"/>
      <w:marRight w:val="0"/>
      <w:marTop w:val="0"/>
      <w:marBottom w:val="0"/>
      <w:divBdr>
        <w:top w:val="none" w:sz="0" w:space="0" w:color="auto"/>
        <w:left w:val="none" w:sz="0" w:space="0" w:color="auto"/>
        <w:bottom w:val="none" w:sz="0" w:space="0" w:color="auto"/>
        <w:right w:val="none" w:sz="0" w:space="0" w:color="auto"/>
      </w:divBdr>
    </w:div>
    <w:div w:id="1204445635">
      <w:marLeft w:val="0"/>
      <w:marRight w:val="0"/>
      <w:marTop w:val="0"/>
      <w:marBottom w:val="0"/>
      <w:divBdr>
        <w:top w:val="none" w:sz="0" w:space="0" w:color="auto"/>
        <w:left w:val="none" w:sz="0" w:space="0" w:color="auto"/>
        <w:bottom w:val="none" w:sz="0" w:space="0" w:color="auto"/>
        <w:right w:val="none" w:sz="0" w:space="0" w:color="auto"/>
      </w:divBdr>
    </w:div>
    <w:div w:id="1204445636">
      <w:marLeft w:val="0"/>
      <w:marRight w:val="0"/>
      <w:marTop w:val="0"/>
      <w:marBottom w:val="0"/>
      <w:divBdr>
        <w:top w:val="none" w:sz="0" w:space="0" w:color="auto"/>
        <w:left w:val="none" w:sz="0" w:space="0" w:color="auto"/>
        <w:bottom w:val="none" w:sz="0" w:space="0" w:color="auto"/>
        <w:right w:val="none" w:sz="0" w:space="0" w:color="auto"/>
      </w:divBdr>
    </w:div>
    <w:div w:id="1204445637">
      <w:marLeft w:val="0"/>
      <w:marRight w:val="0"/>
      <w:marTop w:val="0"/>
      <w:marBottom w:val="0"/>
      <w:divBdr>
        <w:top w:val="none" w:sz="0" w:space="0" w:color="auto"/>
        <w:left w:val="none" w:sz="0" w:space="0" w:color="auto"/>
        <w:bottom w:val="none" w:sz="0" w:space="0" w:color="auto"/>
        <w:right w:val="none" w:sz="0" w:space="0" w:color="auto"/>
      </w:divBdr>
    </w:div>
    <w:div w:id="1204445638">
      <w:marLeft w:val="0"/>
      <w:marRight w:val="0"/>
      <w:marTop w:val="0"/>
      <w:marBottom w:val="0"/>
      <w:divBdr>
        <w:top w:val="none" w:sz="0" w:space="0" w:color="auto"/>
        <w:left w:val="none" w:sz="0" w:space="0" w:color="auto"/>
        <w:bottom w:val="none" w:sz="0" w:space="0" w:color="auto"/>
        <w:right w:val="none" w:sz="0" w:space="0" w:color="auto"/>
      </w:divBdr>
    </w:div>
    <w:div w:id="1204445639">
      <w:marLeft w:val="0"/>
      <w:marRight w:val="0"/>
      <w:marTop w:val="0"/>
      <w:marBottom w:val="0"/>
      <w:divBdr>
        <w:top w:val="none" w:sz="0" w:space="0" w:color="auto"/>
        <w:left w:val="none" w:sz="0" w:space="0" w:color="auto"/>
        <w:bottom w:val="none" w:sz="0" w:space="0" w:color="auto"/>
        <w:right w:val="none" w:sz="0" w:space="0" w:color="auto"/>
      </w:divBdr>
    </w:div>
    <w:div w:id="1204445640">
      <w:marLeft w:val="0"/>
      <w:marRight w:val="0"/>
      <w:marTop w:val="0"/>
      <w:marBottom w:val="0"/>
      <w:divBdr>
        <w:top w:val="none" w:sz="0" w:space="0" w:color="auto"/>
        <w:left w:val="none" w:sz="0" w:space="0" w:color="auto"/>
        <w:bottom w:val="none" w:sz="0" w:space="0" w:color="auto"/>
        <w:right w:val="none" w:sz="0" w:space="0" w:color="auto"/>
      </w:divBdr>
    </w:div>
    <w:div w:id="1204445641">
      <w:marLeft w:val="0"/>
      <w:marRight w:val="0"/>
      <w:marTop w:val="0"/>
      <w:marBottom w:val="0"/>
      <w:divBdr>
        <w:top w:val="none" w:sz="0" w:space="0" w:color="auto"/>
        <w:left w:val="none" w:sz="0" w:space="0" w:color="auto"/>
        <w:bottom w:val="none" w:sz="0" w:space="0" w:color="auto"/>
        <w:right w:val="none" w:sz="0" w:space="0" w:color="auto"/>
      </w:divBdr>
    </w:div>
    <w:div w:id="1204445642">
      <w:marLeft w:val="0"/>
      <w:marRight w:val="0"/>
      <w:marTop w:val="0"/>
      <w:marBottom w:val="0"/>
      <w:divBdr>
        <w:top w:val="none" w:sz="0" w:space="0" w:color="auto"/>
        <w:left w:val="none" w:sz="0" w:space="0" w:color="auto"/>
        <w:bottom w:val="none" w:sz="0" w:space="0" w:color="auto"/>
        <w:right w:val="none" w:sz="0" w:space="0" w:color="auto"/>
      </w:divBdr>
    </w:div>
    <w:div w:id="1204445643">
      <w:marLeft w:val="0"/>
      <w:marRight w:val="0"/>
      <w:marTop w:val="0"/>
      <w:marBottom w:val="0"/>
      <w:divBdr>
        <w:top w:val="none" w:sz="0" w:space="0" w:color="auto"/>
        <w:left w:val="none" w:sz="0" w:space="0" w:color="auto"/>
        <w:bottom w:val="none" w:sz="0" w:space="0" w:color="auto"/>
        <w:right w:val="none" w:sz="0" w:space="0" w:color="auto"/>
      </w:divBdr>
    </w:div>
    <w:div w:id="1204445644">
      <w:marLeft w:val="0"/>
      <w:marRight w:val="0"/>
      <w:marTop w:val="0"/>
      <w:marBottom w:val="0"/>
      <w:divBdr>
        <w:top w:val="none" w:sz="0" w:space="0" w:color="auto"/>
        <w:left w:val="none" w:sz="0" w:space="0" w:color="auto"/>
        <w:bottom w:val="none" w:sz="0" w:space="0" w:color="auto"/>
        <w:right w:val="none" w:sz="0" w:space="0" w:color="auto"/>
      </w:divBdr>
    </w:div>
    <w:div w:id="1204445645">
      <w:marLeft w:val="0"/>
      <w:marRight w:val="0"/>
      <w:marTop w:val="0"/>
      <w:marBottom w:val="0"/>
      <w:divBdr>
        <w:top w:val="none" w:sz="0" w:space="0" w:color="auto"/>
        <w:left w:val="none" w:sz="0" w:space="0" w:color="auto"/>
        <w:bottom w:val="none" w:sz="0" w:space="0" w:color="auto"/>
        <w:right w:val="none" w:sz="0" w:space="0" w:color="auto"/>
      </w:divBdr>
    </w:div>
    <w:div w:id="1204445646">
      <w:marLeft w:val="0"/>
      <w:marRight w:val="0"/>
      <w:marTop w:val="0"/>
      <w:marBottom w:val="0"/>
      <w:divBdr>
        <w:top w:val="none" w:sz="0" w:space="0" w:color="auto"/>
        <w:left w:val="none" w:sz="0" w:space="0" w:color="auto"/>
        <w:bottom w:val="none" w:sz="0" w:space="0" w:color="auto"/>
        <w:right w:val="none" w:sz="0" w:space="0" w:color="auto"/>
      </w:divBdr>
    </w:div>
    <w:div w:id="1204445647">
      <w:marLeft w:val="0"/>
      <w:marRight w:val="0"/>
      <w:marTop w:val="0"/>
      <w:marBottom w:val="0"/>
      <w:divBdr>
        <w:top w:val="none" w:sz="0" w:space="0" w:color="auto"/>
        <w:left w:val="none" w:sz="0" w:space="0" w:color="auto"/>
        <w:bottom w:val="none" w:sz="0" w:space="0" w:color="auto"/>
        <w:right w:val="none" w:sz="0" w:space="0" w:color="auto"/>
      </w:divBdr>
    </w:div>
    <w:div w:id="1204445648">
      <w:marLeft w:val="0"/>
      <w:marRight w:val="0"/>
      <w:marTop w:val="0"/>
      <w:marBottom w:val="0"/>
      <w:divBdr>
        <w:top w:val="none" w:sz="0" w:space="0" w:color="auto"/>
        <w:left w:val="none" w:sz="0" w:space="0" w:color="auto"/>
        <w:bottom w:val="none" w:sz="0" w:space="0" w:color="auto"/>
        <w:right w:val="none" w:sz="0" w:space="0" w:color="auto"/>
      </w:divBdr>
    </w:div>
    <w:div w:id="1204445649">
      <w:marLeft w:val="0"/>
      <w:marRight w:val="0"/>
      <w:marTop w:val="0"/>
      <w:marBottom w:val="0"/>
      <w:divBdr>
        <w:top w:val="none" w:sz="0" w:space="0" w:color="auto"/>
        <w:left w:val="none" w:sz="0" w:space="0" w:color="auto"/>
        <w:bottom w:val="none" w:sz="0" w:space="0" w:color="auto"/>
        <w:right w:val="none" w:sz="0" w:space="0" w:color="auto"/>
      </w:divBdr>
    </w:div>
    <w:div w:id="1204445650">
      <w:marLeft w:val="0"/>
      <w:marRight w:val="0"/>
      <w:marTop w:val="0"/>
      <w:marBottom w:val="0"/>
      <w:divBdr>
        <w:top w:val="none" w:sz="0" w:space="0" w:color="auto"/>
        <w:left w:val="none" w:sz="0" w:space="0" w:color="auto"/>
        <w:bottom w:val="none" w:sz="0" w:space="0" w:color="auto"/>
        <w:right w:val="none" w:sz="0" w:space="0" w:color="auto"/>
      </w:divBdr>
    </w:div>
    <w:div w:id="1204445651">
      <w:marLeft w:val="0"/>
      <w:marRight w:val="0"/>
      <w:marTop w:val="0"/>
      <w:marBottom w:val="0"/>
      <w:divBdr>
        <w:top w:val="none" w:sz="0" w:space="0" w:color="auto"/>
        <w:left w:val="none" w:sz="0" w:space="0" w:color="auto"/>
        <w:bottom w:val="none" w:sz="0" w:space="0" w:color="auto"/>
        <w:right w:val="none" w:sz="0" w:space="0" w:color="auto"/>
      </w:divBdr>
    </w:div>
    <w:div w:id="1204445652">
      <w:marLeft w:val="0"/>
      <w:marRight w:val="0"/>
      <w:marTop w:val="0"/>
      <w:marBottom w:val="0"/>
      <w:divBdr>
        <w:top w:val="none" w:sz="0" w:space="0" w:color="auto"/>
        <w:left w:val="none" w:sz="0" w:space="0" w:color="auto"/>
        <w:bottom w:val="none" w:sz="0" w:space="0" w:color="auto"/>
        <w:right w:val="none" w:sz="0" w:space="0" w:color="auto"/>
      </w:divBdr>
    </w:div>
    <w:div w:id="15760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1257</Words>
  <Characters>7417</Characters>
  <Application>Microsoft Office Word</Application>
  <DocSecurity>0</DocSecurity>
  <Lines>61</Lines>
  <Paragraphs>17</Paragraphs>
  <ScaleCrop>false</ScaleCrop>
  <Company>Pozemkový Fond ČR</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Vašíčková Martina Ing.</dc:creator>
  <cp:keywords/>
  <dc:description/>
  <cp:lastModifiedBy>Vašíčková Martina Ing.</cp:lastModifiedBy>
  <cp:revision>3</cp:revision>
  <cp:lastPrinted>2004-12-15T14:06:00Z</cp:lastPrinted>
  <dcterms:created xsi:type="dcterms:W3CDTF">2024-06-18T09:43:00Z</dcterms:created>
  <dcterms:modified xsi:type="dcterms:W3CDTF">2024-08-15T13:35:00Z</dcterms:modified>
</cp:coreProperties>
</file>