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06" w:right="1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5220300386</w:t>
      </w:r>
    </w:p>
    <w:p>
      <w:pPr>
        <w:spacing w:line="425" w:lineRule="exact" w:before="0"/>
        <w:ind w:left="1306" w:right="11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1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185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1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 w:before="2"/>
        <w:ind w:right="0"/>
        <w:jc w:val="left"/>
      </w:pPr>
      <w:r>
        <w:rPr>
          <w:spacing w:val="-2"/>
        </w:rPr>
        <w:t>PowerHUB</w:t>
      </w:r>
      <w:r>
        <w:rPr>
          <w:spacing w:val="-1"/>
        </w:rPr>
        <w:t> </w:t>
      </w:r>
      <w:r>
        <w:rPr>
          <w:spacing w:val="-4"/>
        </w:rPr>
        <w:t>z.ú.</w:t>
      </w:r>
    </w:p>
    <w:p>
      <w:pPr>
        <w:pStyle w:val="BodyText"/>
        <w:spacing w:line="265" w:lineRule="exact"/>
        <w:ind w:left="382"/>
      </w:pPr>
      <w:r>
        <w:rPr>
          <w:spacing w:val="-2"/>
        </w:rPr>
        <w:t>ústav</w:t>
      </w:r>
    </w:p>
    <w:p>
      <w:pPr>
        <w:pStyle w:val="BodyText"/>
        <w:tabs>
          <w:tab w:pos="3257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Na</w:t>
      </w:r>
      <w:r>
        <w:rPr>
          <w:spacing w:val="-6"/>
        </w:rPr>
        <w:t> </w:t>
      </w:r>
      <w:r>
        <w:rPr/>
        <w:t>strži</w:t>
      </w:r>
      <w:r>
        <w:rPr>
          <w:spacing w:val="-6"/>
        </w:rPr>
        <w:t> </w:t>
      </w:r>
      <w:r>
        <w:rPr/>
        <w:t>1683/40,</w:t>
      </w:r>
      <w:r>
        <w:rPr>
          <w:spacing w:val="-5"/>
        </w:rPr>
        <w:t> </w:t>
      </w:r>
      <w:r>
        <w:rPr/>
        <w:t>Krč,</w:t>
      </w:r>
      <w:r>
        <w:rPr>
          <w:spacing w:val="-6"/>
        </w:rPr>
        <w:t> </w:t>
      </w:r>
      <w:r>
        <w:rPr/>
        <w:t>140</w:t>
      </w:r>
      <w:r>
        <w:rPr>
          <w:spacing w:val="-2"/>
        </w:rPr>
        <w:t> </w:t>
      </w:r>
      <w:r>
        <w:rPr/>
        <w:t>00</w:t>
      </w:r>
      <w:r>
        <w:rPr>
          <w:spacing w:val="-4"/>
        </w:rPr>
        <w:t> </w:t>
      </w:r>
      <w:r>
        <w:rPr/>
        <w:t>Praha</w:t>
      </w:r>
      <w:r>
        <w:rPr>
          <w:spacing w:val="-6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05928541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zastoupený:</w:t>
      </w:r>
      <w:r>
        <w:rPr/>
        <w:tab/>
        <w:t>Petrem</w:t>
      </w:r>
      <w:r>
        <w:rPr>
          <w:spacing w:val="-1"/>
        </w:rPr>
        <w:t> </w:t>
      </w:r>
      <w:r>
        <w:rPr/>
        <w:t>B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ž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t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Fio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2701198768/2010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138"/>
      </w:pPr>
      <w:r>
        <w:rPr>
          <w:spacing w:val="-5"/>
        </w:rPr>
        <w:t>I.</w:t>
      </w:r>
    </w:p>
    <w:p>
      <w:pPr>
        <w:pStyle w:val="Heading2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5" w:lineRule="exact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211"/>
        <w:jc w:val="both"/>
      </w:pPr>
      <w:r>
        <w:rPr/>
        <w:t>„Smlouva“) se uzavírá na základě Rozhodnutí ministra životního prostředí č. 5220300386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4.</w:t>
      </w:r>
      <w:r>
        <w:rPr>
          <w:spacing w:val="-3"/>
        </w:rPr>
        <w:t> </w:t>
      </w:r>
      <w:r>
        <w:rPr/>
        <w:t>8.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2" w:after="0"/>
        <w:ind w:left="741" w:right="2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6" w:top="1460" w:bottom="1580" w:left="1320" w:right="9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2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1"/>
        <w:ind w:left="3205" w:right="0"/>
        <w:jc w:val="both"/>
      </w:pPr>
      <w:r>
        <w:rPr/>
        <w:t>„Podpora</w:t>
      </w:r>
      <w:r>
        <w:rPr>
          <w:spacing w:val="-14"/>
        </w:rPr>
        <w:t> </w:t>
      </w:r>
      <w:r>
        <w:rPr/>
        <w:t>elektromobility</w:t>
      </w:r>
      <w:r>
        <w:rPr>
          <w:spacing w:val="-13"/>
        </w:rPr>
        <w:t> </w:t>
      </w:r>
      <w:r>
        <w:rPr/>
        <w:t>PowerHUB</w:t>
      </w:r>
      <w:r>
        <w:rPr>
          <w:spacing w:val="-12"/>
        </w:rPr>
        <w:t> </w:t>
      </w:r>
      <w:r>
        <w:rPr>
          <w:spacing w:val="-5"/>
        </w:rPr>
        <w:t>II“</w:t>
      </w:r>
    </w:p>
    <w:p>
      <w:pPr>
        <w:pStyle w:val="BodyText"/>
        <w:spacing w:before="120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2023.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138"/>
      </w:pPr>
      <w:r>
        <w:rPr>
          <w:spacing w:val="-5"/>
        </w:rPr>
        <w:t>II.</w:t>
      </w:r>
    </w:p>
    <w:p>
      <w:pPr>
        <w:pStyle w:val="Heading2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poskytnout</w:t>
      </w:r>
      <w:r>
        <w:rPr>
          <w:spacing w:val="11"/>
          <w:sz w:val="20"/>
        </w:rPr>
        <w:t> </w:t>
      </w:r>
      <w:r>
        <w:rPr>
          <w:sz w:val="20"/>
        </w:rPr>
        <w:t>příjemci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2"/>
          <w:sz w:val="20"/>
        </w:rPr>
        <w:t> </w:t>
      </w:r>
      <w:r>
        <w:rPr>
          <w:sz w:val="20"/>
        </w:rPr>
        <w:t>formou</w:t>
      </w:r>
      <w:r>
        <w:rPr>
          <w:spacing w:val="13"/>
          <w:sz w:val="20"/>
        </w:rPr>
        <w:t> </w:t>
      </w:r>
      <w:r>
        <w:rPr>
          <w:sz w:val="20"/>
        </w:rPr>
        <w:t>dotace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900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</w:pPr>
      <w:r>
        <w:rPr/>
        <w:t>devět</w:t>
      </w:r>
      <w:r>
        <w:rPr>
          <w:spacing w:val="-4"/>
        </w:rPr>
        <w:t> </w:t>
      </w:r>
      <w:r>
        <w:rPr/>
        <w:t>set</w:t>
      </w:r>
      <w:r>
        <w:rPr>
          <w:spacing w:val="-6"/>
        </w:rPr>
        <w:t> </w:t>
      </w:r>
      <w:r>
        <w:rPr/>
        <w:t>tisíc</w:t>
      </w:r>
      <w:r>
        <w:rPr>
          <w:spacing w:val="-6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2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2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2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určování</w:t>
      </w:r>
      <w:r>
        <w:rPr>
          <w:spacing w:val="-5"/>
          <w:sz w:val="20"/>
        </w:rPr>
        <w:t> </w:t>
      </w:r>
      <w:r>
        <w:rPr>
          <w:sz w:val="20"/>
        </w:rPr>
        <w:t>způsobilých</w:t>
      </w:r>
      <w:r>
        <w:rPr>
          <w:spacing w:val="-4"/>
          <w:sz w:val="20"/>
        </w:rPr>
        <w:t> </w:t>
      </w:r>
      <w:r>
        <w:rPr>
          <w:sz w:val="20"/>
        </w:rPr>
        <w:t>výdajů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nich</w:t>
      </w:r>
      <w:r>
        <w:rPr>
          <w:spacing w:val="-4"/>
          <w:sz w:val="20"/>
        </w:rPr>
        <w:t> </w:t>
      </w:r>
      <w:r>
        <w:rPr>
          <w:sz w:val="20"/>
        </w:rPr>
        <w:t>odvozené</w:t>
      </w:r>
      <w:r>
        <w:rPr>
          <w:spacing w:val="-4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vycházet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3"/>
          <w:sz w:val="20"/>
        </w:rPr>
        <w:t> </w:t>
      </w:r>
      <w:r>
        <w:rPr>
          <w:sz w:val="20"/>
        </w:rPr>
        <w:t>znění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článků</w:t>
      </w:r>
    </w:p>
    <w:p>
      <w:pPr>
        <w:pStyle w:val="BodyText"/>
      </w:pPr>
      <w:r>
        <w:rPr/>
        <w:t>10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11</w:t>
      </w:r>
      <w:r>
        <w:rPr>
          <w:spacing w:val="-1"/>
        </w:rPr>
        <w:t> </w:t>
      </w: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2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2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563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563" w:type="dxa"/>
          </w:tcPr>
          <w:p>
            <w:pPr>
              <w:pStyle w:val="TableParagraph"/>
              <w:spacing w:before="120"/>
              <w:ind w:left="179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5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563" w:type="dxa"/>
          </w:tcPr>
          <w:p>
            <w:pPr>
              <w:pStyle w:val="TableParagraph"/>
              <w:spacing w:before="120"/>
              <w:ind w:left="1800"/>
              <w:rPr>
                <w:sz w:val="20"/>
              </w:rPr>
            </w:pPr>
            <w:r>
              <w:rPr>
                <w:sz w:val="20"/>
              </w:rPr>
              <w:t>900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2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6" w:top="1460" w:bottom="1660" w:left="1320" w:right="9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2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2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2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211" w:hanging="284"/>
        <w:jc w:val="righ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</w:t>
      </w:r>
      <w:r>
        <w:rPr>
          <w:w w:val="95"/>
          <w:sz w:val="20"/>
        </w:rPr>
        <w:t>potvrzuje,</w:t>
      </w:r>
      <w:r>
        <w:rPr>
          <w:spacing w:val="22"/>
          <w:sz w:val="20"/>
        </w:rPr>
        <w:t> </w:t>
      </w:r>
      <w:r>
        <w:rPr>
          <w:w w:val="95"/>
          <w:sz w:val="20"/>
        </w:rPr>
        <w:t>že</w:t>
      </w:r>
      <w:r>
        <w:rPr>
          <w:spacing w:val="22"/>
          <w:sz w:val="20"/>
        </w:rPr>
        <w:t> </w:t>
      </w:r>
      <w:r>
        <w:rPr>
          <w:w w:val="95"/>
          <w:sz w:val="20"/>
        </w:rPr>
        <w:t>předložené</w:t>
      </w:r>
      <w:r>
        <w:rPr>
          <w:spacing w:val="21"/>
          <w:sz w:val="20"/>
        </w:rPr>
        <w:t> </w:t>
      </w:r>
      <w:r>
        <w:rPr>
          <w:w w:val="95"/>
          <w:sz w:val="20"/>
        </w:rPr>
        <w:t>faktury</w:t>
      </w:r>
      <w:r>
        <w:rPr>
          <w:spacing w:val="21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21"/>
          <w:sz w:val="20"/>
        </w:rPr>
        <w:t> </w:t>
      </w:r>
      <w:r>
        <w:rPr>
          <w:w w:val="95"/>
          <w:sz w:val="20"/>
        </w:rPr>
        <w:t>skutečným,</w:t>
      </w:r>
      <w:r>
        <w:rPr>
          <w:spacing w:val="26"/>
          <w:sz w:val="20"/>
        </w:rPr>
        <w:t> </w:t>
      </w:r>
      <w:r>
        <w:rPr>
          <w:w w:val="95"/>
          <w:sz w:val="20"/>
        </w:rPr>
        <w:t>účelně</w:t>
      </w:r>
      <w:r>
        <w:rPr>
          <w:spacing w:val="21"/>
          <w:sz w:val="20"/>
        </w:rPr>
        <w:t> </w:t>
      </w:r>
      <w:r>
        <w:rPr>
          <w:w w:val="95"/>
          <w:sz w:val="20"/>
        </w:rPr>
        <w:t>vynaloženým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a</w:t>
      </w:r>
      <w:r>
        <w:rPr>
          <w:spacing w:val="21"/>
          <w:sz w:val="20"/>
        </w:rPr>
        <w:t> </w:t>
      </w:r>
      <w:r>
        <w:rPr>
          <w:w w:val="95"/>
          <w:sz w:val="20"/>
        </w:rPr>
        <w:t>způsobilým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výdajům</w:t>
      </w:r>
      <w:r>
        <w:rPr>
          <w:spacing w:val="24"/>
          <w:sz w:val="20"/>
        </w:rPr>
        <w:t> </w:t>
      </w:r>
      <w:r>
        <w:rPr>
          <w:spacing w:val="-2"/>
          <w:w w:val="95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121" w:after="0"/>
        <w:ind w:left="424" w:right="208" w:hanging="425"/>
        <w:jc w:val="righ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spacing w:before="1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2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2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1" w:right="211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4"/>
          <w:sz w:val="20"/>
        </w:rPr>
        <w:t> </w:t>
      </w:r>
      <w:r>
        <w:rPr>
          <w:sz w:val="20"/>
        </w:rPr>
        <w:t>Podpora</w:t>
      </w:r>
      <w:r>
        <w:rPr>
          <w:spacing w:val="34"/>
          <w:sz w:val="20"/>
        </w:rPr>
        <w:t> </w:t>
      </w:r>
      <w:r>
        <w:rPr>
          <w:sz w:val="20"/>
        </w:rPr>
        <w:t>elektromobility</w:t>
      </w:r>
      <w:r>
        <w:rPr>
          <w:spacing w:val="34"/>
          <w:sz w:val="20"/>
        </w:rPr>
        <w:t> </w:t>
      </w:r>
      <w:r>
        <w:rPr>
          <w:sz w:val="20"/>
        </w:rPr>
        <w:t>PowerHUB</w:t>
      </w:r>
      <w:r>
        <w:rPr>
          <w:spacing w:val="36"/>
          <w:sz w:val="20"/>
        </w:rPr>
        <w:t> </w:t>
      </w:r>
      <w:r>
        <w:rPr>
          <w:sz w:val="20"/>
        </w:rPr>
        <w:t>II</w:t>
      </w:r>
      <w:r>
        <w:rPr>
          <w:spacing w:val="34"/>
          <w:sz w:val="20"/>
        </w:rPr>
        <w:t> </w:t>
      </w:r>
      <w:r>
        <w:rPr>
          <w:sz w:val="20"/>
        </w:rPr>
        <w:t>byla</w:t>
      </w:r>
      <w:r>
        <w:rPr>
          <w:spacing w:val="38"/>
          <w:sz w:val="20"/>
        </w:rPr>
        <w:t> </w:t>
      </w:r>
      <w:r>
        <w:rPr>
          <w:sz w:val="20"/>
        </w:rPr>
        <w:t>provedena</w:t>
      </w:r>
      <w:r>
        <w:rPr>
          <w:spacing w:val="34"/>
          <w:sz w:val="20"/>
        </w:rPr>
        <w:t> </w:t>
      </w:r>
      <w:r>
        <w:rPr>
          <w:sz w:val="20"/>
        </w:rPr>
        <w:t>v souladu</w:t>
      </w:r>
      <w:r>
        <w:rPr>
          <w:spacing w:val="34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37"/>
          <w:sz w:val="20"/>
        </w:rPr>
        <w:t> </w:t>
      </w:r>
      <w:r>
        <w:rPr>
          <w:sz w:val="20"/>
        </w:rPr>
        <w:t>žádostí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12.</w:t>
      </w:r>
      <w:r>
        <w:rPr>
          <w:spacing w:val="-5"/>
          <w:sz w:val="20"/>
        </w:rPr>
        <w:t> </w:t>
      </w:r>
      <w:r>
        <w:rPr>
          <w:sz w:val="20"/>
        </w:rPr>
        <w:t>10.</w:t>
      </w:r>
      <w:r>
        <w:rPr>
          <w:spacing w:val="-5"/>
          <w:sz w:val="20"/>
        </w:rPr>
        <w:t> </w:t>
      </w:r>
      <w:r>
        <w:rPr>
          <w:sz w:val="20"/>
        </w:rPr>
        <w:t>2023</w:t>
      </w:r>
      <w:r>
        <w:rPr>
          <w:spacing w:val="-1"/>
          <w:sz w:val="20"/>
        </w:rPr>
        <w:t> </w:t>
      </w:r>
      <w:r>
        <w:rPr>
          <w:sz w:val="20"/>
        </w:rPr>
        <w:t>nakoupil</w:t>
      </w:r>
      <w:r>
        <w:rPr>
          <w:spacing w:val="-5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nových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vozidel,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right="217"/>
        <w:jc w:val="both"/>
      </w:pPr>
      <w:r>
        <w:rPr/>
        <w:t>Příjemce podpory bere na vědomí, že pokud toto prohlášení není pravdivé, bude přijetí podpory podle této</w:t>
      </w:r>
      <w:r>
        <w:rPr>
          <w:spacing w:val="-11"/>
        </w:rPr>
        <w:t> </w:t>
      </w:r>
      <w:r>
        <w:rPr/>
        <w:t>Smlouvy</w:t>
      </w:r>
      <w:r>
        <w:rPr>
          <w:spacing w:val="-12"/>
        </w:rPr>
        <w:t> </w:t>
      </w:r>
      <w:r>
        <w:rPr/>
        <w:t>považováno</w:t>
      </w:r>
      <w:r>
        <w:rPr>
          <w:spacing w:val="-11"/>
        </w:rPr>
        <w:t> </w:t>
      </w:r>
      <w:r>
        <w:rPr/>
        <w:t>za</w:t>
      </w:r>
      <w:r>
        <w:rPr>
          <w:spacing w:val="-12"/>
        </w:rPr>
        <w:t> </w:t>
      </w:r>
      <w:r>
        <w:rPr/>
        <w:t>neoprávněné</w:t>
      </w:r>
      <w:r>
        <w:rPr>
          <w:spacing w:val="-12"/>
        </w:rPr>
        <w:t> </w:t>
      </w:r>
      <w:r>
        <w:rPr/>
        <w:t>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ze</w:t>
      </w:r>
      <w:r>
        <w:rPr>
          <w:spacing w:val="-12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 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218/2000</w:t>
      </w:r>
      <w:r>
        <w:rPr>
          <w:spacing w:val="-1"/>
        </w:rPr>
        <w:t> </w:t>
      </w:r>
      <w:r>
        <w:rPr/>
        <w:t>Sb.,</w:t>
      </w:r>
      <w:r>
        <w:rPr>
          <w:spacing w:val="-1"/>
        </w:rPr>
        <w:t> </w:t>
      </w:r>
      <w:r>
        <w:rPr/>
        <w:t>o rozpočtových</w:t>
      </w:r>
      <w:r>
        <w:rPr>
          <w:spacing w:val="-1"/>
        </w:rPr>
        <w:t> </w:t>
      </w:r>
      <w:r>
        <w:rPr/>
        <w:t>pravidlech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 souvisejících</w:t>
      </w:r>
      <w:r>
        <w:rPr>
          <w:spacing w:val="-1"/>
        </w:rPr>
        <w:t> </w:t>
      </w:r>
      <w:r>
        <w:rPr/>
        <w:t>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1" w:right="209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13"/>
          <w:sz w:val="20"/>
        </w:rPr>
        <w:t> </w:t>
      </w:r>
      <w:r>
        <w:rPr>
          <w:sz w:val="20"/>
        </w:rPr>
        <w:t>daňové</w:t>
      </w:r>
      <w:r>
        <w:rPr>
          <w:spacing w:val="15"/>
          <w:sz w:val="20"/>
        </w:rPr>
        <w:t> </w:t>
      </w:r>
      <w:r>
        <w:rPr>
          <w:sz w:val="20"/>
        </w:rPr>
        <w:t>evidenci</w:t>
      </w:r>
      <w:r>
        <w:rPr>
          <w:spacing w:val="13"/>
          <w:sz w:val="20"/>
        </w:rPr>
        <w:t> </w:t>
      </w:r>
      <w:r>
        <w:rPr>
          <w:sz w:val="20"/>
        </w:rPr>
        <w:t>(zákon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586/1992</w:t>
      </w:r>
      <w:r>
        <w:rPr>
          <w:spacing w:val="14"/>
          <w:sz w:val="20"/>
        </w:rPr>
        <w:t> </w:t>
      </w:r>
      <w:r>
        <w:rPr>
          <w:sz w:val="20"/>
        </w:rPr>
        <w:t>Sb.,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daních</w:t>
      </w:r>
      <w:r>
        <w:rPr>
          <w:spacing w:val="14"/>
          <w:sz w:val="20"/>
        </w:rPr>
        <w:t> </w:t>
      </w:r>
      <w:r>
        <w:rPr>
          <w:sz w:val="20"/>
        </w:rPr>
        <w:t>z příjmů,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14"/>
          <w:sz w:val="20"/>
        </w:rPr>
        <w:t> </w:t>
      </w:r>
      <w:r>
        <w:rPr>
          <w:sz w:val="20"/>
        </w:rPr>
        <w:t>znění)</w:t>
      </w:r>
      <w:r>
        <w:rPr>
          <w:spacing w:val="15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pokynů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15"/>
          <w:sz w:val="20"/>
        </w:rPr>
        <w:t> </w:t>
      </w:r>
      <w:r>
        <w:rPr>
          <w:sz w:val="20"/>
        </w:rPr>
        <w:t>12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6" w:top="1460" w:bottom="1580" w:left="1320" w:right="920"/>
        </w:sectPr>
      </w:pPr>
    </w:p>
    <w:p>
      <w:pPr>
        <w:pStyle w:val="BodyText"/>
        <w:spacing w:before="89"/>
        <w:ind w:left="741"/>
        <w:jc w:val="both"/>
      </w:pPr>
      <w:r>
        <w:rPr/>
        <w:t>písm.</w:t>
      </w:r>
      <w:r>
        <w:rPr>
          <w:spacing w:val="-4"/>
        </w:rPr>
        <w:t> </w:t>
      </w:r>
      <w:r>
        <w:rPr/>
        <w:t>b)</w:t>
      </w:r>
      <w:r>
        <w:rPr>
          <w:spacing w:val="-4"/>
        </w:rPr>
        <w:t> </w:t>
      </w:r>
      <w:r>
        <w:rPr>
          <w:spacing w:val="-2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2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2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2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2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2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2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212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2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2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2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2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6" w:top="1460" w:bottom="1600" w:left="1320" w:right="920"/>
        </w:sectPr>
      </w:pPr>
    </w:p>
    <w:p>
      <w:pPr>
        <w:pStyle w:val="BodyText"/>
        <w:spacing w:before="89"/>
        <w:ind w:left="948" w:right="218"/>
        <w:jc w:val="both"/>
      </w:pPr>
      <w:r>
        <w:rPr/>
        <w:t>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2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218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skutečných</w:t>
      </w:r>
      <w:r>
        <w:rPr>
          <w:spacing w:val="-14"/>
          <w:sz w:val="20"/>
        </w:rPr>
        <w:t> </w:t>
      </w:r>
      <w:r>
        <w:rPr>
          <w:sz w:val="20"/>
        </w:rPr>
        <w:t>majitelích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takové</w:t>
      </w:r>
      <w:r>
        <w:rPr>
          <w:spacing w:val="-14"/>
          <w:sz w:val="20"/>
        </w:rPr>
        <w:t> </w:t>
      </w:r>
      <w:r>
        <w:rPr>
          <w:sz w:val="20"/>
        </w:rPr>
        <w:t>změny</w:t>
      </w:r>
      <w:r>
        <w:rPr>
          <w:spacing w:val="-13"/>
          <w:sz w:val="20"/>
        </w:rPr>
        <w:t> </w:t>
      </w:r>
      <w:r>
        <w:rPr>
          <w:sz w:val="20"/>
        </w:rPr>
        <w:t>předložit</w:t>
      </w:r>
      <w:r>
        <w:rPr>
          <w:spacing w:val="-14"/>
          <w:sz w:val="20"/>
        </w:rPr>
        <w:t> </w:t>
      </w:r>
      <w:r>
        <w:rPr>
          <w:sz w:val="20"/>
        </w:rPr>
        <w:t>nově</w:t>
      </w:r>
      <w:r>
        <w:rPr>
          <w:spacing w:val="-13"/>
          <w:sz w:val="20"/>
        </w:rPr>
        <w:t> </w:t>
      </w:r>
      <w:r>
        <w:rPr>
          <w:sz w:val="20"/>
        </w:rPr>
        <w:t>vyplněné</w:t>
      </w:r>
      <w:r>
        <w:rPr>
          <w:spacing w:val="-12"/>
          <w:sz w:val="20"/>
        </w:rPr>
        <w:t> </w:t>
      </w:r>
      <w:r>
        <w:rPr>
          <w:sz w:val="20"/>
        </w:rPr>
        <w:t>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2" w:after="0"/>
        <w:ind w:left="665" w:right="2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4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6 Směrnice</w:t>
      </w:r>
      <w:r>
        <w:rPr>
          <w:spacing w:val="23"/>
          <w:sz w:val="20"/>
        </w:rPr>
        <w:t> </w:t>
      </w:r>
      <w:r>
        <w:rPr>
          <w:sz w:val="20"/>
        </w:rPr>
        <w:t>Evropského</w:t>
      </w:r>
      <w:r>
        <w:rPr>
          <w:spacing w:val="25"/>
          <w:sz w:val="20"/>
        </w:rPr>
        <w:t> </w:t>
      </w:r>
      <w:r>
        <w:rPr>
          <w:sz w:val="20"/>
        </w:rPr>
        <w:t>Parlamentu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Rady</w:t>
      </w:r>
      <w:r>
        <w:rPr>
          <w:spacing w:val="23"/>
          <w:sz w:val="20"/>
        </w:rPr>
        <w:t> </w:t>
      </w:r>
      <w:r>
        <w:rPr>
          <w:sz w:val="20"/>
        </w:rPr>
        <w:t>(EU)</w:t>
      </w:r>
      <w:r>
        <w:rPr>
          <w:spacing w:val="24"/>
          <w:sz w:val="20"/>
        </w:rPr>
        <w:t> </w:t>
      </w:r>
      <w:r>
        <w:rPr>
          <w:sz w:val="20"/>
        </w:rPr>
        <w:t>2015/849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předcházení</w:t>
      </w:r>
      <w:r>
        <w:rPr>
          <w:spacing w:val="24"/>
          <w:sz w:val="20"/>
        </w:rPr>
        <w:t> </w:t>
      </w:r>
      <w:r>
        <w:rPr>
          <w:sz w:val="20"/>
        </w:rPr>
        <w:t>využívání</w:t>
      </w:r>
      <w:r>
        <w:rPr>
          <w:spacing w:val="24"/>
          <w:sz w:val="20"/>
        </w:rPr>
        <w:t> </w:t>
      </w:r>
      <w:r>
        <w:rPr>
          <w:sz w:val="20"/>
        </w:rPr>
        <w:t>finančního</w:t>
      </w:r>
      <w:r>
        <w:rPr>
          <w:spacing w:val="24"/>
          <w:sz w:val="20"/>
        </w:rPr>
        <w:t> </w:t>
      </w:r>
      <w:r>
        <w:rPr>
          <w:sz w:val="20"/>
        </w:rPr>
        <w:t>systému k</w:t>
      </w:r>
      <w:r>
        <w:rPr>
          <w:spacing w:val="27"/>
          <w:sz w:val="20"/>
        </w:rPr>
        <w:t> </w:t>
      </w:r>
      <w:r>
        <w:rPr>
          <w:sz w:val="20"/>
        </w:rPr>
        <w:t>praní</w:t>
      </w:r>
      <w:r>
        <w:rPr>
          <w:spacing w:val="26"/>
          <w:sz w:val="20"/>
        </w:rPr>
        <w:t> </w:t>
      </w:r>
      <w:r>
        <w:rPr>
          <w:sz w:val="20"/>
        </w:rPr>
        <w:t>peněz</w:t>
      </w:r>
      <w:r>
        <w:rPr>
          <w:spacing w:val="28"/>
          <w:sz w:val="20"/>
        </w:rPr>
        <w:t> </w:t>
      </w:r>
      <w:r>
        <w:rPr>
          <w:sz w:val="20"/>
        </w:rPr>
        <w:t>nebo</w:t>
      </w:r>
      <w:r>
        <w:rPr>
          <w:spacing w:val="28"/>
          <w:sz w:val="20"/>
        </w:rPr>
        <w:t> </w:t>
      </w:r>
      <w:r>
        <w:rPr>
          <w:sz w:val="20"/>
        </w:rPr>
        <w:t>financování</w:t>
      </w:r>
      <w:r>
        <w:rPr>
          <w:spacing w:val="27"/>
          <w:sz w:val="20"/>
        </w:rPr>
        <w:t> </w:t>
      </w:r>
      <w:r>
        <w:rPr>
          <w:sz w:val="20"/>
        </w:rPr>
        <w:t>terorismu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smyslu</w:t>
      </w:r>
      <w:r>
        <w:rPr>
          <w:spacing w:val="27"/>
          <w:sz w:val="20"/>
        </w:rPr>
        <w:t> </w:t>
      </w:r>
      <w:r>
        <w:rPr>
          <w:sz w:val="20"/>
        </w:rPr>
        <w:t>§</w:t>
      </w:r>
      <w:r>
        <w:rPr>
          <w:spacing w:val="27"/>
          <w:sz w:val="20"/>
        </w:rPr>
        <w:t> </w:t>
      </w:r>
      <w:r>
        <w:rPr>
          <w:sz w:val="20"/>
        </w:rPr>
        <w:t>4c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7"/>
          <w:sz w:val="20"/>
        </w:rPr>
        <w:t> </w:t>
      </w:r>
      <w:r>
        <w:rPr>
          <w:sz w:val="20"/>
        </w:rPr>
        <w:t>159/2006</w:t>
      </w:r>
      <w:r>
        <w:rPr>
          <w:spacing w:val="25"/>
          <w:sz w:val="20"/>
        </w:rPr>
        <w:t> </w:t>
      </w:r>
      <w:r>
        <w:rPr>
          <w:sz w:val="20"/>
        </w:rPr>
        <w:t>Sb.,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střetu</w:t>
      </w:r>
      <w:r>
        <w:rPr>
          <w:spacing w:val="27"/>
          <w:sz w:val="20"/>
        </w:rPr>
        <w:t> </w:t>
      </w:r>
      <w:r>
        <w:rPr>
          <w:sz w:val="20"/>
        </w:rPr>
        <w:t>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8"/>
          <w:sz w:val="20"/>
        </w:rPr>
        <w:t> </w:t>
      </w:r>
      <w:r>
        <w:rPr>
          <w:sz w:val="20"/>
        </w:rPr>
        <w:t>podvodného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7"/>
          <w:sz w:val="20"/>
        </w:rPr>
        <w:t> </w:t>
      </w:r>
      <w:r>
        <w:rPr>
          <w:sz w:val="20"/>
        </w:rPr>
        <w:t>jednání</w:t>
      </w:r>
      <w:r>
        <w:rPr>
          <w:spacing w:val="-7"/>
          <w:sz w:val="20"/>
        </w:rPr>
        <w:t> </w:t>
      </w:r>
      <w:r>
        <w:rPr>
          <w:sz w:val="20"/>
        </w:rPr>
        <w:t>definovaného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q)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2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2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2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2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708" w:footer="1396" w:top="1460" w:bottom="1620" w:left="1320" w:right="920"/>
        </w:sectPr>
      </w:pPr>
    </w:p>
    <w:p>
      <w:pPr>
        <w:pStyle w:val="Heading1"/>
        <w:spacing w:before="89"/>
      </w:pPr>
      <w:r>
        <w:rPr>
          <w:spacing w:val="-5"/>
        </w:rPr>
        <w:t>VI.</w:t>
      </w:r>
    </w:p>
    <w:p>
      <w:pPr>
        <w:pStyle w:val="Heading2"/>
        <w:spacing w:before="1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" w:after="0"/>
        <w:ind w:left="665" w:right="2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2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2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2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2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2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6" w:top="1460" w:bottom="1660" w:left="1320" w:right="920"/>
        </w:sectPr>
      </w:pPr>
    </w:p>
    <w:p>
      <w:pPr>
        <w:pStyle w:val="BodyText"/>
        <w:spacing w:before="89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2"/>
        <w:ind w:left="0"/>
        <w:rPr>
          <w:b/>
          <w:sz w:val="28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2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2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2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2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2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5" w:lineRule="exact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6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6" w:top="1460" w:bottom="1660" w:left="1320" w:right="9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89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6" w:top="1460" w:bottom="1660" w:left="1320" w:right="920"/>
        </w:sectPr>
      </w:pPr>
    </w:p>
    <w:p>
      <w:pPr>
        <w:pStyle w:val="BodyText"/>
        <w:spacing w:before="9"/>
        <w:ind w:left="0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6" w:top="1460" w:bottom="1640" w:left="1320" w:right="920"/>
        </w:sectPr>
      </w:pPr>
    </w:p>
    <w:p>
      <w:pPr>
        <w:pStyle w:val="BodyText"/>
        <w:spacing w:before="9"/>
        <w:ind w:left="0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2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95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9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29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rámcové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</w:tc>
      </w:tr>
    </w:tbl>
    <w:p>
      <w:pPr>
        <w:pStyle w:val="BodyText"/>
        <w:ind w:left="0"/>
        <w:rPr>
          <w:b/>
          <w:sz w:val="27"/>
        </w:rPr>
      </w:pPr>
      <w:r>
        <w:rPr/>
        <w:pict>
          <v:rect style="position:absolute;margin-left:85.103996pt;margin-top:19.15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6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291"/>
              <w:jc w:val="both"/>
              <w:rPr>
                <w:sz w:val="20"/>
              </w:rPr>
            </w:pPr>
            <w:r>
              <w:rPr>
                <w:sz w:val="20"/>
              </w:rPr>
              <w:t>dohody,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6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95"/>
              <w:rPr>
                <w:sz w:val="20"/>
              </w:rPr>
            </w:pPr>
            <w:r>
              <w:rPr>
                <w:sz w:val="20"/>
              </w:rPr>
              <w:t>provozovnu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určitého regionu či 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708" w:footer="1396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6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2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6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6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6"/>
        <w:ind w:left="0"/>
      </w:pPr>
      <w:r>
        <w:rPr/>
        <w:pict>
          <v:rect style="position:absolute;margin-left:85.103996pt;margin-top:14.806856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6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spacing w:before="2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708" w:footer="1396" w:top="1460" w:bottom="1660" w:left="13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395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6201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5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5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0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5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6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0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60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1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9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2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4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4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53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3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86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4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53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3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86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1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1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2024-08-14T13:27:01Z</dcterms:created>
  <dcterms:modified xsi:type="dcterms:W3CDTF">2024-08-14T13:27:01Z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2024-08-14T00:00:00Z</vt:filetime>
  </property>
</Properties>
</file>