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AE8A" w14:textId="29812BFC" w:rsidR="00BE2075" w:rsidRPr="00987827" w:rsidRDefault="00BE2075" w:rsidP="00A62D90">
      <w:pPr>
        <w:pStyle w:val="Bezmezer"/>
        <w:jc w:val="center"/>
        <w:rPr>
          <w:rFonts w:ascii="Arial" w:hAnsi="Arial" w:cs="Arial"/>
          <w:b/>
          <w:bCs/>
          <w:sz w:val="32"/>
          <w:szCs w:val="32"/>
        </w:rPr>
      </w:pPr>
      <w:r w:rsidRPr="00987827">
        <w:rPr>
          <w:rFonts w:ascii="Arial" w:hAnsi="Arial" w:cs="Arial"/>
          <w:b/>
          <w:bCs/>
          <w:sz w:val="32"/>
          <w:szCs w:val="32"/>
        </w:rPr>
        <w:t xml:space="preserve">Specifikace k objednávce </w:t>
      </w:r>
      <w:r w:rsidRPr="004A17D8">
        <w:rPr>
          <w:rFonts w:ascii="Arial" w:hAnsi="Arial" w:cs="Arial"/>
          <w:b/>
          <w:bCs/>
          <w:sz w:val="32"/>
          <w:szCs w:val="32"/>
        </w:rPr>
        <w:t xml:space="preserve">č. </w:t>
      </w:r>
      <w:r w:rsidR="004A17D8" w:rsidRPr="004A17D8">
        <w:rPr>
          <w:rFonts w:ascii="Arial" w:hAnsi="Arial" w:cs="Arial"/>
          <w:b/>
          <w:bCs/>
          <w:sz w:val="32"/>
          <w:szCs w:val="32"/>
        </w:rPr>
        <w:t>0614/2024/OI/O</w:t>
      </w:r>
    </w:p>
    <w:p w14:paraId="2DA2CECC" w14:textId="77777777" w:rsidR="00A62D90" w:rsidRPr="004E50F2" w:rsidRDefault="00A62D90" w:rsidP="00A62D90">
      <w:pPr>
        <w:pStyle w:val="Bezmezer"/>
        <w:jc w:val="center"/>
        <w:rPr>
          <w:rFonts w:ascii="Arial" w:hAnsi="Arial" w:cs="Arial"/>
          <w:b/>
          <w:bCs/>
          <w:sz w:val="28"/>
        </w:rPr>
      </w:pPr>
    </w:p>
    <w:p w14:paraId="59AB30F1" w14:textId="7891B79C" w:rsidR="00CB746D" w:rsidRPr="0001037D" w:rsidRDefault="00A62D90" w:rsidP="00A62D90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01037D">
        <w:rPr>
          <w:rFonts w:ascii="Arial" w:hAnsi="Arial" w:cs="Arial"/>
          <w:b/>
          <w:bCs/>
          <w:sz w:val="20"/>
          <w:szCs w:val="20"/>
        </w:rPr>
        <w:t>Předmět objednávky:</w:t>
      </w:r>
    </w:p>
    <w:p w14:paraId="76E79C1D" w14:textId="77777777" w:rsidR="00A62D90" w:rsidRPr="00987827" w:rsidRDefault="00A62D90" w:rsidP="00A62D90">
      <w:pPr>
        <w:pStyle w:val="Bezmezer"/>
        <w:jc w:val="both"/>
        <w:rPr>
          <w:rFonts w:ascii="Arial" w:hAnsi="Arial" w:cs="Arial"/>
          <w:b/>
          <w:bCs/>
        </w:rPr>
      </w:pPr>
    </w:p>
    <w:p w14:paraId="355E1DF2" w14:textId="0EDE60D9" w:rsidR="00EE6736" w:rsidRDefault="00E92634" w:rsidP="00B02B2B">
      <w:pPr>
        <w:pStyle w:val="Default"/>
        <w:jc w:val="both"/>
        <w:rPr>
          <w:sz w:val="20"/>
          <w:szCs w:val="20"/>
        </w:rPr>
      </w:pPr>
      <w:r w:rsidRPr="00987827">
        <w:rPr>
          <w:sz w:val="20"/>
          <w:szCs w:val="20"/>
        </w:rPr>
        <w:t xml:space="preserve">Zajištění </w:t>
      </w:r>
      <w:r w:rsidR="00530945">
        <w:rPr>
          <w:sz w:val="20"/>
          <w:szCs w:val="20"/>
        </w:rPr>
        <w:t xml:space="preserve">přípravných </w:t>
      </w:r>
      <w:r w:rsidRPr="00987827">
        <w:rPr>
          <w:sz w:val="20"/>
          <w:szCs w:val="20"/>
        </w:rPr>
        <w:t>stavebních</w:t>
      </w:r>
      <w:r w:rsidR="00530945">
        <w:rPr>
          <w:sz w:val="20"/>
          <w:szCs w:val="20"/>
        </w:rPr>
        <w:t xml:space="preserve"> </w:t>
      </w:r>
      <w:r w:rsidRPr="00987827">
        <w:rPr>
          <w:sz w:val="20"/>
          <w:szCs w:val="20"/>
        </w:rPr>
        <w:t xml:space="preserve">prací </w:t>
      </w:r>
      <w:r w:rsidR="000373D7">
        <w:rPr>
          <w:sz w:val="20"/>
          <w:szCs w:val="20"/>
        </w:rPr>
        <w:t xml:space="preserve">v </w:t>
      </w:r>
      <w:r w:rsidRPr="00987827">
        <w:rPr>
          <w:sz w:val="20"/>
          <w:szCs w:val="20"/>
        </w:rPr>
        <w:t xml:space="preserve">objektu </w:t>
      </w:r>
      <w:r w:rsidR="00530945" w:rsidRPr="00530945">
        <w:rPr>
          <w:sz w:val="20"/>
          <w:szCs w:val="20"/>
        </w:rPr>
        <w:t xml:space="preserve">na ul. Pražská 3/14, 737 01 Český Těšín, která bude po požáru budovy </w:t>
      </w:r>
      <w:r w:rsidR="008108ED">
        <w:rPr>
          <w:sz w:val="20"/>
          <w:szCs w:val="20"/>
        </w:rPr>
        <w:t>Z</w:t>
      </w:r>
      <w:r w:rsidR="00530945" w:rsidRPr="00530945">
        <w:rPr>
          <w:sz w:val="20"/>
          <w:szCs w:val="20"/>
        </w:rPr>
        <w:t xml:space="preserve">ákladní školy a mateřské školy Český Těšín </w:t>
      </w:r>
      <w:proofErr w:type="spellStart"/>
      <w:r w:rsidR="00530945" w:rsidRPr="00530945">
        <w:rPr>
          <w:sz w:val="20"/>
          <w:szCs w:val="20"/>
        </w:rPr>
        <w:t>Kontešinec</w:t>
      </w:r>
      <w:proofErr w:type="spellEnd"/>
      <w:r w:rsidR="00530945" w:rsidRPr="00530945">
        <w:rPr>
          <w:sz w:val="20"/>
          <w:szCs w:val="20"/>
        </w:rPr>
        <w:t xml:space="preserve">, </w:t>
      </w:r>
      <w:proofErr w:type="spellStart"/>
      <w:r w:rsidR="00530945" w:rsidRPr="00530945">
        <w:rPr>
          <w:sz w:val="20"/>
          <w:szCs w:val="20"/>
        </w:rPr>
        <w:t>p.o</w:t>
      </w:r>
      <w:proofErr w:type="spellEnd"/>
      <w:r w:rsidR="00530945" w:rsidRPr="00530945">
        <w:rPr>
          <w:sz w:val="20"/>
          <w:szCs w:val="20"/>
        </w:rPr>
        <w:t>, na adrese Masarykovy sady 104, 737 01 Český Těšín ze dne 31.</w:t>
      </w:r>
      <w:r w:rsidR="004E50F2">
        <w:rPr>
          <w:sz w:val="20"/>
          <w:szCs w:val="20"/>
        </w:rPr>
        <w:t xml:space="preserve"> 0</w:t>
      </w:r>
      <w:r w:rsidR="00530945" w:rsidRPr="00530945">
        <w:rPr>
          <w:sz w:val="20"/>
          <w:szCs w:val="20"/>
        </w:rPr>
        <w:t>7.</w:t>
      </w:r>
      <w:r w:rsidR="004E50F2">
        <w:rPr>
          <w:sz w:val="20"/>
          <w:szCs w:val="20"/>
        </w:rPr>
        <w:t xml:space="preserve"> </w:t>
      </w:r>
      <w:r w:rsidR="00530945" w:rsidRPr="00530945">
        <w:rPr>
          <w:sz w:val="20"/>
          <w:szCs w:val="20"/>
        </w:rPr>
        <w:t xml:space="preserve">2024 a </w:t>
      </w:r>
      <w:r w:rsidR="004E50F2">
        <w:rPr>
          <w:sz w:val="20"/>
          <w:szCs w:val="20"/>
        </w:rPr>
        <w:t>0</w:t>
      </w:r>
      <w:r w:rsidR="00530945" w:rsidRPr="00530945">
        <w:rPr>
          <w:sz w:val="20"/>
          <w:szCs w:val="20"/>
        </w:rPr>
        <w:t xml:space="preserve">1. </w:t>
      </w:r>
      <w:r w:rsidR="004E50F2">
        <w:rPr>
          <w:sz w:val="20"/>
          <w:szCs w:val="20"/>
        </w:rPr>
        <w:t>0</w:t>
      </w:r>
      <w:r w:rsidR="00530945" w:rsidRPr="00530945">
        <w:rPr>
          <w:sz w:val="20"/>
          <w:szCs w:val="20"/>
        </w:rPr>
        <w:t xml:space="preserve">8. 2024 </w:t>
      </w:r>
      <w:r w:rsidR="00EE6736">
        <w:rPr>
          <w:sz w:val="20"/>
          <w:szCs w:val="20"/>
        </w:rPr>
        <w:t xml:space="preserve">dočasně </w:t>
      </w:r>
      <w:r w:rsidR="00530945" w:rsidRPr="00530945">
        <w:rPr>
          <w:sz w:val="20"/>
          <w:szCs w:val="20"/>
        </w:rPr>
        <w:t xml:space="preserve">sloužit </w:t>
      </w:r>
      <w:r w:rsidR="00EE6736">
        <w:rPr>
          <w:sz w:val="20"/>
          <w:szCs w:val="20"/>
        </w:rPr>
        <w:t xml:space="preserve">pro umístění </w:t>
      </w:r>
      <w:r w:rsidR="00EE6736" w:rsidRPr="000373D7">
        <w:rPr>
          <w:sz w:val="20"/>
          <w:szCs w:val="20"/>
        </w:rPr>
        <w:t xml:space="preserve">výuky žáků základní školy ZŠ a MŠ Český Těšín </w:t>
      </w:r>
      <w:proofErr w:type="spellStart"/>
      <w:r w:rsidR="00EE6736" w:rsidRPr="000373D7">
        <w:rPr>
          <w:sz w:val="20"/>
          <w:szCs w:val="20"/>
        </w:rPr>
        <w:t>Kontešinec</w:t>
      </w:r>
      <w:proofErr w:type="spellEnd"/>
      <w:r w:rsidR="00EE6736" w:rsidRPr="000373D7">
        <w:rPr>
          <w:sz w:val="20"/>
          <w:szCs w:val="20"/>
        </w:rPr>
        <w:t xml:space="preserve">, </w:t>
      </w:r>
      <w:proofErr w:type="spellStart"/>
      <w:r w:rsidR="00EE6736" w:rsidRPr="000373D7">
        <w:rPr>
          <w:sz w:val="20"/>
          <w:szCs w:val="20"/>
        </w:rPr>
        <w:t>p.o</w:t>
      </w:r>
      <w:proofErr w:type="spellEnd"/>
      <w:r w:rsidR="00EE6736" w:rsidRPr="000373D7">
        <w:rPr>
          <w:sz w:val="20"/>
          <w:szCs w:val="20"/>
        </w:rPr>
        <w:t>.</w:t>
      </w:r>
      <w:r w:rsidR="00EE6736">
        <w:rPr>
          <w:sz w:val="20"/>
          <w:szCs w:val="20"/>
        </w:rPr>
        <w:t xml:space="preserve"> </w:t>
      </w:r>
    </w:p>
    <w:p w14:paraId="2D702273" w14:textId="1F968A1E" w:rsidR="00530945" w:rsidRDefault="00530945" w:rsidP="00B02B2B">
      <w:pPr>
        <w:pStyle w:val="Default"/>
        <w:jc w:val="both"/>
        <w:rPr>
          <w:sz w:val="20"/>
          <w:szCs w:val="20"/>
        </w:rPr>
      </w:pPr>
    </w:p>
    <w:p w14:paraId="592AD3E9" w14:textId="04362CC4" w:rsidR="00EE6736" w:rsidRPr="00EE6736" w:rsidRDefault="00A62D90" w:rsidP="00EE6736">
      <w:pPr>
        <w:pStyle w:val="Default"/>
        <w:jc w:val="both"/>
        <w:rPr>
          <w:sz w:val="20"/>
          <w:szCs w:val="20"/>
        </w:rPr>
      </w:pPr>
      <w:r w:rsidRPr="00BD7A0F">
        <w:rPr>
          <w:sz w:val="20"/>
          <w:szCs w:val="20"/>
        </w:rPr>
        <w:t xml:space="preserve">Předmětem budou </w:t>
      </w:r>
      <w:r w:rsidR="000373D7" w:rsidRPr="00BD7A0F">
        <w:rPr>
          <w:sz w:val="20"/>
          <w:szCs w:val="20"/>
        </w:rPr>
        <w:t>přípravné stavební práce</w:t>
      </w:r>
      <w:r w:rsidR="00EE6736" w:rsidRPr="00BD7A0F">
        <w:rPr>
          <w:sz w:val="20"/>
          <w:szCs w:val="20"/>
        </w:rPr>
        <w:t xml:space="preserve">, na které posléze bude navazovat rozsáhlá </w:t>
      </w:r>
      <w:r w:rsidR="000373D7" w:rsidRPr="00BD7A0F">
        <w:rPr>
          <w:sz w:val="20"/>
          <w:szCs w:val="20"/>
        </w:rPr>
        <w:t>rekonstrukc</w:t>
      </w:r>
      <w:r w:rsidR="00EE6736" w:rsidRPr="00BD7A0F">
        <w:rPr>
          <w:sz w:val="20"/>
          <w:szCs w:val="20"/>
        </w:rPr>
        <w:t>e</w:t>
      </w:r>
      <w:r w:rsidR="000373D7" w:rsidRPr="00BD7A0F">
        <w:rPr>
          <w:sz w:val="20"/>
          <w:szCs w:val="20"/>
        </w:rPr>
        <w:t xml:space="preserve"> stávajícího objektu budovy na ulici</w:t>
      </w:r>
      <w:r w:rsidR="000373D7" w:rsidRPr="000373D7">
        <w:rPr>
          <w:sz w:val="20"/>
          <w:szCs w:val="20"/>
        </w:rPr>
        <w:t xml:space="preserve"> Pražská </w:t>
      </w:r>
      <w:r w:rsidR="00EE6736" w:rsidRPr="00EE6736">
        <w:rPr>
          <w:sz w:val="20"/>
          <w:szCs w:val="20"/>
        </w:rPr>
        <w:t>3/14</w:t>
      </w:r>
      <w:r w:rsidR="00EE6736">
        <w:rPr>
          <w:sz w:val="20"/>
          <w:szCs w:val="20"/>
        </w:rPr>
        <w:t xml:space="preserve"> </w:t>
      </w:r>
      <w:r w:rsidR="000373D7" w:rsidRPr="000373D7">
        <w:rPr>
          <w:sz w:val="20"/>
          <w:szCs w:val="20"/>
        </w:rPr>
        <w:t xml:space="preserve">v Českém Těšíně za účelem změny užívání stavby. </w:t>
      </w:r>
      <w:r w:rsidR="008108ED">
        <w:rPr>
          <w:sz w:val="20"/>
          <w:szCs w:val="20"/>
        </w:rPr>
        <w:br/>
      </w:r>
      <w:r w:rsidR="00EE6736" w:rsidRPr="000373D7">
        <w:rPr>
          <w:sz w:val="20"/>
          <w:szCs w:val="20"/>
        </w:rPr>
        <w:t>Za tímto účelem má dojít k drobným úpravám vnitřní dispozice (zvětšení prostoru místností vybouráním nenosných příček, rekonstrukce sociálního zařízení apod.), rekonstrukci interiéru (dveře, podlahy, omítky, podhledy apod.), a provedení nových vnitřních instalací (voda, kanalizace, elektřina, topení, slaboproud apod.).</w:t>
      </w:r>
    </w:p>
    <w:p w14:paraId="48D43831" w14:textId="77777777" w:rsidR="00EE6736" w:rsidRDefault="00EE6736" w:rsidP="00A62D90">
      <w:pPr>
        <w:pStyle w:val="Default"/>
        <w:jc w:val="both"/>
        <w:rPr>
          <w:sz w:val="20"/>
          <w:szCs w:val="20"/>
        </w:rPr>
      </w:pPr>
    </w:p>
    <w:p w14:paraId="03672CDB" w14:textId="46BEE8EB" w:rsidR="00EE6736" w:rsidRDefault="000373D7" w:rsidP="00A62D90">
      <w:pPr>
        <w:pStyle w:val="Default"/>
        <w:jc w:val="both"/>
        <w:rPr>
          <w:sz w:val="20"/>
          <w:szCs w:val="20"/>
        </w:rPr>
      </w:pPr>
      <w:r w:rsidRPr="000373D7">
        <w:rPr>
          <w:sz w:val="20"/>
          <w:szCs w:val="20"/>
        </w:rPr>
        <w:t xml:space="preserve">Objekt, který byl původně vystavěn pro účely provozování školského zařízení, nyní </w:t>
      </w:r>
      <w:r w:rsidR="00A51B26">
        <w:rPr>
          <w:sz w:val="20"/>
          <w:szCs w:val="20"/>
        </w:rPr>
        <w:t xml:space="preserve">měl </w:t>
      </w:r>
      <w:r w:rsidRPr="000373D7">
        <w:rPr>
          <w:sz w:val="20"/>
          <w:szCs w:val="20"/>
        </w:rPr>
        <w:t xml:space="preserve">sloužit jako administrativní a kancelářský objekt pro potřeby Městského úřadu Český Těšín. Vzhledem k mimořádné události, a to požáru objektu ZŠ a MŠ Český Těšín </w:t>
      </w:r>
      <w:proofErr w:type="spellStart"/>
      <w:r w:rsidRPr="000373D7">
        <w:rPr>
          <w:sz w:val="20"/>
          <w:szCs w:val="20"/>
        </w:rPr>
        <w:t>Kontešinec</w:t>
      </w:r>
      <w:proofErr w:type="spellEnd"/>
      <w:r w:rsidRPr="000373D7">
        <w:rPr>
          <w:sz w:val="20"/>
          <w:szCs w:val="20"/>
        </w:rPr>
        <w:t xml:space="preserve">, </w:t>
      </w:r>
      <w:proofErr w:type="spellStart"/>
      <w:r w:rsidRPr="000373D7">
        <w:rPr>
          <w:sz w:val="20"/>
          <w:szCs w:val="20"/>
        </w:rPr>
        <w:t>p.o</w:t>
      </w:r>
      <w:proofErr w:type="spellEnd"/>
      <w:r w:rsidRPr="000373D7">
        <w:rPr>
          <w:sz w:val="20"/>
          <w:szCs w:val="20"/>
        </w:rPr>
        <w:t>.,</w:t>
      </w:r>
      <w:r w:rsidR="00EE6736" w:rsidRPr="00EE6736">
        <w:rPr>
          <w:sz w:val="20"/>
          <w:szCs w:val="20"/>
        </w:rPr>
        <w:t xml:space="preserve"> </w:t>
      </w:r>
      <w:r w:rsidR="00EE6736" w:rsidRPr="00530945">
        <w:rPr>
          <w:sz w:val="20"/>
          <w:szCs w:val="20"/>
        </w:rPr>
        <w:t xml:space="preserve">a z důvodu veřejného zájmu </w:t>
      </w:r>
      <w:r w:rsidR="008108ED">
        <w:rPr>
          <w:sz w:val="20"/>
          <w:szCs w:val="20"/>
        </w:rPr>
        <w:br/>
      </w:r>
      <w:r w:rsidR="00EE6736" w:rsidRPr="00530945">
        <w:rPr>
          <w:sz w:val="20"/>
          <w:szCs w:val="20"/>
        </w:rPr>
        <w:t xml:space="preserve">na zajištění řádného zahájení školního roku 2024/2025 dne </w:t>
      </w:r>
      <w:r w:rsidR="004E50F2">
        <w:rPr>
          <w:sz w:val="20"/>
          <w:szCs w:val="20"/>
        </w:rPr>
        <w:t>0</w:t>
      </w:r>
      <w:r w:rsidR="00EE6736" w:rsidRPr="00530945">
        <w:rPr>
          <w:sz w:val="20"/>
          <w:szCs w:val="20"/>
        </w:rPr>
        <w:t>2.</w:t>
      </w:r>
      <w:r w:rsidR="004E50F2">
        <w:rPr>
          <w:sz w:val="20"/>
          <w:szCs w:val="20"/>
        </w:rPr>
        <w:t xml:space="preserve"> 0</w:t>
      </w:r>
      <w:r w:rsidR="00EE6736" w:rsidRPr="00530945">
        <w:rPr>
          <w:sz w:val="20"/>
          <w:szCs w:val="20"/>
        </w:rPr>
        <w:t>9.</w:t>
      </w:r>
      <w:r w:rsidR="004E50F2">
        <w:rPr>
          <w:sz w:val="20"/>
          <w:szCs w:val="20"/>
        </w:rPr>
        <w:t xml:space="preserve"> </w:t>
      </w:r>
      <w:r w:rsidR="00EE6736" w:rsidRPr="00530945">
        <w:rPr>
          <w:sz w:val="20"/>
          <w:szCs w:val="20"/>
        </w:rPr>
        <w:t>2024</w:t>
      </w:r>
      <w:r w:rsidR="00EE6736">
        <w:rPr>
          <w:sz w:val="20"/>
          <w:szCs w:val="20"/>
        </w:rPr>
        <w:t>,</w:t>
      </w:r>
      <w:r w:rsidRPr="000373D7">
        <w:rPr>
          <w:sz w:val="20"/>
          <w:szCs w:val="20"/>
        </w:rPr>
        <w:t xml:space="preserve"> je potřeba, aby byl objekt </w:t>
      </w:r>
      <w:r w:rsidR="00916DC4">
        <w:rPr>
          <w:sz w:val="20"/>
          <w:szCs w:val="20"/>
        </w:rPr>
        <w:br/>
      </w:r>
      <w:r w:rsidRPr="000373D7">
        <w:rPr>
          <w:sz w:val="20"/>
          <w:szCs w:val="20"/>
        </w:rPr>
        <w:t xml:space="preserve">na ulici Pražská opět využíván jako škola, a to po dobu nezbytně nutnou na rekonstrukci objektu ZŠ a MŠ Český Těšín </w:t>
      </w:r>
      <w:proofErr w:type="spellStart"/>
      <w:r w:rsidRPr="000373D7">
        <w:rPr>
          <w:sz w:val="20"/>
          <w:szCs w:val="20"/>
        </w:rPr>
        <w:t>Kontešinec</w:t>
      </w:r>
      <w:proofErr w:type="spellEnd"/>
      <w:r w:rsidRPr="000373D7">
        <w:rPr>
          <w:sz w:val="20"/>
          <w:szCs w:val="20"/>
        </w:rPr>
        <w:t xml:space="preserve">, </w:t>
      </w:r>
      <w:proofErr w:type="spellStart"/>
      <w:r w:rsidRPr="000373D7">
        <w:rPr>
          <w:sz w:val="20"/>
          <w:szCs w:val="20"/>
        </w:rPr>
        <w:t>p.o</w:t>
      </w:r>
      <w:proofErr w:type="spellEnd"/>
      <w:r w:rsidRPr="000373D7">
        <w:rPr>
          <w:sz w:val="20"/>
          <w:szCs w:val="20"/>
        </w:rPr>
        <w:t xml:space="preserve">. </w:t>
      </w:r>
    </w:p>
    <w:p w14:paraId="1A4F51FC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</w:p>
    <w:p w14:paraId="2398C3E4" w14:textId="411854F3" w:rsidR="00A62D90" w:rsidRPr="00987827" w:rsidRDefault="00A62D90" w:rsidP="00A62D90">
      <w:pPr>
        <w:pStyle w:val="Default"/>
        <w:jc w:val="both"/>
        <w:rPr>
          <w:sz w:val="20"/>
          <w:szCs w:val="20"/>
        </w:rPr>
      </w:pPr>
      <w:r w:rsidRPr="004A17D8">
        <w:rPr>
          <w:sz w:val="20"/>
          <w:szCs w:val="20"/>
        </w:rPr>
        <w:t xml:space="preserve">Projekční a inženýrské zajištění těchto stavebních prací bude probíhat za účasti osob s příslušnou odbornou způsobilostí dle zákona č. 360/1992 Sb., o výkonu povolání autorizovaných architektů </w:t>
      </w:r>
      <w:r w:rsidR="00916DC4">
        <w:rPr>
          <w:sz w:val="20"/>
          <w:szCs w:val="20"/>
        </w:rPr>
        <w:br/>
      </w:r>
      <w:r w:rsidRPr="004A17D8">
        <w:rPr>
          <w:sz w:val="20"/>
          <w:szCs w:val="20"/>
        </w:rPr>
        <w:t>a o výkonu povolání autorizovaných inženýrů a techniků činných ve výstavbě, ve znění pozdějších předpisů.</w:t>
      </w:r>
      <w:r w:rsidR="00916DC4">
        <w:rPr>
          <w:sz w:val="20"/>
          <w:szCs w:val="20"/>
        </w:rPr>
        <w:t xml:space="preserve"> </w:t>
      </w:r>
      <w:r w:rsidRPr="004A17D8">
        <w:rPr>
          <w:sz w:val="20"/>
          <w:szCs w:val="20"/>
        </w:rPr>
        <w:t>Předpokládá se minimálně účast</w:t>
      </w:r>
      <w:r w:rsidR="00916DC4">
        <w:rPr>
          <w:sz w:val="20"/>
          <w:szCs w:val="20"/>
        </w:rPr>
        <w:t xml:space="preserve"> osoby s</w:t>
      </w:r>
      <w:r w:rsidRPr="004A17D8">
        <w:rPr>
          <w:sz w:val="20"/>
          <w:szCs w:val="20"/>
        </w:rPr>
        <w:t xml:space="preserve"> autorizac</w:t>
      </w:r>
      <w:r w:rsidR="00916DC4">
        <w:rPr>
          <w:sz w:val="20"/>
          <w:szCs w:val="20"/>
        </w:rPr>
        <w:t>í</w:t>
      </w:r>
      <w:r w:rsidRPr="004A17D8">
        <w:rPr>
          <w:sz w:val="20"/>
          <w:szCs w:val="20"/>
        </w:rPr>
        <w:t xml:space="preserve"> pro obor pozemní stavby, </w:t>
      </w:r>
      <w:r w:rsidR="00950BED" w:rsidRPr="004A17D8">
        <w:rPr>
          <w:sz w:val="20"/>
          <w:szCs w:val="20"/>
        </w:rPr>
        <w:t>se kterým má objednatel uzavřenou smlouvu.</w:t>
      </w:r>
      <w:r w:rsidR="00950BED">
        <w:rPr>
          <w:sz w:val="20"/>
          <w:szCs w:val="20"/>
        </w:rPr>
        <w:t xml:space="preserve">  </w:t>
      </w:r>
    </w:p>
    <w:p w14:paraId="369FD3E0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</w:p>
    <w:p w14:paraId="2C900E3F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  <w:r w:rsidRPr="00987827">
        <w:rPr>
          <w:sz w:val="20"/>
          <w:szCs w:val="20"/>
        </w:rPr>
        <w:t>Za dodržování BOZP dle zákona č. 309/2006 Sb. při stavebních pracích je odpovědný dodavatel.</w:t>
      </w:r>
    </w:p>
    <w:p w14:paraId="2D7F4082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</w:p>
    <w:p w14:paraId="05DA88DB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  <w:r w:rsidRPr="00987827">
        <w:rPr>
          <w:sz w:val="20"/>
          <w:szCs w:val="20"/>
        </w:rPr>
        <w:t>Předmětem objednávky jsou i související ostatní a vedlejší náklady dodavatele, tj. zejména náklady se zařízením a zabezpečením staveniště, vyřízení záborů veřejných prostranství, dopravní omezení a jiné nutné náklady plynoucí z povahy objednávaných prací.</w:t>
      </w:r>
    </w:p>
    <w:p w14:paraId="2BC0F3EE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</w:p>
    <w:p w14:paraId="20F00F17" w14:textId="062E9F3E" w:rsidR="008E36FF" w:rsidRPr="00EB249C" w:rsidRDefault="00A62D90" w:rsidP="008E36FF">
      <w:pPr>
        <w:pStyle w:val="Default"/>
        <w:jc w:val="both"/>
        <w:rPr>
          <w:sz w:val="20"/>
          <w:szCs w:val="20"/>
        </w:rPr>
      </w:pPr>
      <w:r w:rsidRPr="00EB249C">
        <w:rPr>
          <w:sz w:val="20"/>
          <w:szCs w:val="20"/>
        </w:rPr>
        <w:t>Veškeré práce budou účtovány dle jednotkových cen položek specifikovaných v cenové soustavě ÚRS nebo RTS na základě vypracovaných soupisů prací</w:t>
      </w:r>
      <w:r w:rsidR="00950BED" w:rsidRPr="00EB249C">
        <w:rPr>
          <w:sz w:val="20"/>
          <w:szCs w:val="20"/>
        </w:rPr>
        <w:t xml:space="preserve">. </w:t>
      </w:r>
      <w:r w:rsidRPr="00EB249C">
        <w:rPr>
          <w:sz w:val="20"/>
          <w:szCs w:val="20"/>
        </w:rPr>
        <w:t>Pouze ve výjimečných případech, kdy nebude možné pro stanovení jednotkové ceny použít výše uvedené cenové soustavy, bude doložena individuální kalkulac</w:t>
      </w:r>
      <w:r w:rsidR="00916DC4">
        <w:rPr>
          <w:sz w:val="20"/>
          <w:szCs w:val="20"/>
        </w:rPr>
        <w:t>í</w:t>
      </w:r>
      <w:r w:rsidRPr="00EB249C">
        <w:rPr>
          <w:sz w:val="20"/>
          <w:szCs w:val="20"/>
        </w:rPr>
        <w:t xml:space="preserve"> jednotkové ceny. </w:t>
      </w:r>
      <w:r w:rsidR="008E36FF" w:rsidRPr="00EB249C">
        <w:rPr>
          <w:sz w:val="20"/>
          <w:szCs w:val="20"/>
        </w:rPr>
        <w:t xml:space="preserve">Jednotková cena položky tak bude stanovena na základě dohody objednatele a dodavatele. Objednatel je v tomto případě oprávněn ověřit přiměřenost jednotkové ceny nezávislým subjektem. </w:t>
      </w:r>
    </w:p>
    <w:p w14:paraId="22C56FFE" w14:textId="1D3F9C50" w:rsidR="008E36FF" w:rsidRDefault="008E36FF" w:rsidP="008E36FF">
      <w:pPr>
        <w:pStyle w:val="Default"/>
        <w:jc w:val="both"/>
        <w:rPr>
          <w:sz w:val="20"/>
          <w:szCs w:val="20"/>
        </w:rPr>
      </w:pPr>
      <w:r w:rsidRPr="00EB249C">
        <w:rPr>
          <w:sz w:val="20"/>
          <w:szCs w:val="20"/>
        </w:rPr>
        <w:t>Veškeré stavební práce včetně cenového odhadu musejí být před jejich provedením konzultovány s</w:t>
      </w:r>
      <w:r w:rsidR="00950BED" w:rsidRPr="00EB249C">
        <w:rPr>
          <w:sz w:val="20"/>
          <w:szCs w:val="20"/>
        </w:rPr>
        <w:t xml:space="preserve"> objednatelem, který </w:t>
      </w:r>
      <w:r w:rsidRPr="00EB249C">
        <w:rPr>
          <w:sz w:val="20"/>
          <w:szCs w:val="20"/>
        </w:rPr>
        <w:t>rozhodne na základě předpokládaného oceněni, zda se navrhovaný rozsah prací bude realizovat či nikoliv. Teprve po kladném vyjádření objednatele přistoupí zhotovitel k realizačním pracím.</w:t>
      </w:r>
    </w:p>
    <w:p w14:paraId="6B82BBDF" w14:textId="77777777" w:rsidR="008E36FF" w:rsidRDefault="008E36FF" w:rsidP="008E36FF">
      <w:pPr>
        <w:pStyle w:val="Default"/>
        <w:jc w:val="both"/>
        <w:rPr>
          <w:sz w:val="20"/>
          <w:szCs w:val="20"/>
        </w:rPr>
      </w:pPr>
    </w:p>
    <w:p w14:paraId="57A1D7FE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</w:p>
    <w:p w14:paraId="76E80DBA" w14:textId="1AAE51E6" w:rsidR="00A62D90" w:rsidRPr="00987827" w:rsidRDefault="00241B64" w:rsidP="00470D7E">
      <w:pPr>
        <w:pStyle w:val="Default"/>
        <w:jc w:val="both"/>
        <w:rPr>
          <w:b/>
          <w:sz w:val="20"/>
          <w:szCs w:val="20"/>
        </w:rPr>
      </w:pPr>
      <w:r w:rsidRPr="00BD7A0F">
        <w:rPr>
          <w:b/>
          <w:sz w:val="20"/>
          <w:szCs w:val="20"/>
        </w:rPr>
        <w:t xml:space="preserve">Na základě výše uvedeného </w:t>
      </w:r>
      <w:r w:rsidR="00470D7E" w:rsidRPr="00BD7A0F">
        <w:rPr>
          <w:b/>
          <w:sz w:val="20"/>
          <w:szCs w:val="20"/>
        </w:rPr>
        <w:t>rozsahu poptávaných prací nelze s určitost</w:t>
      </w:r>
      <w:r w:rsidR="004E50F2">
        <w:rPr>
          <w:b/>
          <w:sz w:val="20"/>
          <w:szCs w:val="20"/>
        </w:rPr>
        <w:t>í</w:t>
      </w:r>
      <w:r w:rsidR="00470D7E" w:rsidRPr="00BD7A0F">
        <w:rPr>
          <w:b/>
          <w:sz w:val="20"/>
          <w:szCs w:val="20"/>
        </w:rPr>
        <w:t xml:space="preserve"> stanovit předpokládanou hodnotu veřejné zakázky</w:t>
      </w:r>
      <w:r w:rsidR="004E50F2">
        <w:rPr>
          <w:b/>
          <w:sz w:val="20"/>
          <w:szCs w:val="20"/>
        </w:rPr>
        <w:t>,</w:t>
      </w:r>
      <w:r w:rsidR="00470D7E" w:rsidRPr="00BD7A0F">
        <w:rPr>
          <w:b/>
          <w:sz w:val="20"/>
          <w:szCs w:val="20"/>
        </w:rPr>
        <w:t xml:space="preserve"> a z těchto důvod</w:t>
      </w:r>
      <w:r w:rsidR="004E50F2">
        <w:rPr>
          <w:b/>
          <w:sz w:val="20"/>
          <w:szCs w:val="20"/>
        </w:rPr>
        <w:t>ů</w:t>
      </w:r>
      <w:r w:rsidR="00470D7E" w:rsidRPr="00BD7A0F">
        <w:rPr>
          <w:b/>
          <w:sz w:val="20"/>
          <w:szCs w:val="20"/>
        </w:rPr>
        <w:t xml:space="preserve"> bude zakázka realizována v režimu jednacího řízení bez uveřejnění</w:t>
      </w:r>
      <w:r w:rsidR="00D12655" w:rsidRPr="00BD7A0F">
        <w:rPr>
          <w:b/>
          <w:sz w:val="20"/>
          <w:szCs w:val="20"/>
        </w:rPr>
        <w:t xml:space="preserve"> z důvodu uvedených v § 63 odst. 5 zákona č. 134/2016 Sb., </w:t>
      </w:r>
      <w:r w:rsidR="008108ED">
        <w:rPr>
          <w:b/>
          <w:sz w:val="20"/>
          <w:szCs w:val="20"/>
        </w:rPr>
        <w:br/>
      </w:r>
      <w:r w:rsidR="00D12655" w:rsidRPr="00BD7A0F">
        <w:rPr>
          <w:b/>
          <w:sz w:val="20"/>
          <w:szCs w:val="20"/>
        </w:rPr>
        <w:t>o zadávání veřejných zakázek</w:t>
      </w:r>
      <w:r w:rsidR="00470D7E" w:rsidRPr="00BD7A0F">
        <w:rPr>
          <w:b/>
          <w:sz w:val="20"/>
          <w:szCs w:val="20"/>
        </w:rPr>
        <w:t>.</w:t>
      </w:r>
      <w:r w:rsidR="00470D7E">
        <w:rPr>
          <w:b/>
          <w:sz w:val="20"/>
          <w:szCs w:val="20"/>
        </w:rPr>
        <w:t xml:space="preserve">  </w:t>
      </w:r>
    </w:p>
    <w:p w14:paraId="690B8B24" w14:textId="77777777" w:rsidR="00A62D90" w:rsidRPr="00987827" w:rsidRDefault="00A62D90" w:rsidP="00A62D90">
      <w:pPr>
        <w:pStyle w:val="Default"/>
        <w:jc w:val="both"/>
        <w:rPr>
          <w:sz w:val="20"/>
          <w:szCs w:val="20"/>
        </w:rPr>
      </w:pPr>
    </w:p>
    <w:p w14:paraId="7AE5E45A" w14:textId="77777777" w:rsidR="00A62D90" w:rsidRPr="0001037D" w:rsidRDefault="00A62D90" w:rsidP="00A62D90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01037D">
        <w:rPr>
          <w:rFonts w:ascii="Arial" w:hAnsi="Arial" w:cs="Arial"/>
          <w:b/>
          <w:bCs/>
          <w:sz w:val="20"/>
          <w:szCs w:val="20"/>
        </w:rPr>
        <w:t>Staveniště, zahájení činnosti:</w:t>
      </w:r>
    </w:p>
    <w:p w14:paraId="35DC5B5F" w14:textId="540C127D" w:rsidR="00A62D90" w:rsidRDefault="00A62D90" w:rsidP="00A62D90">
      <w:pPr>
        <w:pStyle w:val="Default"/>
        <w:jc w:val="both"/>
        <w:rPr>
          <w:sz w:val="20"/>
          <w:szCs w:val="20"/>
        </w:rPr>
      </w:pPr>
      <w:r w:rsidRPr="00987827">
        <w:rPr>
          <w:sz w:val="20"/>
          <w:szCs w:val="20"/>
        </w:rPr>
        <w:t xml:space="preserve">Zahájení prací na základě výzvy zaslané objednatelem, a to do 2 dnů. O předání a převzetí staveniště vyhotoví obě strany zápis. </w:t>
      </w:r>
    </w:p>
    <w:p w14:paraId="271D3338" w14:textId="2642B5E6" w:rsidR="00950BED" w:rsidRDefault="00950BED" w:rsidP="00A62D90">
      <w:pPr>
        <w:pStyle w:val="Default"/>
        <w:jc w:val="both"/>
        <w:rPr>
          <w:sz w:val="20"/>
          <w:szCs w:val="20"/>
        </w:rPr>
      </w:pPr>
    </w:p>
    <w:p w14:paraId="68490820" w14:textId="77777777" w:rsidR="00950BED" w:rsidRPr="00987827" w:rsidRDefault="00950BED" w:rsidP="00A62D90">
      <w:pPr>
        <w:pStyle w:val="Default"/>
        <w:jc w:val="both"/>
        <w:rPr>
          <w:sz w:val="20"/>
          <w:szCs w:val="20"/>
        </w:rPr>
      </w:pPr>
    </w:p>
    <w:p w14:paraId="39C5A3C6" w14:textId="77777777" w:rsidR="00BE2075" w:rsidRPr="0001037D" w:rsidRDefault="00BE2075" w:rsidP="00987827">
      <w:pPr>
        <w:pStyle w:val="Default"/>
        <w:jc w:val="both"/>
        <w:rPr>
          <w:b/>
          <w:bCs/>
          <w:sz w:val="20"/>
          <w:szCs w:val="20"/>
        </w:rPr>
      </w:pPr>
      <w:r w:rsidRPr="0001037D">
        <w:rPr>
          <w:b/>
          <w:sz w:val="20"/>
          <w:szCs w:val="20"/>
        </w:rPr>
        <w:t>Termíny</w:t>
      </w:r>
      <w:r w:rsidRPr="0001037D">
        <w:rPr>
          <w:b/>
          <w:bCs/>
          <w:sz w:val="20"/>
          <w:szCs w:val="20"/>
        </w:rPr>
        <w:t xml:space="preserve"> plnění:</w:t>
      </w:r>
    </w:p>
    <w:p w14:paraId="0244EF70" w14:textId="151026DB" w:rsidR="00BE2075" w:rsidRPr="0001037D" w:rsidRDefault="00950BED" w:rsidP="00A62D90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termín </w:t>
      </w:r>
      <w:r w:rsidRPr="00EB249C">
        <w:rPr>
          <w:rFonts w:ascii="Arial" w:hAnsi="Arial" w:cs="Arial"/>
          <w:sz w:val="20"/>
          <w:szCs w:val="20"/>
        </w:rPr>
        <w:t xml:space="preserve">plnění </w:t>
      </w:r>
      <w:r w:rsidR="006362A5" w:rsidRPr="00EB249C">
        <w:rPr>
          <w:rFonts w:ascii="Arial" w:hAnsi="Arial" w:cs="Arial"/>
          <w:sz w:val="20"/>
          <w:szCs w:val="20"/>
        </w:rPr>
        <w:t>3</w:t>
      </w:r>
      <w:r w:rsidR="00EB249C" w:rsidRPr="00EB249C">
        <w:rPr>
          <w:rFonts w:ascii="Arial" w:hAnsi="Arial" w:cs="Arial"/>
          <w:sz w:val="20"/>
          <w:szCs w:val="20"/>
        </w:rPr>
        <w:t>1</w:t>
      </w:r>
      <w:r w:rsidR="006362A5" w:rsidRPr="00EB249C">
        <w:rPr>
          <w:rFonts w:ascii="Arial" w:hAnsi="Arial" w:cs="Arial"/>
          <w:sz w:val="20"/>
          <w:szCs w:val="20"/>
        </w:rPr>
        <w:t>.</w:t>
      </w:r>
      <w:r w:rsidR="004E50F2">
        <w:rPr>
          <w:rFonts w:ascii="Arial" w:hAnsi="Arial" w:cs="Arial"/>
          <w:sz w:val="20"/>
          <w:szCs w:val="20"/>
        </w:rPr>
        <w:t xml:space="preserve"> </w:t>
      </w:r>
      <w:r w:rsidR="00EB249C" w:rsidRPr="00EB249C">
        <w:rPr>
          <w:rFonts w:ascii="Arial" w:hAnsi="Arial" w:cs="Arial"/>
          <w:sz w:val="20"/>
          <w:szCs w:val="20"/>
        </w:rPr>
        <w:t>10</w:t>
      </w:r>
      <w:r w:rsidR="006362A5" w:rsidRPr="00EB249C">
        <w:rPr>
          <w:rFonts w:ascii="Arial" w:hAnsi="Arial" w:cs="Arial"/>
          <w:sz w:val="20"/>
          <w:szCs w:val="20"/>
        </w:rPr>
        <w:t>.</w:t>
      </w:r>
      <w:r w:rsidR="004E50F2">
        <w:rPr>
          <w:rFonts w:ascii="Arial" w:hAnsi="Arial" w:cs="Arial"/>
          <w:sz w:val="20"/>
          <w:szCs w:val="20"/>
        </w:rPr>
        <w:t xml:space="preserve"> </w:t>
      </w:r>
      <w:r w:rsidR="006362A5" w:rsidRPr="00EB249C">
        <w:rPr>
          <w:rFonts w:ascii="Arial" w:hAnsi="Arial" w:cs="Arial"/>
          <w:sz w:val="20"/>
          <w:szCs w:val="20"/>
        </w:rPr>
        <w:t>2024</w:t>
      </w:r>
    </w:p>
    <w:p w14:paraId="1F54C297" w14:textId="77777777" w:rsidR="00BE2075" w:rsidRPr="00987827" w:rsidRDefault="00BE2075" w:rsidP="00BE207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CFF919" w14:textId="6940873B" w:rsidR="00F40B3F" w:rsidRDefault="00BE2075" w:rsidP="003F360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Stavb</w:t>
      </w:r>
      <w:r w:rsidR="003F3609" w:rsidRPr="00987827">
        <w:rPr>
          <w:rFonts w:ascii="Arial" w:hAnsi="Arial" w:cs="Arial"/>
          <w:sz w:val="20"/>
          <w:szCs w:val="20"/>
        </w:rPr>
        <w:t xml:space="preserve">u tvoří objekt </w:t>
      </w:r>
      <w:r w:rsidR="00950BED">
        <w:rPr>
          <w:rFonts w:ascii="Arial" w:hAnsi="Arial" w:cs="Arial"/>
          <w:sz w:val="20"/>
          <w:szCs w:val="20"/>
        </w:rPr>
        <w:t xml:space="preserve">bývalé školy na ulici </w:t>
      </w:r>
      <w:r w:rsidR="00950BED" w:rsidRPr="00950BED">
        <w:rPr>
          <w:rFonts w:ascii="Arial" w:hAnsi="Arial" w:cs="Arial"/>
          <w:sz w:val="20"/>
          <w:szCs w:val="20"/>
        </w:rPr>
        <w:t xml:space="preserve">Pražská 3/14, 737 01 Český Těšín </w:t>
      </w:r>
    </w:p>
    <w:p w14:paraId="567A86DF" w14:textId="77777777" w:rsidR="00F40B3F" w:rsidRPr="00F40B3F" w:rsidRDefault="00F40B3F" w:rsidP="003F360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DEFE474" w14:textId="77777777" w:rsidR="003F3609" w:rsidRPr="00987827" w:rsidRDefault="003F3609" w:rsidP="003F360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D18E8B" w14:textId="0C469BD3" w:rsidR="00CB746D" w:rsidRPr="00987827" w:rsidRDefault="00BE2075" w:rsidP="00352A9B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987827">
        <w:rPr>
          <w:rFonts w:ascii="Arial" w:hAnsi="Arial" w:cs="Arial"/>
          <w:b/>
          <w:bCs/>
          <w:sz w:val="20"/>
          <w:szCs w:val="20"/>
        </w:rPr>
        <w:t>Platební podmínky:</w:t>
      </w:r>
    </w:p>
    <w:p w14:paraId="69797301" w14:textId="3594F972" w:rsidR="00CB746D" w:rsidRDefault="00CB746D" w:rsidP="006B4D0A">
      <w:pPr>
        <w:pStyle w:val="Bezmezer"/>
        <w:numPr>
          <w:ilvl w:val="0"/>
          <w:numId w:val="3"/>
        </w:numPr>
        <w:ind w:left="113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Zálohy na platby nejsou sjednány.</w:t>
      </w:r>
    </w:p>
    <w:p w14:paraId="2F325B7D" w14:textId="77777777" w:rsidR="00F40B3F" w:rsidRPr="00987827" w:rsidRDefault="00F40B3F" w:rsidP="00F40B3F">
      <w:pPr>
        <w:pStyle w:val="Bezmezer"/>
        <w:ind w:left="113"/>
        <w:jc w:val="both"/>
        <w:rPr>
          <w:rFonts w:ascii="Arial" w:hAnsi="Arial" w:cs="Arial"/>
          <w:sz w:val="20"/>
          <w:szCs w:val="20"/>
        </w:rPr>
      </w:pPr>
    </w:p>
    <w:p w14:paraId="39A0829F" w14:textId="7338E89B" w:rsidR="00CB746D" w:rsidRPr="00987827" w:rsidRDefault="00CB746D" w:rsidP="006B4D0A">
      <w:pPr>
        <w:pStyle w:val="Bezmezer"/>
        <w:numPr>
          <w:ilvl w:val="0"/>
          <w:numId w:val="3"/>
        </w:numPr>
        <w:ind w:left="113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Podkladem pro úhradu ceny za dílo budou faktury, které budou mít náležitosti daňového</w:t>
      </w:r>
      <w:r w:rsidR="006B4D0A" w:rsidRPr="00987827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 xml:space="preserve">dokladu (dále jen „faktura“). </w:t>
      </w:r>
      <w:r w:rsidR="000D17AB" w:rsidRPr="00987827">
        <w:rPr>
          <w:rFonts w:ascii="Arial" w:hAnsi="Arial" w:cs="Arial"/>
          <w:sz w:val="20"/>
          <w:szCs w:val="20"/>
        </w:rPr>
        <w:t xml:space="preserve">Fakturovaná částka bude </w:t>
      </w:r>
      <w:r w:rsidR="003F3609" w:rsidRPr="00987827">
        <w:rPr>
          <w:rFonts w:ascii="Arial" w:hAnsi="Arial" w:cs="Arial"/>
          <w:sz w:val="20"/>
          <w:szCs w:val="20"/>
        </w:rPr>
        <w:t xml:space="preserve">vystavena </w:t>
      </w:r>
      <w:r w:rsidR="00DC60D9" w:rsidRPr="00987827">
        <w:rPr>
          <w:rFonts w:ascii="Arial" w:hAnsi="Arial" w:cs="Arial"/>
          <w:sz w:val="20"/>
          <w:szCs w:val="20"/>
        </w:rPr>
        <w:t>na objekt „</w:t>
      </w:r>
      <w:r w:rsidR="00950BED" w:rsidRPr="00950BED">
        <w:rPr>
          <w:rFonts w:ascii="Arial" w:hAnsi="Arial" w:cs="Arial"/>
          <w:b/>
          <w:sz w:val="20"/>
          <w:szCs w:val="20"/>
        </w:rPr>
        <w:t>Budova Pražská 3/14, 737 01 Český Těšín</w:t>
      </w:r>
      <w:r w:rsidR="00DC60D9" w:rsidRPr="00950BED">
        <w:rPr>
          <w:rFonts w:ascii="Arial" w:hAnsi="Arial" w:cs="Arial"/>
          <w:b/>
          <w:bCs/>
          <w:sz w:val="20"/>
          <w:szCs w:val="20"/>
        </w:rPr>
        <w:t>“</w:t>
      </w:r>
      <w:r w:rsidR="00DC60D9" w:rsidRPr="0098782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87827">
        <w:rPr>
          <w:rFonts w:ascii="Arial" w:hAnsi="Arial" w:cs="Arial"/>
          <w:sz w:val="20"/>
          <w:szCs w:val="20"/>
        </w:rPr>
        <w:t>Kromě náležitostí stanovených platnými právními předpisy</w:t>
      </w:r>
      <w:r w:rsidR="00DC60D9" w:rsidRPr="009878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>pro daňový doklad bude zhotovitel povinen ve faktuře uvést i tyto údaje:</w:t>
      </w:r>
    </w:p>
    <w:p w14:paraId="3BC6FEB8" w14:textId="3ECBC315" w:rsidR="00CB746D" w:rsidRPr="00987827" w:rsidRDefault="00CB746D" w:rsidP="006B4D0A">
      <w:pPr>
        <w:pStyle w:val="Bezmezer"/>
        <w:numPr>
          <w:ilvl w:val="1"/>
          <w:numId w:val="2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 xml:space="preserve">číslo objednávky objednatele, IČO objednatele, </w:t>
      </w:r>
    </w:p>
    <w:p w14:paraId="4FE7602E" w14:textId="1B2EE278" w:rsidR="00CB746D" w:rsidRPr="00987827" w:rsidRDefault="00CB746D" w:rsidP="006B4D0A">
      <w:pPr>
        <w:pStyle w:val="Bezmezer"/>
        <w:numPr>
          <w:ilvl w:val="1"/>
          <w:numId w:val="2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předmět smlouvy, tj. text „</w:t>
      </w:r>
      <w:r w:rsidR="004E50F2">
        <w:rPr>
          <w:rFonts w:ascii="Arial" w:hAnsi="Arial" w:cs="Arial"/>
          <w:b/>
          <w:bCs/>
          <w:sz w:val="20"/>
          <w:szCs w:val="20"/>
        </w:rPr>
        <w:t>Adaptace budovy na ulici Pražská –</w:t>
      </w:r>
      <w:r w:rsidR="00352A9B" w:rsidRPr="00987827">
        <w:rPr>
          <w:rFonts w:ascii="Arial" w:hAnsi="Arial" w:cs="Arial"/>
          <w:b/>
          <w:bCs/>
          <w:sz w:val="20"/>
          <w:szCs w:val="20"/>
        </w:rPr>
        <w:t xml:space="preserve"> </w:t>
      </w:r>
      <w:r w:rsidR="004E50F2">
        <w:rPr>
          <w:rFonts w:ascii="Arial" w:hAnsi="Arial" w:cs="Arial"/>
          <w:b/>
          <w:bCs/>
          <w:sz w:val="20"/>
          <w:szCs w:val="20"/>
        </w:rPr>
        <w:t xml:space="preserve">požár ZŠ </w:t>
      </w:r>
      <w:proofErr w:type="spellStart"/>
      <w:r w:rsidR="004E50F2">
        <w:rPr>
          <w:rFonts w:ascii="Arial" w:hAnsi="Arial" w:cs="Arial"/>
          <w:b/>
          <w:bCs/>
          <w:sz w:val="20"/>
          <w:szCs w:val="20"/>
        </w:rPr>
        <w:t>Kontešinec</w:t>
      </w:r>
      <w:proofErr w:type="spellEnd"/>
      <w:r w:rsidRPr="00987827">
        <w:rPr>
          <w:rFonts w:ascii="Arial" w:hAnsi="Arial" w:cs="Arial"/>
          <w:sz w:val="20"/>
          <w:szCs w:val="20"/>
        </w:rPr>
        <w:t>“,</w:t>
      </w:r>
    </w:p>
    <w:p w14:paraId="6A994A0F" w14:textId="6E64EF1F" w:rsidR="00CB746D" w:rsidRPr="00987827" w:rsidRDefault="00CB746D" w:rsidP="006B4D0A">
      <w:pPr>
        <w:pStyle w:val="Bezmezer"/>
        <w:numPr>
          <w:ilvl w:val="1"/>
          <w:numId w:val="2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označení banky a číslo účtu, na který musí být zaplaceno</w:t>
      </w:r>
      <w:r w:rsidR="00352A9B" w:rsidRPr="00987827">
        <w:rPr>
          <w:rFonts w:ascii="Arial" w:hAnsi="Arial" w:cs="Arial"/>
          <w:sz w:val="20"/>
          <w:szCs w:val="20"/>
        </w:rPr>
        <w:t>,</w:t>
      </w:r>
    </w:p>
    <w:p w14:paraId="15BB2015" w14:textId="4B47C323" w:rsidR="00CB746D" w:rsidRPr="00987827" w:rsidRDefault="00CB746D" w:rsidP="006B4D0A">
      <w:pPr>
        <w:pStyle w:val="Bezmezer"/>
        <w:numPr>
          <w:ilvl w:val="1"/>
          <w:numId w:val="2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lhůtu splatnosti faktury,</w:t>
      </w:r>
    </w:p>
    <w:p w14:paraId="46CA780E" w14:textId="0F0EFDB5" w:rsidR="00CB746D" w:rsidRPr="00987827" w:rsidRDefault="00CB746D" w:rsidP="006B4D0A">
      <w:pPr>
        <w:pStyle w:val="Bezmezer"/>
        <w:numPr>
          <w:ilvl w:val="1"/>
          <w:numId w:val="2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označení osoby, která fakturu vyhotovila, včetně jejího podpisu a kontaktního telefonu,</w:t>
      </w:r>
    </w:p>
    <w:p w14:paraId="1413B8C3" w14:textId="06FF487A" w:rsidR="00CB746D" w:rsidRDefault="00CB746D" w:rsidP="006B4D0A">
      <w:pPr>
        <w:pStyle w:val="Bezmezer"/>
        <w:numPr>
          <w:ilvl w:val="1"/>
          <w:numId w:val="2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označení útvaru objednatele, který případ likviduje (</w:t>
      </w:r>
      <w:r w:rsidR="00352A9B" w:rsidRPr="00987827">
        <w:rPr>
          <w:rFonts w:ascii="Arial" w:hAnsi="Arial" w:cs="Arial"/>
          <w:sz w:val="20"/>
          <w:szCs w:val="20"/>
        </w:rPr>
        <w:t>odbor investiční a majetkový</w:t>
      </w:r>
      <w:r w:rsidRPr="00987827">
        <w:rPr>
          <w:rFonts w:ascii="Arial" w:hAnsi="Arial" w:cs="Arial"/>
          <w:sz w:val="20"/>
          <w:szCs w:val="20"/>
        </w:rPr>
        <w:t>)</w:t>
      </w:r>
      <w:r w:rsidR="00DC60D9" w:rsidRPr="00987827">
        <w:rPr>
          <w:rFonts w:ascii="Arial" w:hAnsi="Arial" w:cs="Arial"/>
          <w:sz w:val="20"/>
          <w:szCs w:val="20"/>
        </w:rPr>
        <w:t>.</w:t>
      </w:r>
    </w:p>
    <w:p w14:paraId="0A8C1F74" w14:textId="77777777" w:rsidR="00987827" w:rsidRPr="00987827" w:rsidRDefault="00987827" w:rsidP="00987827">
      <w:pPr>
        <w:pStyle w:val="Bezmezer"/>
        <w:ind w:left="697"/>
        <w:jc w:val="both"/>
        <w:rPr>
          <w:rFonts w:ascii="Arial" w:hAnsi="Arial" w:cs="Arial"/>
          <w:sz w:val="20"/>
          <w:szCs w:val="20"/>
        </w:rPr>
      </w:pPr>
    </w:p>
    <w:p w14:paraId="2E8979AE" w14:textId="7FB5319B" w:rsidR="00A62D90" w:rsidRDefault="00A62D90" w:rsidP="004265EC">
      <w:pPr>
        <w:pStyle w:val="Bezmezer"/>
        <w:numPr>
          <w:ilvl w:val="0"/>
          <w:numId w:val="3"/>
        </w:numPr>
        <w:ind w:left="113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V souladu s ustanovením zákona o DPH sjednávají smluvní strany dílčí plnění v</w:t>
      </w:r>
      <w:r w:rsidR="004265EC" w:rsidRPr="00987827">
        <w:rPr>
          <w:rFonts w:ascii="Arial" w:hAnsi="Arial" w:cs="Arial"/>
          <w:sz w:val="20"/>
          <w:szCs w:val="20"/>
        </w:rPr>
        <w:t> </w:t>
      </w:r>
      <w:r w:rsidRPr="00987827">
        <w:rPr>
          <w:rFonts w:ascii="Arial" w:hAnsi="Arial" w:cs="Arial"/>
          <w:sz w:val="20"/>
          <w:szCs w:val="20"/>
        </w:rPr>
        <w:t>rozsahu</w:t>
      </w:r>
      <w:r w:rsidR="004265EC" w:rsidRPr="00987827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>skutečně provedeného plnění za kalendářní měsíc. Zhotovitel</w:t>
      </w:r>
      <w:r w:rsidR="006B4D0A" w:rsidRPr="00987827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>vystaví na měsíční zdanitelné plnění fakturu, jejíž nedílnou součástí bude</w:t>
      </w:r>
      <w:r w:rsidR="006B4D0A" w:rsidRPr="00987827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 xml:space="preserve">soupis provedených prací a zjišťovací protokol </w:t>
      </w:r>
      <w:r w:rsidR="004E50F2">
        <w:rPr>
          <w:rFonts w:ascii="Arial" w:hAnsi="Arial" w:cs="Arial"/>
          <w:sz w:val="20"/>
          <w:szCs w:val="20"/>
        </w:rPr>
        <w:t>–</w:t>
      </w:r>
      <w:r w:rsidRPr="00987827">
        <w:rPr>
          <w:rFonts w:ascii="Arial" w:hAnsi="Arial" w:cs="Arial"/>
          <w:sz w:val="20"/>
          <w:szCs w:val="20"/>
        </w:rPr>
        <w:t xml:space="preserve"> obojí</w:t>
      </w:r>
      <w:r w:rsidR="004E50F2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>podepsané zhotovitelem</w:t>
      </w:r>
      <w:r w:rsidR="007A4C76" w:rsidRPr="00987827">
        <w:rPr>
          <w:rFonts w:ascii="Arial" w:hAnsi="Arial" w:cs="Arial"/>
          <w:sz w:val="20"/>
          <w:szCs w:val="20"/>
        </w:rPr>
        <w:t xml:space="preserve">. </w:t>
      </w:r>
    </w:p>
    <w:p w14:paraId="5C42BAA6" w14:textId="77777777" w:rsidR="00987827" w:rsidRPr="00987827" w:rsidRDefault="00987827" w:rsidP="00987827">
      <w:pPr>
        <w:pStyle w:val="Bezmezer"/>
        <w:ind w:left="113"/>
        <w:jc w:val="both"/>
        <w:rPr>
          <w:rFonts w:ascii="Arial" w:hAnsi="Arial" w:cs="Arial"/>
          <w:sz w:val="20"/>
          <w:szCs w:val="20"/>
        </w:rPr>
      </w:pPr>
    </w:p>
    <w:p w14:paraId="58969BE0" w14:textId="77777777" w:rsidR="00F40B3F" w:rsidRDefault="00A62D90" w:rsidP="00F40B3F">
      <w:pPr>
        <w:pStyle w:val="Bezmezer"/>
        <w:numPr>
          <w:ilvl w:val="0"/>
          <w:numId w:val="3"/>
        </w:numPr>
        <w:ind w:left="113"/>
        <w:jc w:val="both"/>
        <w:rPr>
          <w:rFonts w:ascii="Arial" w:hAnsi="Arial" w:cs="Arial"/>
          <w:sz w:val="20"/>
          <w:szCs w:val="20"/>
        </w:rPr>
      </w:pPr>
      <w:r w:rsidRPr="00987827">
        <w:rPr>
          <w:rFonts w:ascii="Arial" w:hAnsi="Arial" w:cs="Arial"/>
          <w:sz w:val="20"/>
          <w:szCs w:val="20"/>
        </w:rPr>
        <w:t>Lhůta splatnosti jednotlivých faktur</w:t>
      </w:r>
      <w:r w:rsidR="006B4D0A" w:rsidRPr="00987827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>je dohodou stanovena na 30 kalendářních dnů ode dne</w:t>
      </w:r>
      <w:r w:rsidR="004265EC" w:rsidRPr="00987827">
        <w:rPr>
          <w:rFonts w:ascii="Arial" w:hAnsi="Arial" w:cs="Arial"/>
          <w:sz w:val="20"/>
          <w:szCs w:val="20"/>
        </w:rPr>
        <w:t xml:space="preserve"> </w:t>
      </w:r>
      <w:r w:rsidRPr="00987827">
        <w:rPr>
          <w:rFonts w:ascii="Arial" w:hAnsi="Arial" w:cs="Arial"/>
          <w:sz w:val="20"/>
          <w:szCs w:val="20"/>
        </w:rPr>
        <w:t>jejich doručení objednateli.</w:t>
      </w:r>
    </w:p>
    <w:p w14:paraId="24E6BAAA" w14:textId="77777777" w:rsidR="00F40B3F" w:rsidRDefault="00F40B3F" w:rsidP="00F40B3F">
      <w:pPr>
        <w:pStyle w:val="Odstavecseseznamem"/>
        <w:rPr>
          <w:rFonts w:ascii="Arial" w:hAnsi="Arial" w:cs="Arial"/>
          <w:sz w:val="20"/>
          <w:szCs w:val="20"/>
        </w:rPr>
      </w:pPr>
    </w:p>
    <w:p w14:paraId="43B9DBB4" w14:textId="32BA486A" w:rsidR="00F40B3F" w:rsidRPr="00F40B3F" w:rsidRDefault="00F40B3F" w:rsidP="00F40B3F">
      <w:pPr>
        <w:pStyle w:val="Bezmezer"/>
        <w:numPr>
          <w:ilvl w:val="0"/>
          <w:numId w:val="3"/>
        </w:numPr>
        <w:ind w:left="113"/>
        <w:jc w:val="both"/>
        <w:rPr>
          <w:rFonts w:ascii="Arial" w:hAnsi="Arial" w:cs="Arial"/>
          <w:sz w:val="20"/>
          <w:szCs w:val="20"/>
        </w:rPr>
      </w:pPr>
      <w:r w:rsidRPr="00F40B3F">
        <w:rPr>
          <w:rFonts w:ascii="Arial" w:hAnsi="Arial" w:cs="Arial"/>
          <w:sz w:val="20"/>
          <w:szCs w:val="20"/>
        </w:rPr>
        <w:t>Stane-li se zhotovitel nespolehlivým plátcem, hodnota plnění odpovídající dani bude hrazena přímo na účet správce daně v režimu podle §</w:t>
      </w:r>
      <w:proofErr w:type="gramStart"/>
      <w:r w:rsidRPr="00F40B3F">
        <w:rPr>
          <w:rFonts w:ascii="Arial" w:hAnsi="Arial" w:cs="Arial"/>
          <w:sz w:val="20"/>
          <w:szCs w:val="20"/>
        </w:rPr>
        <w:t>109a</w:t>
      </w:r>
      <w:proofErr w:type="gramEnd"/>
      <w:r w:rsidRPr="00F40B3F">
        <w:rPr>
          <w:rFonts w:ascii="Arial" w:hAnsi="Arial" w:cs="Arial"/>
          <w:sz w:val="20"/>
          <w:szCs w:val="20"/>
        </w:rPr>
        <w:t xml:space="preserve"> zákona o dani z přidané hodnoty.</w:t>
      </w:r>
    </w:p>
    <w:p w14:paraId="4C2E5125" w14:textId="77777777" w:rsidR="00F40B3F" w:rsidRDefault="00F40B3F" w:rsidP="00F40B3F">
      <w:pPr>
        <w:pStyle w:val="Odstavecseseznamem"/>
        <w:rPr>
          <w:rFonts w:ascii="Arial" w:hAnsi="Arial" w:cs="Arial"/>
          <w:sz w:val="20"/>
          <w:szCs w:val="20"/>
        </w:rPr>
      </w:pPr>
    </w:p>
    <w:p w14:paraId="2DB48BEA" w14:textId="3F43EDC2" w:rsidR="00C548FF" w:rsidRDefault="00F40B3F" w:rsidP="004265EC">
      <w:pPr>
        <w:pStyle w:val="Bezmezer"/>
        <w:numPr>
          <w:ilvl w:val="0"/>
          <w:numId w:val="3"/>
        </w:numPr>
        <w:ind w:lef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vztah </w:t>
      </w:r>
      <w:r w:rsidR="00C548FF">
        <w:rPr>
          <w:rFonts w:ascii="Arial" w:hAnsi="Arial" w:cs="Arial"/>
          <w:sz w:val="20"/>
          <w:szCs w:val="20"/>
        </w:rPr>
        <w:t xml:space="preserve">nabývá účinnosti </w:t>
      </w:r>
      <w:r w:rsidR="00C548FF" w:rsidRPr="00C548FF">
        <w:rPr>
          <w:rFonts w:ascii="Arial" w:hAnsi="Arial" w:cs="Arial"/>
          <w:sz w:val="20"/>
          <w:szCs w:val="20"/>
        </w:rPr>
        <w:t xml:space="preserve">nezávisle na uveřejnění prostřednictvím registru smluv, neboť </w:t>
      </w:r>
      <w:r w:rsidR="00C548FF">
        <w:rPr>
          <w:rFonts w:ascii="Arial" w:hAnsi="Arial" w:cs="Arial"/>
          <w:sz w:val="20"/>
          <w:szCs w:val="20"/>
        </w:rPr>
        <w:t xml:space="preserve">objednávky </w:t>
      </w:r>
      <w:r w:rsidR="00C548FF" w:rsidRPr="00C548FF">
        <w:rPr>
          <w:rFonts w:ascii="Arial" w:hAnsi="Arial" w:cs="Arial"/>
          <w:sz w:val="20"/>
          <w:szCs w:val="20"/>
        </w:rPr>
        <w:t xml:space="preserve">byla </w:t>
      </w:r>
      <w:r w:rsidR="00950BED">
        <w:rPr>
          <w:rFonts w:ascii="Arial" w:hAnsi="Arial" w:cs="Arial"/>
          <w:sz w:val="20"/>
          <w:szCs w:val="20"/>
        </w:rPr>
        <w:t>vystavena</w:t>
      </w:r>
      <w:r w:rsidR="00C548FF" w:rsidRPr="00C548FF">
        <w:rPr>
          <w:rFonts w:ascii="Arial" w:hAnsi="Arial" w:cs="Arial"/>
          <w:sz w:val="20"/>
          <w:szCs w:val="20"/>
        </w:rPr>
        <w:t xml:space="preserve"> za účelem odvrácení nebo zmírnění újmy hrozící bezprostředně v souvislosti s mimořádnou událostí ohrožující život, zdraví, majetek nebo životní prostředí, v souladu s ustanovením § 6 odst. 2 zákona č. 340/2015 Sb., o registru smluv.</w:t>
      </w:r>
    </w:p>
    <w:p w14:paraId="50750A53" w14:textId="77777777" w:rsidR="00AA645E" w:rsidRPr="00987827" w:rsidRDefault="00AA645E" w:rsidP="00BE2075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14:paraId="418D1DC5" w14:textId="77777777" w:rsidR="00AA645E" w:rsidRPr="00987827" w:rsidRDefault="00AA645E" w:rsidP="00BE2075">
      <w:pPr>
        <w:pStyle w:val="Bezmezer"/>
        <w:jc w:val="both"/>
        <w:rPr>
          <w:rFonts w:ascii="Arial" w:hAnsi="Arial" w:cs="Arial"/>
        </w:rPr>
      </w:pPr>
    </w:p>
    <w:sectPr w:rsidR="00AA645E" w:rsidRPr="00987827" w:rsidSect="004E50F2">
      <w:footerReference w:type="even" r:id="rId7"/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C355" w14:textId="77777777" w:rsidR="003342D9" w:rsidRDefault="003342D9" w:rsidP="00BE2075">
      <w:pPr>
        <w:spacing w:after="0" w:line="240" w:lineRule="auto"/>
      </w:pPr>
      <w:r>
        <w:separator/>
      </w:r>
    </w:p>
  </w:endnote>
  <w:endnote w:type="continuationSeparator" w:id="0">
    <w:p w14:paraId="75CE6313" w14:textId="77777777" w:rsidR="003342D9" w:rsidRDefault="003342D9" w:rsidP="00BE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DDE70" w14:textId="5E15EA09" w:rsidR="00BE2075" w:rsidRDefault="00BE207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C032F0" wp14:editId="715277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32026595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B0F44" w14:textId="7CE588DA" w:rsidR="00BE2075" w:rsidRPr="00BE2075" w:rsidRDefault="00BE2075" w:rsidP="00BE20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E20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032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" filled="f" stroked="f">
              <v:textbox style="mso-fit-shape-to-text:t" inset="20pt,0,0,15pt">
                <w:txbxContent>
                  <w:p w14:paraId="66DB0F44" w14:textId="7CE588DA" w:rsidR="00BE2075" w:rsidRPr="00BE2075" w:rsidRDefault="00BE2075" w:rsidP="00BE20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E207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B856" w14:textId="254EB77A" w:rsidR="00BE2075" w:rsidRDefault="00BE207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E19930" wp14:editId="12113E55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212069391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BBAA8" w14:textId="641386C5" w:rsidR="00BE2075" w:rsidRPr="00BE2075" w:rsidRDefault="00BE2075" w:rsidP="00BE20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199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" filled="f" stroked="f">
              <v:textbox style="mso-fit-shape-to-text:t" inset="20pt,0,0,15pt">
                <w:txbxContent>
                  <w:p w14:paraId="165BBAA8" w14:textId="641386C5" w:rsidR="00BE2075" w:rsidRPr="00BE2075" w:rsidRDefault="00BE2075" w:rsidP="00BE20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5FCC" w14:textId="12014795" w:rsidR="00BE2075" w:rsidRDefault="00BE207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23EC9B" wp14:editId="7EF074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48016072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B26FD" w14:textId="02338949" w:rsidR="00BE2075" w:rsidRPr="00BE2075" w:rsidRDefault="00BE2075" w:rsidP="00BE20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E20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3EC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" filled="f" stroked="f">
              <v:textbox style="mso-fit-shape-to-text:t" inset="20pt,0,0,15pt">
                <w:txbxContent>
                  <w:p w14:paraId="539B26FD" w14:textId="02338949" w:rsidR="00BE2075" w:rsidRPr="00BE2075" w:rsidRDefault="00BE2075" w:rsidP="00BE20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E207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8087" w14:textId="77777777" w:rsidR="003342D9" w:rsidRDefault="003342D9" w:rsidP="00BE2075">
      <w:pPr>
        <w:spacing w:after="0" w:line="240" w:lineRule="auto"/>
      </w:pPr>
      <w:r>
        <w:separator/>
      </w:r>
    </w:p>
  </w:footnote>
  <w:footnote w:type="continuationSeparator" w:id="0">
    <w:p w14:paraId="52EB7D07" w14:textId="77777777" w:rsidR="003342D9" w:rsidRDefault="003342D9" w:rsidP="00BE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DE32DA"/>
    <w:multiLevelType w:val="multilevel"/>
    <w:tmpl w:val="E9D40D8E"/>
    <w:lvl w:ilvl="0">
      <w:start w:val="1"/>
      <w:numFmt w:val="lowerLetter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lowerLetter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859CC"/>
    <w:multiLevelType w:val="hybridMultilevel"/>
    <w:tmpl w:val="3DE4DE4C"/>
    <w:lvl w:ilvl="0" w:tplc="E8AE0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F2051"/>
    <w:multiLevelType w:val="hybridMultilevel"/>
    <w:tmpl w:val="0930E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136F4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75"/>
    <w:rsid w:val="0001037D"/>
    <w:rsid w:val="000373D7"/>
    <w:rsid w:val="000615DD"/>
    <w:rsid w:val="000D17AB"/>
    <w:rsid w:val="001C2226"/>
    <w:rsid w:val="001C46F3"/>
    <w:rsid w:val="001D7253"/>
    <w:rsid w:val="001E2F81"/>
    <w:rsid w:val="00241B64"/>
    <w:rsid w:val="003342D9"/>
    <w:rsid w:val="00352A9B"/>
    <w:rsid w:val="003F3609"/>
    <w:rsid w:val="004265EC"/>
    <w:rsid w:val="00437075"/>
    <w:rsid w:val="00470D7E"/>
    <w:rsid w:val="004A17D8"/>
    <w:rsid w:val="004E50F2"/>
    <w:rsid w:val="00522AF6"/>
    <w:rsid w:val="00530945"/>
    <w:rsid w:val="00537E2E"/>
    <w:rsid w:val="005F472E"/>
    <w:rsid w:val="006362A5"/>
    <w:rsid w:val="006B4D0A"/>
    <w:rsid w:val="00717D1D"/>
    <w:rsid w:val="007227B1"/>
    <w:rsid w:val="00785484"/>
    <w:rsid w:val="007A0C4B"/>
    <w:rsid w:val="007A4C76"/>
    <w:rsid w:val="00806C5C"/>
    <w:rsid w:val="008108ED"/>
    <w:rsid w:val="008E36FF"/>
    <w:rsid w:val="008E7DB1"/>
    <w:rsid w:val="00916DC4"/>
    <w:rsid w:val="00950BED"/>
    <w:rsid w:val="00987827"/>
    <w:rsid w:val="009F3B6A"/>
    <w:rsid w:val="00A20435"/>
    <w:rsid w:val="00A51B26"/>
    <w:rsid w:val="00A62D90"/>
    <w:rsid w:val="00A740B4"/>
    <w:rsid w:val="00AA645E"/>
    <w:rsid w:val="00AF7CDD"/>
    <w:rsid w:val="00B02B2B"/>
    <w:rsid w:val="00B16DDC"/>
    <w:rsid w:val="00B171D5"/>
    <w:rsid w:val="00BD7A0F"/>
    <w:rsid w:val="00BE2075"/>
    <w:rsid w:val="00C548FF"/>
    <w:rsid w:val="00CB746D"/>
    <w:rsid w:val="00D02162"/>
    <w:rsid w:val="00D12655"/>
    <w:rsid w:val="00D14421"/>
    <w:rsid w:val="00D57558"/>
    <w:rsid w:val="00D73D3D"/>
    <w:rsid w:val="00DA4B67"/>
    <w:rsid w:val="00DC60D9"/>
    <w:rsid w:val="00E20443"/>
    <w:rsid w:val="00E47720"/>
    <w:rsid w:val="00E61A32"/>
    <w:rsid w:val="00E92634"/>
    <w:rsid w:val="00EB249C"/>
    <w:rsid w:val="00EE6736"/>
    <w:rsid w:val="00F40B3F"/>
    <w:rsid w:val="00F4262B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D3504"/>
  <w15:chartTrackingRefBased/>
  <w15:docId w15:val="{B4AA8E4A-CEAB-4B53-B96C-0B7DE65A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746D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2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2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20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20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20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20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20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20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2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20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20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20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2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20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207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E207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E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075"/>
  </w:style>
  <w:style w:type="paragraph" w:customStyle="1" w:styleId="Default">
    <w:name w:val="Default"/>
    <w:rsid w:val="00A62D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265EC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40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B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B3F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B3F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3F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5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0F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Juráková Renata</dc:creator>
  <cp:keywords/>
  <dc:description/>
  <cp:lastModifiedBy>Klimšová Andrea</cp:lastModifiedBy>
  <cp:revision>5</cp:revision>
  <cp:lastPrinted>2024-08-06T06:35:00Z</cp:lastPrinted>
  <dcterms:created xsi:type="dcterms:W3CDTF">2024-08-08T12:07:00Z</dcterms:created>
  <dcterms:modified xsi:type="dcterms:W3CDTF">2024-08-14T11:32:00Z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1c9eabd0,1316dedf,7e67389b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2024-08-05T04:03:30Z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9175ce3c-d26e-4034-bd3d-37e3f988f7e8</vt:lpwstr>
  </property>
  <property fmtid="{D5CDD505-2E9C-101B-9397-08002B2CF9AE}" pid="11" name="MSIP_Label_215ad6d0-798b-44f9-b3fd-112ad6275fb4_ContentBits">
    <vt:lpwstr>2</vt:lpwstr>
  </property>
</Properties>
</file>