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E403F7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CFF" w:rsidRDefault="00F263A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S/05056/UL/24</w:t>
      </w:r>
    </w:p>
    <w:p w:rsidR="007B0CFF" w:rsidRDefault="00F263A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05056/UL/24</w:t>
      </w:r>
    </w:p>
    <w:p w:rsidR="007B0CFF" w:rsidRDefault="00F263A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1189/53/24</w:t>
      </w: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A42D75" w:rsidP="00E6249C">
      <w:pPr>
        <w:spacing w:before="40" w:after="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Regionální pracoviště: </w:t>
      </w: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</w:t>
      </w:r>
      <w:r w:rsidR="0069031B">
        <w:rPr>
          <w:rFonts w:ascii="Arial" w:hAnsi="Arial" w:cs="Arial"/>
        </w:rPr>
        <w:t>Vladislav Kopecký</w:t>
      </w:r>
      <w:r>
        <w:rPr>
          <w:rFonts w:ascii="Arial" w:hAnsi="Arial" w:cs="Arial"/>
        </w:rPr>
        <w:t>,</w:t>
      </w:r>
      <w:r w:rsidR="0069031B">
        <w:rPr>
          <w:rFonts w:ascii="Arial" w:hAnsi="Arial" w:cs="Arial"/>
        </w:rPr>
        <w:t xml:space="preserve"> pověřený řízením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vlastníkem/nájemcem/pachtýřem/hospodařícím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Pr="00A46658">
        <w:rPr>
          <w:rFonts w:ascii="Arial" w:hAnsi="Arial" w:cs="Arial"/>
        </w:rPr>
        <w:t xml:space="preserve">Ing. </w:t>
      </w:r>
      <w:r w:rsidR="00A46658" w:rsidRPr="00A46658">
        <w:rPr>
          <w:rFonts w:ascii="Arial" w:hAnsi="Arial" w:cs="Arial"/>
        </w:rPr>
        <w:t>Jakub Kyselovič</w:t>
      </w:r>
      <w:r w:rsidR="00A46658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Vlastník/Nájemce/Pachtýř/Hospodařící subjekt</w:t>
      </w:r>
    </w:p>
    <w:p w:rsidR="00E83E5F" w:rsidRPr="009008C5" w:rsidRDefault="00E403F7" w:rsidP="00E6249C">
      <w:pPr>
        <w:spacing w:before="40" w:after="0"/>
      </w:pPr>
      <w:r>
        <w:rPr>
          <w:rFonts w:ascii="Arial" w:hAnsi="Arial" w:cs="Arial"/>
          <w:b/>
        </w:rPr>
        <w:t>Obec Libčeves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00265110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 Zámku 1, Libčeves, 43926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2727481/0100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trxbhn5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Tomáš Ekrt, starosta</w:t>
      </w:r>
      <w:r w:rsidR="007A5BB5">
        <w:rPr>
          <w:rFonts w:ascii="Arial" w:hAnsi="Arial" w:cs="Arial"/>
        </w:rPr>
        <w:t xml:space="preserve"> 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Tomáš Ekrt, starosta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8432D8">
        <w:rPr>
          <w:rFonts w:ascii="Arial" w:hAnsi="Arial" w:cs="Arial"/>
        </w:rPr>
        <w:t>„xxxx“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8432D8">
        <w:rPr>
          <w:rFonts w:ascii="Arial" w:hAnsi="Arial" w:cs="Arial"/>
        </w:rPr>
        <w:t>„xxxx“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vlastník/nájemce/pachtýř/hospodařící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>pozemk</w:t>
      </w:r>
      <w:r w:rsidR="0069031B">
        <w:rPr>
          <w:rFonts w:ascii="Arial" w:hAnsi="Arial" w:cs="Arial"/>
        </w:rPr>
        <w:t>u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k.</w:t>
      </w:r>
      <w:r w:rsidR="00690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Hnojnice - p.</w:t>
      </w:r>
      <w:r w:rsidR="00690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759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vlastník/nájemce/pachtýř/hospodařící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vlastník/nájemce/pachtýř/hospodařící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51; CHKO; České středohoří</w:t>
      </w:r>
      <w:r w:rsidR="00330185">
        <w:t xml:space="preserve"> </w:t>
      </w:r>
      <w:r w:rsidRPr="007A2884">
        <w:t>z důvodu ochrany přírody dle §</w:t>
      </w:r>
      <w:r w:rsidR="0069031B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lastRenderedPageBreak/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vlastník/nájemce/pachtýř/hospodařící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vlastníkovi/nájemci/pachtýři/hospodařícímu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vlastník/nájemce/pachtýř/hospodařící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541187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403F7">
        <w:rPr>
          <w:rFonts w:ascii="Arial" w:hAnsi="Arial" w:cs="Arial"/>
          <w:b/>
        </w:rPr>
        <w:t>uční kosení v NPP Kamenná slunce, její</w:t>
      </w:r>
      <w:r>
        <w:rPr>
          <w:rFonts w:ascii="Arial" w:hAnsi="Arial" w:cs="Arial"/>
          <w:b/>
        </w:rPr>
        <w:t>m</w:t>
      </w:r>
      <w:r w:rsidR="00E403F7">
        <w:rPr>
          <w:rFonts w:ascii="Arial" w:hAnsi="Arial" w:cs="Arial"/>
          <w:b/>
        </w:rPr>
        <w:t xml:space="preserve"> ochranném pásmu a okolí.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</w:t>
      </w:r>
      <w:r w:rsidR="0069031B">
        <w:rPr>
          <w:rFonts w:ascii="Arial" w:hAnsi="Arial" w:cs="Arial"/>
          <w:sz w:val="22"/>
          <w:szCs w:val="22"/>
        </w:rPr>
        <w:t>ku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k.</w:t>
      </w:r>
      <w:r w:rsidR="006903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Hnojnice - p.č. 759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</w:t>
      </w:r>
      <w:r w:rsidR="006903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10.</w:t>
      </w:r>
      <w:r w:rsidR="006903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9031B">
      <w:pPr>
        <w:pStyle w:val="Odstavecseseznamem"/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</w:t>
      </w:r>
      <w:r w:rsidR="0069031B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="00541187">
        <w:rPr>
          <w:rFonts w:ascii="Arial" w:hAnsi="Arial" w:cs="Arial"/>
          <w:sz w:val="22"/>
          <w:szCs w:val="22"/>
        </w:rPr>
        <w:t xml:space="preserve">AOPK ČR </w:t>
      </w:r>
      <w:r>
        <w:rPr>
          <w:rFonts w:ascii="Arial" w:hAnsi="Arial" w:cs="Arial"/>
          <w:sz w:val="22"/>
          <w:szCs w:val="22"/>
        </w:rPr>
        <w:t>č. D02</w:t>
      </w:r>
      <w:r w:rsidR="0054118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004</w:t>
      </w:r>
      <w:r w:rsidR="00541187">
        <w:rPr>
          <w:rFonts w:ascii="Arial" w:hAnsi="Arial" w:cs="Arial"/>
          <w:sz w:val="22"/>
          <w:szCs w:val="22"/>
        </w:rPr>
        <w:t xml:space="preserve"> (Sečení)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Default="00653A3C" w:rsidP="00D06455">
      <w:pPr>
        <w:pStyle w:val="Odstavecseseznamem"/>
        <w:spacing w:before="120" w:after="120"/>
        <w:ind w:left="0" w:firstLine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06455" w:rsidRPr="00653A3C" w:rsidRDefault="00D06455" w:rsidP="00D0645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</w:t>
      </w:r>
      <w:r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zákona č. 114/1992 Sb., které jsou potřebné k realizaci managementových opatření.</w:t>
      </w:r>
    </w:p>
    <w:p w:rsidR="00D06455" w:rsidRPr="00653A3C" w:rsidRDefault="00D06455" w:rsidP="00D06455">
      <w:pPr>
        <w:pStyle w:val="Odstavecseseznamem"/>
        <w:spacing w:before="120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při splnění následujících podmínek:</w:t>
      </w:r>
    </w:p>
    <w:p w:rsidR="00D06455" w:rsidRPr="0080003D" w:rsidRDefault="00D06455" w:rsidP="00D06455">
      <w:pPr>
        <w:pStyle w:val="nadpismj"/>
        <w:keepNext w:val="0"/>
        <w:numPr>
          <w:ilvl w:val="0"/>
          <w:numId w:val="0"/>
        </w:numPr>
        <w:spacing w:before="120" w:after="120"/>
        <w:ind w:left="340"/>
        <w:jc w:val="both"/>
        <w:rPr>
          <w:rFonts w:cs="Arial"/>
          <w:b w:val="0"/>
          <w:spacing w:val="0"/>
          <w:sz w:val="22"/>
          <w:szCs w:val="22"/>
        </w:rPr>
      </w:pPr>
      <w:r w:rsidRPr="0080003D">
        <w:rPr>
          <w:rFonts w:cs="Arial"/>
          <w:b w:val="0"/>
          <w:spacing w:val="0"/>
          <w:sz w:val="22"/>
          <w:szCs w:val="22"/>
        </w:rPr>
        <w:t xml:space="preserve">- výjimky ze základních ochranných podmínek chráněných krajinných oblastí podle § 43 odst. 1 </w:t>
      </w:r>
      <w:r w:rsidR="00541187" w:rsidRPr="00541187">
        <w:rPr>
          <w:rFonts w:cs="Arial"/>
          <w:b w:val="0"/>
          <w:spacing w:val="0"/>
          <w:sz w:val="22"/>
          <w:szCs w:val="22"/>
        </w:rPr>
        <w:t>zákona č. 114/1992 Sb.</w:t>
      </w:r>
      <w:r w:rsidRPr="0080003D">
        <w:rPr>
          <w:rFonts w:cs="Arial"/>
          <w:b w:val="0"/>
          <w:spacing w:val="0"/>
          <w:sz w:val="22"/>
          <w:szCs w:val="22"/>
        </w:rPr>
        <w:t xml:space="preserve"> </w:t>
      </w:r>
      <w:r>
        <w:rPr>
          <w:rFonts w:cs="Arial"/>
          <w:b w:val="0"/>
          <w:spacing w:val="0"/>
          <w:sz w:val="22"/>
          <w:szCs w:val="22"/>
        </w:rPr>
        <w:t xml:space="preserve">- </w:t>
      </w:r>
      <w:r w:rsidRPr="002F7AD8">
        <w:rPr>
          <w:rFonts w:cs="Arial"/>
          <w:b w:val="0"/>
          <w:spacing w:val="0"/>
          <w:sz w:val="22"/>
          <w:szCs w:val="22"/>
        </w:rPr>
        <w:t>vjezdy a setrvání s motorovými vozidly mimo silnice a místní komunikace a místa vyhrazená se souhlasem orgánu ochrany přírody budou probíhat pouze v nezbytně nutné míře za účelem zajištění managementového opatření. Vjíždění a setrvání motorovými vozidly bude probíhat pouze za vhodných klimatických podmínek, aby nedošlo k poškození půdního povrchu.</w:t>
      </w:r>
    </w:p>
    <w:p w:rsidR="00D06455" w:rsidRPr="0080003D" w:rsidRDefault="00D06455" w:rsidP="00D06455">
      <w:pPr>
        <w:pStyle w:val="Odstavecseseznamem"/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  <w:r w:rsidRPr="0080003D">
        <w:rPr>
          <w:rFonts w:ascii="Arial" w:hAnsi="Arial" w:cs="Arial"/>
          <w:sz w:val="22"/>
          <w:szCs w:val="22"/>
        </w:rPr>
        <w:t xml:space="preserve">- výjimky z ochranných podmínek ZCHD podle § 56 odst. 1 </w:t>
      </w:r>
      <w:r w:rsidR="00541187" w:rsidRPr="00541187">
        <w:rPr>
          <w:rFonts w:ascii="Arial" w:hAnsi="Arial" w:cs="Arial"/>
          <w:sz w:val="22"/>
          <w:szCs w:val="22"/>
        </w:rPr>
        <w:t>zákona č. 114/1992 Sb.</w:t>
      </w:r>
      <w:r w:rsidRPr="0080003D">
        <w:rPr>
          <w:rFonts w:ascii="Arial" w:hAnsi="Arial" w:cs="Arial"/>
          <w:sz w:val="22"/>
          <w:szCs w:val="22"/>
        </w:rPr>
        <w:t xml:space="preserve"> – zasahování do přirozeného vývoje ZCHD</w:t>
      </w:r>
      <w:r>
        <w:rPr>
          <w:rFonts w:ascii="Arial" w:hAnsi="Arial" w:cs="Arial"/>
          <w:sz w:val="22"/>
          <w:szCs w:val="22"/>
        </w:rPr>
        <w:t xml:space="preserve"> </w:t>
      </w:r>
      <w:r w:rsidRPr="0080003D">
        <w:rPr>
          <w:rFonts w:ascii="Arial" w:hAnsi="Arial" w:cs="Arial"/>
          <w:sz w:val="22"/>
          <w:szCs w:val="22"/>
        </w:rPr>
        <w:t xml:space="preserve">bude probíhat pouze v nezbytně nutné míře výhradně za účelem zajištění managementového opatření dle specifikace uvedené v této </w:t>
      </w:r>
      <w:r>
        <w:rPr>
          <w:rFonts w:ascii="Arial" w:hAnsi="Arial" w:cs="Arial"/>
          <w:sz w:val="22"/>
          <w:szCs w:val="22"/>
        </w:rPr>
        <w:t>dohodě</w:t>
      </w:r>
      <w:r w:rsidRPr="0080003D">
        <w:rPr>
          <w:rFonts w:ascii="Arial" w:hAnsi="Arial" w:cs="Arial"/>
          <w:sz w:val="22"/>
          <w:szCs w:val="22"/>
        </w:rPr>
        <w:t xml:space="preserve"> a jejích přílohách.</w:t>
      </w:r>
    </w:p>
    <w:p w:rsidR="00D06455" w:rsidRDefault="00D06455" w:rsidP="00D06455">
      <w:pPr>
        <w:pStyle w:val="Odstavecseseznamem"/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Tato Dohoda dle § 90 odst. 2</w:t>
      </w:r>
      <w:r>
        <w:rPr>
          <w:rFonts w:ascii="Arial" w:hAnsi="Arial" w:cs="Arial"/>
          <w:sz w:val="22"/>
          <w:szCs w:val="22"/>
        </w:rPr>
        <w:t>1</w:t>
      </w:r>
      <w:r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 jakož i činností prováděných v rozporu s podmínkami stanovenými v tomto odstavci</w:t>
      </w:r>
      <w:r w:rsidRPr="00653A3C">
        <w:rPr>
          <w:rFonts w:ascii="Arial" w:hAnsi="Arial" w:cs="Arial"/>
          <w:sz w:val="22"/>
          <w:szCs w:val="22"/>
        </w:rPr>
        <w:t>. Takové činnosti jsou nadále o</w:t>
      </w:r>
      <w:r>
        <w:rPr>
          <w:rFonts w:ascii="Arial" w:hAnsi="Arial" w:cs="Arial"/>
          <w:sz w:val="22"/>
          <w:szCs w:val="22"/>
        </w:rPr>
        <w:t>mezené zákonem č. 114/1992 Sb.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vlastník/nájemce/pachtýř/hospodařící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56 260,00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vlastníkovi/nájemci/pachtýři/hospodařícímu subjektu </w:t>
      </w:r>
      <w:r w:rsidRPr="00FC5123">
        <w:t xml:space="preserve">finanční příspěvek na péči v celkové výši </w:t>
      </w:r>
      <w:r>
        <w:t>56 260,00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vlastníkovi/nájemci/pachtýři/hospodařícímu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vlastník/nájemce/pachtýř/hospodařící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vlastník/nájemce/pachtýř/hospodařící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vlastník/nájemce/pachtýř/hospodařící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>
        <w:t>vlastník/nájemce/pachtýř/hospodařící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>
        <w:t>vlastník/nájemce/pachtýř/hospodařící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vlastníkovi/nájemci/pachtýři/hospodařícímu subjektu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vlastníka/nájemce/pachtýře/hospodařící subjekt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vlastníkovi/nájemci/pachtýři/hospodařícímu subjektu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vlastník/nájemce/pachtýř/hospodařící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Vlastník/Nájemce/Pachtýř/Hospodařící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lastRenderedPageBreak/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</w:t>
      </w:r>
      <w:r w:rsidR="00541187">
        <w:rPr>
          <w:b/>
        </w:rPr>
        <w:t xml:space="preserve"> </w:t>
      </w:r>
      <w:r>
        <w:rPr>
          <w:b/>
        </w:rPr>
        <w:t>10.</w:t>
      </w:r>
      <w:r w:rsidR="00541187">
        <w:rPr>
          <w:b/>
        </w:rPr>
        <w:t xml:space="preserve"> </w:t>
      </w:r>
      <w:r>
        <w:rPr>
          <w:b/>
        </w:rPr>
        <w:t>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E403F7" w:rsidP="00B9212C">
      <w:pPr>
        <w:pStyle w:val="Nadpis2"/>
        <w:ind w:left="397" w:hanging="397"/>
      </w:pPr>
      <w:r>
        <w:t>Vlastník/Nájemce/Pachtýř/Hospodařící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Vlastník/Nájemce/Pachtýř/Hospodařící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4009A5" w:rsidP="00B9212C">
      <w:pPr>
        <w:pStyle w:val="Nadpis2"/>
        <w:ind w:left="397" w:hanging="397"/>
      </w:pPr>
      <w:r>
        <w:t>Dohoda vyhotovena v elektronické podobě, přičemž každý z účastníků Dohody obdrží vyhotovení Dohody opatřené elektronickými podpisy</w:t>
      </w:r>
      <w:r w:rsidR="00541187">
        <w:t xml:space="preserve"> obou stran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lastRenderedPageBreak/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841"/>
        <w:gridCol w:w="5612"/>
      </w:tblGrid>
      <w:tr w:rsidR="0069031B" w:rsidTr="0069031B">
        <w:tc>
          <w:tcPr>
            <w:tcW w:w="1619" w:type="dxa"/>
          </w:tcPr>
          <w:p w:rsidR="0069031B" w:rsidRDefault="0069031B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Litoměřicích</w:t>
            </w:r>
          </w:p>
        </w:tc>
        <w:tc>
          <w:tcPr>
            <w:tcW w:w="1841" w:type="dxa"/>
          </w:tcPr>
          <w:p w:rsidR="0069031B" w:rsidRDefault="0069031B" w:rsidP="00005F29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005F29">
              <w:rPr>
                <w:rFonts w:ascii="Arial" w:hAnsi="Arial" w:cs="Arial"/>
              </w:rPr>
              <w:t>14. 8. 2024</w:t>
            </w:r>
          </w:p>
        </w:tc>
        <w:tc>
          <w:tcPr>
            <w:tcW w:w="5612" w:type="dxa"/>
          </w:tcPr>
          <w:p w:rsidR="0069031B" w:rsidRDefault="00EB31C4" w:rsidP="00005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69031B">
              <w:rPr>
                <w:rFonts w:ascii="Arial" w:hAnsi="Arial" w:cs="Arial"/>
              </w:rPr>
              <w:t xml:space="preserve">V Libčevsi </w:t>
            </w:r>
            <w:r w:rsidR="0069031B" w:rsidRPr="00A42D75">
              <w:rPr>
                <w:rFonts w:ascii="Arial" w:hAnsi="Arial" w:cs="Arial"/>
              </w:rPr>
              <w:t xml:space="preserve">dne </w:t>
            </w:r>
            <w:r w:rsidR="00005F29">
              <w:rPr>
                <w:rFonts w:ascii="Arial" w:hAnsi="Arial" w:cs="Arial"/>
              </w:rPr>
              <w:t>14. 8. 2024</w:t>
            </w:r>
            <w:bookmarkStart w:id="0" w:name="_GoBack"/>
            <w:bookmarkEnd w:id="0"/>
          </w:p>
        </w:tc>
      </w:tr>
      <w:tr w:rsidR="00EB31C4" w:rsidTr="007B6EF8">
        <w:trPr>
          <w:trHeight w:val="454"/>
        </w:trPr>
        <w:tc>
          <w:tcPr>
            <w:tcW w:w="3460" w:type="dxa"/>
            <w:gridSpan w:val="2"/>
            <w:vAlign w:val="center"/>
          </w:tcPr>
          <w:p w:rsidR="00EB31C4" w:rsidRDefault="00EB31C4" w:rsidP="00541187">
            <w:pPr>
              <w:jc w:val="center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5612" w:type="dxa"/>
            <w:vAlign w:val="center"/>
          </w:tcPr>
          <w:p w:rsidR="00EB31C4" w:rsidRDefault="00EB31C4" w:rsidP="005411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vlastník/nájemce/pachtýř/hospodařící subjekt</w:t>
            </w:r>
          </w:p>
        </w:tc>
      </w:tr>
      <w:tr w:rsidR="000F7827" w:rsidTr="0069031B">
        <w:trPr>
          <w:trHeight w:val="1145"/>
        </w:trPr>
        <w:tc>
          <w:tcPr>
            <w:tcW w:w="3460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561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69031B">
        <w:tc>
          <w:tcPr>
            <w:tcW w:w="3460" w:type="dxa"/>
            <w:gridSpan w:val="2"/>
          </w:tcPr>
          <w:p w:rsidR="00E54961" w:rsidRDefault="00E403F7" w:rsidP="00690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69031B">
              <w:rPr>
                <w:rFonts w:ascii="Arial" w:hAnsi="Arial" w:cs="Arial"/>
              </w:rPr>
              <w:t xml:space="preserve">Vladislav Kopecký, pověřený řízením </w:t>
            </w:r>
            <w:r>
              <w:rPr>
                <w:rFonts w:ascii="Arial" w:hAnsi="Arial" w:cs="Arial"/>
              </w:rPr>
              <w:t>Regionální pracoviště S</w:t>
            </w:r>
            <w:r w:rsidR="0069031B">
              <w:rPr>
                <w:rFonts w:ascii="Arial" w:hAnsi="Arial" w:cs="Arial"/>
              </w:rPr>
              <w:t xml:space="preserve">práva </w:t>
            </w:r>
            <w:r>
              <w:rPr>
                <w:rFonts w:ascii="Arial" w:hAnsi="Arial" w:cs="Arial"/>
              </w:rPr>
              <w:t>CHKO České středohoří</w:t>
            </w:r>
          </w:p>
        </w:tc>
        <w:tc>
          <w:tcPr>
            <w:tcW w:w="5612" w:type="dxa"/>
          </w:tcPr>
          <w:p w:rsidR="00EB31C4" w:rsidRDefault="00EB31C4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Ekrt, </w:t>
            </w:r>
          </w:p>
          <w:p w:rsidR="00EB31C4" w:rsidRDefault="00EB31C4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starosta </w:t>
            </w:r>
          </w:p>
          <w:p w:rsidR="000F7827" w:rsidRDefault="00E403F7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Libčeves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EB31C4">
      <w:headerReference w:type="even" r:id="rId11"/>
      <w:headerReference w:type="default" r:id="rId12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FC" w:rsidRDefault="003661FC" w:rsidP="00F22E78">
      <w:pPr>
        <w:spacing w:after="0" w:line="240" w:lineRule="auto"/>
      </w:pPr>
      <w:r>
        <w:separator/>
      </w:r>
    </w:p>
  </w:endnote>
  <w:endnote w:type="continuationSeparator" w:id="0">
    <w:p w:rsidR="003661FC" w:rsidRDefault="003661FC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FC" w:rsidRDefault="003661FC" w:rsidP="00F22E78">
      <w:pPr>
        <w:spacing w:after="0" w:line="240" w:lineRule="auto"/>
      </w:pPr>
      <w:r>
        <w:separator/>
      </w:r>
    </w:p>
  </w:footnote>
  <w:footnote w:type="continuationSeparator" w:id="0">
    <w:p w:rsidR="003661FC" w:rsidRDefault="003661FC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11"/>
  </w:num>
  <w:num w:numId="11">
    <w:abstractNumId w:val="11"/>
  </w:num>
  <w:num w:numId="12">
    <w:abstractNumId w:val="7"/>
  </w:num>
  <w:num w:numId="13">
    <w:abstractNumId w:val="11"/>
  </w:num>
  <w:num w:numId="14">
    <w:abstractNumId w:val="11"/>
  </w:num>
  <w:num w:numId="15">
    <w:abstractNumId w:val="5"/>
  </w:num>
  <w:num w:numId="16">
    <w:abstractNumId w:val="1"/>
  </w:num>
  <w:num w:numId="17">
    <w:abstractNumId w:val="11"/>
  </w:num>
  <w:num w:numId="18">
    <w:abstractNumId w:val="12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05F29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22FB"/>
    <w:rsid w:val="003661FC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41187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9031B"/>
    <w:rsid w:val="006E64D3"/>
    <w:rsid w:val="006F55FC"/>
    <w:rsid w:val="00710E72"/>
    <w:rsid w:val="00747A7C"/>
    <w:rsid w:val="00761467"/>
    <w:rsid w:val="0076193D"/>
    <w:rsid w:val="007A2884"/>
    <w:rsid w:val="007A5BB5"/>
    <w:rsid w:val="007B0CFF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432D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2C3B"/>
    <w:rsid w:val="00A33682"/>
    <w:rsid w:val="00A33776"/>
    <w:rsid w:val="00A42D75"/>
    <w:rsid w:val="00A46658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4A80"/>
    <w:rsid w:val="00CB3C19"/>
    <w:rsid w:val="00CC2487"/>
    <w:rsid w:val="00CD7371"/>
    <w:rsid w:val="00CE61A2"/>
    <w:rsid w:val="00CF1409"/>
    <w:rsid w:val="00D06455"/>
    <w:rsid w:val="00D23321"/>
    <w:rsid w:val="00D265A3"/>
    <w:rsid w:val="00D46BFC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31C4"/>
    <w:rsid w:val="00EB5A35"/>
    <w:rsid w:val="00EB7897"/>
    <w:rsid w:val="00EB7E84"/>
    <w:rsid w:val="00EC76D3"/>
    <w:rsid w:val="00F0150A"/>
    <w:rsid w:val="00F22E78"/>
    <w:rsid w:val="00F23927"/>
    <w:rsid w:val="00F263A1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B23E0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  <w:style w:type="paragraph" w:customStyle="1" w:styleId="nadpismj">
    <w:name w:val="nadpis můj"/>
    <w:basedOn w:val="Nadpis2"/>
    <w:link w:val="nadpismjChar"/>
    <w:rsid w:val="00D06455"/>
    <w:pPr>
      <w:keepNext/>
      <w:numPr>
        <w:ilvl w:val="0"/>
        <w:numId w:val="22"/>
      </w:numPr>
      <w:spacing w:before="480" w:after="360" w:line="260" w:lineRule="exact"/>
      <w:jc w:val="center"/>
    </w:pPr>
    <w:rPr>
      <w:rFonts w:eastAsia="Calibri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D06455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1df795ae-2c70-464b-8ca3-4eb6d5c688a6"/>
    <ds:schemaRef ds:uri="http://schemas.microsoft.com/office/infopath/2007/PartnerControls"/>
    <ds:schemaRef ds:uri="http://schemas.openxmlformats.org/package/2006/metadata/core-properties"/>
    <ds:schemaRef ds:uri="63f5bd56-79c6-432a-8457-3215e7a0eadc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1806</Words>
  <Characters>10660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Vladislav Kopecký</cp:lastModifiedBy>
  <cp:revision>8</cp:revision>
  <dcterms:created xsi:type="dcterms:W3CDTF">2024-08-08T08:04:00Z</dcterms:created>
  <dcterms:modified xsi:type="dcterms:W3CDTF">2024-08-14T09:43:00Z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