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9EFC1" w14:textId="77777777" w:rsidR="008C72F8" w:rsidRPr="00EF3CDF" w:rsidRDefault="008C72F8" w:rsidP="008C72F8">
      <w:pPr>
        <w:spacing w:after="0" w:line="240" w:lineRule="auto"/>
        <w:ind w:left="284" w:right="260"/>
        <w:jc w:val="both"/>
        <w:rPr>
          <w:rFonts w:cs="Arial"/>
          <w:b/>
        </w:rPr>
      </w:pPr>
      <w:r w:rsidRPr="00EF3CDF">
        <w:rPr>
          <w:rFonts w:cs="Arial"/>
          <w:b/>
        </w:rPr>
        <w:t>Nakladatelství C. H. Beck, s.r.o.,</w:t>
      </w:r>
    </w:p>
    <w:p w14:paraId="695FA5D6" w14:textId="77777777" w:rsidR="008C72F8" w:rsidRPr="00EF3CDF" w:rsidRDefault="008C72F8" w:rsidP="008C72F8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>se sídlem Jungmannova 750/34, Praha 1, PSČ 110 00,</w:t>
      </w:r>
    </w:p>
    <w:p w14:paraId="156A0412" w14:textId="77777777" w:rsidR="008C72F8" w:rsidRPr="00EF3CDF" w:rsidRDefault="008C72F8" w:rsidP="008C72F8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>IČ</w:t>
      </w:r>
      <w:r>
        <w:rPr>
          <w:rFonts w:cs="Arial"/>
        </w:rPr>
        <w:t>O</w:t>
      </w:r>
      <w:r w:rsidRPr="00EF3CDF">
        <w:rPr>
          <w:rFonts w:cs="Arial"/>
        </w:rPr>
        <w:t>: 24146978, DIČ: CZ24146978,</w:t>
      </w:r>
    </w:p>
    <w:p w14:paraId="1F2AEDA6" w14:textId="77777777" w:rsidR="008C72F8" w:rsidRPr="00EF3CDF" w:rsidRDefault="008C72F8" w:rsidP="008C72F8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 xml:space="preserve">zastoupena Ing. Jiřím Holnou, jednatelem, </w:t>
      </w:r>
    </w:p>
    <w:p w14:paraId="4CEBBB3E" w14:textId="77777777" w:rsidR="008C72F8" w:rsidRPr="00EF3CDF" w:rsidRDefault="008C72F8" w:rsidP="008C72F8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 xml:space="preserve">bankovní spojení: </w:t>
      </w:r>
      <w:r w:rsidRPr="00EF3CDF">
        <w:rPr>
          <w:rStyle w:val="platne1"/>
          <w:rFonts w:cs="Arial"/>
        </w:rPr>
        <w:t xml:space="preserve">3189313046/2700, UniCredit Bank Czech Republic, a.s., </w:t>
      </w:r>
    </w:p>
    <w:p w14:paraId="0A7B0D5F" w14:textId="77777777" w:rsidR="008C72F8" w:rsidRPr="00EF3CDF" w:rsidRDefault="008C72F8" w:rsidP="008C72F8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>zapsané v obchodním rejstříku vedeném Městským soudem v Praze, odd. C, vl. 182960,</w:t>
      </w:r>
    </w:p>
    <w:p w14:paraId="2DBCB2CE" w14:textId="77777777" w:rsidR="008C72F8" w:rsidRPr="00EF3CDF" w:rsidRDefault="008C72F8" w:rsidP="008C72F8">
      <w:pPr>
        <w:spacing w:after="0" w:line="240" w:lineRule="auto"/>
        <w:ind w:left="284" w:right="260"/>
        <w:jc w:val="both"/>
        <w:rPr>
          <w:rFonts w:cs="Arial"/>
          <w:b/>
        </w:rPr>
      </w:pPr>
      <w:r w:rsidRPr="00EF3CDF">
        <w:rPr>
          <w:rFonts w:cs="Arial"/>
        </w:rPr>
        <w:t xml:space="preserve">dále jen </w:t>
      </w:r>
      <w:r w:rsidRPr="00EF3CDF">
        <w:rPr>
          <w:rFonts w:cs="Arial"/>
          <w:b/>
        </w:rPr>
        <w:t>„poskytovatel“</w:t>
      </w:r>
    </w:p>
    <w:p w14:paraId="3B2452A4" w14:textId="77777777" w:rsidR="008C72F8" w:rsidRPr="00EF3CDF" w:rsidRDefault="008C72F8" w:rsidP="008C72F8">
      <w:pPr>
        <w:spacing w:before="240"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>a</w:t>
      </w:r>
    </w:p>
    <w:p w14:paraId="7B833431" w14:textId="77777777" w:rsidR="008C72F8" w:rsidRDefault="008C72F8" w:rsidP="008C72F8">
      <w:pPr>
        <w:spacing w:before="240" w:after="0"/>
        <w:ind w:left="284" w:right="260"/>
        <w:jc w:val="both"/>
        <w:rPr>
          <w:b/>
        </w:rPr>
      </w:pPr>
      <w:bookmarkStart w:id="0" w:name="jmeno_firmy"/>
      <w:bookmarkEnd w:id="0"/>
      <w:r>
        <w:rPr>
          <w:b/>
        </w:rPr>
        <w:t>Česká republika – Městský soud v Praze</w:t>
      </w:r>
    </w:p>
    <w:p w14:paraId="73763B1A" w14:textId="77777777" w:rsidR="008C72F8" w:rsidRDefault="008C72F8" w:rsidP="008C72F8">
      <w:pPr>
        <w:spacing w:after="0"/>
        <w:ind w:left="284" w:right="260"/>
        <w:jc w:val="both"/>
      </w:pPr>
      <w:r>
        <w:rPr>
          <w:rFonts w:cs="Arial"/>
        </w:rPr>
        <w:t xml:space="preserve">se sídlem </w:t>
      </w:r>
      <w:bookmarkStart w:id="1" w:name="ulice"/>
      <w:bookmarkEnd w:id="1"/>
      <w:r>
        <w:rPr>
          <w:rFonts w:cs="Arial"/>
        </w:rPr>
        <w:t>Spálená 6/2,</w:t>
      </w:r>
      <w:bookmarkStart w:id="2" w:name="mesto"/>
      <w:bookmarkEnd w:id="2"/>
      <w:r>
        <w:rPr>
          <w:rFonts w:cs="Arial"/>
        </w:rPr>
        <w:t xml:space="preserve"> Praha 2, PSČ </w:t>
      </w:r>
      <w:bookmarkStart w:id="3" w:name="psc"/>
      <w:bookmarkEnd w:id="3"/>
      <w:r>
        <w:rPr>
          <w:rFonts w:cs="Arial"/>
        </w:rPr>
        <w:t>112 16,</w:t>
      </w:r>
    </w:p>
    <w:p w14:paraId="19C645AA" w14:textId="77777777" w:rsidR="008C72F8" w:rsidRDefault="008C72F8" w:rsidP="008C72F8">
      <w:pPr>
        <w:spacing w:after="0" w:line="240" w:lineRule="auto"/>
        <w:ind w:left="284" w:right="260"/>
        <w:jc w:val="both"/>
        <w:rPr>
          <w:rFonts w:cs="Arial"/>
        </w:rPr>
      </w:pPr>
      <w:r>
        <w:rPr>
          <w:rFonts w:cs="Arial"/>
        </w:rPr>
        <w:t>IČO</w:t>
      </w:r>
      <w:r w:rsidRPr="002F775D">
        <w:rPr>
          <w:rFonts w:cs="Arial"/>
        </w:rPr>
        <w:t>: 00215660</w:t>
      </w:r>
      <w:r>
        <w:rPr>
          <w:rFonts w:cs="Arial"/>
        </w:rPr>
        <w:t xml:space="preserve">, </w:t>
      </w:r>
      <w:r w:rsidRPr="002F775D">
        <w:rPr>
          <w:rFonts w:cs="Arial"/>
        </w:rPr>
        <w:t>DIČ: CZ00215660</w:t>
      </w:r>
      <w:r>
        <w:rPr>
          <w:rFonts w:cs="Arial"/>
        </w:rPr>
        <w:t>,</w:t>
      </w:r>
    </w:p>
    <w:p w14:paraId="666B4FEA" w14:textId="77777777" w:rsidR="008C72F8" w:rsidRDefault="008C72F8" w:rsidP="008C72F8">
      <w:pPr>
        <w:spacing w:after="0" w:line="240" w:lineRule="auto"/>
        <w:ind w:left="284" w:right="260"/>
        <w:jc w:val="both"/>
        <w:rPr>
          <w:rFonts w:cs="Arial"/>
        </w:rPr>
      </w:pPr>
      <w:r>
        <w:rPr>
          <w:rFonts w:cs="Arial"/>
        </w:rPr>
        <w:t xml:space="preserve">zastoupena </w:t>
      </w:r>
      <w:bookmarkStart w:id="4" w:name="osoba"/>
      <w:bookmarkStart w:id="5" w:name="_Hlk171950477"/>
      <w:bookmarkEnd w:id="4"/>
      <w:r w:rsidRPr="002F775D">
        <w:rPr>
          <w:rFonts w:cs="Arial"/>
        </w:rPr>
        <w:t>Ing. Michaelem Mrzkošem, LL.M., ředitelem správy soudu</w:t>
      </w:r>
      <w:bookmarkEnd w:id="5"/>
      <w:r w:rsidRPr="002F775D">
        <w:rPr>
          <w:rFonts w:cs="Arial"/>
        </w:rPr>
        <w:t>, na základě pověření předsedkyně Městského soudu v Praze Spr 724/2021 ze dne 3. 3. 2021</w:t>
      </w:r>
      <w:r>
        <w:rPr>
          <w:rFonts w:cs="Arial"/>
        </w:rPr>
        <w:t>,</w:t>
      </w:r>
    </w:p>
    <w:p w14:paraId="3DE5B6F3" w14:textId="77777777" w:rsidR="008C72F8" w:rsidRDefault="008C72F8" w:rsidP="008C72F8">
      <w:pPr>
        <w:spacing w:after="0" w:line="240" w:lineRule="auto"/>
        <w:ind w:left="284" w:right="260"/>
        <w:jc w:val="both"/>
        <w:rPr>
          <w:rFonts w:cs="Arial"/>
        </w:rPr>
      </w:pPr>
      <w:r w:rsidRPr="002F775D">
        <w:rPr>
          <w:rFonts w:cs="Arial"/>
        </w:rPr>
        <w:t>bankovní spojení:</w:t>
      </w:r>
      <w:r>
        <w:rPr>
          <w:rFonts w:cs="Arial"/>
        </w:rPr>
        <w:t xml:space="preserve"> </w:t>
      </w:r>
      <w:r w:rsidRPr="002F775D">
        <w:rPr>
          <w:rFonts w:cs="Arial"/>
        </w:rPr>
        <w:t>2928021/0710</w:t>
      </w:r>
      <w:r>
        <w:rPr>
          <w:rFonts w:cs="Arial"/>
        </w:rPr>
        <w:t>, ČNB,</w:t>
      </w:r>
    </w:p>
    <w:p w14:paraId="30A8542E" w14:textId="77777777" w:rsidR="008C72F8" w:rsidRDefault="008C72F8" w:rsidP="008C72F8">
      <w:pPr>
        <w:spacing w:after="0" w:line="240" w:lineRule="auto"/>
        <w:ind w:left="284" w:right="260"/>
        <w:jc w:val="both"/>
        <w:rPr>
          <w:rFonts w:cs="Arial"/>
          <w:b/>
        </w:rPr>
      </w:pPr>
      <w:r>
        <w:rPr>
          <w:rFonts w:cs="Arial"/>
        </w:rPr>
        <w:t xml:space="preserve">dále jen </w:t>
      </w:r>
      <w:r>
        <w:rPr>
          <w:rFonts w:cs="Arial"/>
          <w:b/>
        </w:rPr>
        <w:t>„uživatel“</w:t>
      </w:r>
    </w:p>
    <w:p w14:paraId="44B242A0" w14:textId="77777777" w:rsidR="008C72F8" w:rsidRDefault="008C72F8" w:rsidP="008C72F8">
      <w:pPr>
        <w:spacing w:after="0" w:line="240" w:lineRule="auto"/>
        <w:ind w:left="284" w:right="260"/>
        <w:jc w:val="both"/>
        <w:rPr>
          <w:rFonts w:cs="Arial"/>
        </w:rPr>
      </w:pPr>
    </w:p>
    <w:p w14:paraId="0B14119C" w14:textId="77777777" w:rsidR="00850616" w:rsidRPr="00EF3CDF" w:rsidRDefault="00850616" w:rsidP="008B63D9">
      <w:pPr>
        <w:spacing w:after="0" w:line="240" w:lineRule="auto"/>
        <w:ind w:left="284" w:right="260"/>
        <w:jc w:val="both"/>
        <w:rPr>
          <w:rFonts w:cs="Arial"/>
        </w:rPr>
      </w:pPr>
    </w:p>
    <w:p w14:paraId="1BF44BF1" w14:textId="4CE71300" w:rsidR="0064650A" w:rsidRDefault="0064650A" w:rsidP="0064650A">
      <w:pPr>
        <w:spacing w:after="0" w:line="240" w:lineRule="auto"/>
        <w:ind w:left="284" w:right="260"/>
        <w:jc w:val="both"/>
        <w:rPr>
          <w:rFonts w:cs="Arial"/>
        </w:rPr>
      </w:pPr>
      <w:r w:rsidRPr="00893F43">
        <w:rPr>
          <w:rFonts w:cs="Arial"/>
        </w:rPr>
        <w:t>se dohodl</w:t>
      </w:r>
      <w:r>
        <w:rPr>
          <w:rFonts w:cs="Arial"/>
        </w:rPr>
        <w:t>i</w:t>
      </w:r>
      <w:r w:rsidRPr="00893F43">
        <w:rPr>
          <w:rFonts w:cs="Arial"/>
        </w:rPr>
        <w:t xml:space="preserve"> na </w:t>
      </w:r>
      <w:r w:rsidR="00561E5E">
        <w:rPr>
          <w:rFonts w:cs="Arial"/>
        </w:rPr>
        <w:t>uzavření dodatku</w:t>
      </w:r>
      <w:r w:rsidR="00AF50F1">
        <w:rPr>
          <w:rFonts w:cs="Arial"/>
        </w:rPr>
        <w:t xml:space="preserve"> </w:t>
      </w:r>
      <w:r w:rsidR="008C72F8">
        <w:rPr>
          <w:rFonts w:cs="Arial"/>
        </w:rPr>
        <w:t xml:space="preserve">č. 1 (dále jen „dodatek“) </w:t>
      </w:r>
      <w:r w:rsidR="00AF50F1">
        <w:rPr>
          <w:rFonts w:cs="Arial"/>
        </w:rPr>
        <w:t>ke smlouvě</w:t>
      </w:r>
      <w:r>
        <w:rPr>
          <w:rFonts w:cs="Arial"/>
        </w:rPr>
        <w:t xml:space="preserve"> </w:t>
      </w:r>
      <w:r w:rsidR="008C72F8">
        <w:rPr>
          <w:rFonts w:cs="Arial"/>
        </w:rPr>
        <w:t xml:space="preserve">č. 1558/2023, </w:t>
      </w:r>
      <w:r>
        <w:rPr>
          <w:rFonts w:cs="Arial"/>
        </w:rPr>
        <w:t xml:space="preserve">uzavřené dne </w:t>
      </w:r>
      <w:r w:rsidR="004F54F6">
        <w:rPr>
          <w:rFonts w:cs="Arial"/>
        </w:rPr>
        <w:t>19.</w:t>
      </w:r>
      <w:r w:rsidR="00EF4E29">
        <w:rPr>
          <w:rFonts w:cs="Arial"/>
        </w:rPr>
        <w:t xml:space="preserve"> </w:t>
      </w:r>
      <w:r w:rsidR="004F54F6">
        <w:rPr>
          <w:rFonts w:cs="Arial"/>
        </w:rPr>
        <w:t>6.</w:t>
      </w:r>
      <w:r w:rsidR="00EF4E29">
        <w:rPr>
          <w:rFonts w:cs="Arial"/>
        </w:rPr>
        <w:t xml:space="preserve"> </w:t>
      </w:r>
      <w:r w:rsidR="004F54F6">
        <w:rPr>
          <w:rFonts w:cs="Arial"/>
        </w:rPr>
        <w:t>2023</w:t>
      </w:r>
      <w:r w:rsidR="008C72F8">
        <w:rPr>
          <w:rFonts w:cs="Arial"/>
        </w:rPr>
        <w:t xml:space="preserve"> (dále jen „smlouva“)</w:t>
      </w:r>
      <w:r w:rsidR="008054B9">
        <w:rPr>
          <w:rFonts w:cs="Arial"/>
        </w:rPr>
        <w:t>:</w:t>
      </w:r>
      <w:r w:rsidR="004F54F6">
        <w:rPr>
          <w:rFonts w:cs="Arial"/>
        </w:rPr>
        <w:t xml:space="preserve"> </w:t>
      </w:r>
    </w:p>
    <w:p w14:paraId="06120DDC" w14:textId="77777777" w:rsidR="00CA66FD" w:rsidRPr="00EF3CDF" w:rsidRDefault="00CA66FD" w:rsidP="008B63D9">
      <w:pPr>
        <w:spacing w:after="0" w:line="240" w:lineRule="auto"/>
        <w:ind w:left="284" w:right="260"/>
        <w:jc w:val="both"/>
        <w:rPr>
          <w:rFonts w:cs="Arial"/>
        </w:rPr>
      </w:pPr>
    </w:p>
    <w:p w14:paraId="6D1F587A" w14:textId="77777777" w:rsidR="008C72F8" w:rsidRDefault="008C72F8" w:rsidP="00622712">
      <w:pPr>
        <w:pStyle w:val="Odstavecseseznamem"/>
        <w:numPr>
          <w:ilvl w:val="0"/>
          <w:numId w:val="9"/>
        </w:numPr>
        <w:spacing w:before="240" w:after="0" w:line="240" w:lineRule="auto"/>
        <w:ind w:left="709" w:right="261"/>
        <w:contextualSpacing w:val="0"/>
        <w:jc w:val="both"/>
        <w:rPr>
          <w:rFonts w:cs="Arial"/>
        </w:rPr>
      </w:pPr>
      <w:r>
        <w:rPr>
          <w:rFonts w:cs="Arial"/>
        </w:rPr>
        <w:t>Bod 4.2. smlouvy se t</w:t>
      </w:r>
      <w:r w:rsidR="00E40DC8" w:rsidRPr="00622712">
        <w:rPr>
          <w:rFonts w:cs="Arial"/>
        </w:rPr>
        <w:t xml:space="preserve">ímto dodatkem </w:t>
      </w:r>
      <w:r>
        <w:rPr>
          <w:rFonts w:cs="Arial"/>
        </w:rPr>
        <w:t>mění takto:</w:t>
      </w:r>
    </w:p>
    <w:p w14:paraId="472C9BA2" w14:textId="14A1EB74" w:rsidR="0045518C" w:rsidRPr="008C72F8" w:rsidRDefault="008C72F8" w:rsidP="004F68BC">
      <w:pPr>
        <w:spacing w:before="120" w:after="0" w:line="240" w:lineRule="auto"/>
        <w:ind w:left="709" w:right="261"/>
        <w:jc w:val="both"/>
        <w:rPr>
          <w:rFonts w:cs="Arial"/>
        </w:rPr>
      </w:pPr>
      <w:r w:rsidRPr="008C72F8">
        <w:rPr>
          <w:rFonts w:cs="Arial"/>
        </w:rPr>
        <w:t xml:space="preserve"> </w:t>
      </w:r>
      <w:r>
        <w:rPr>
          <w:rFonts w:cs="Arial"/>
        </w:rPr>
        <w:t>„</w:t>
      </w:r>
      <w:r w:rsidRPr="00EF4E29">
        <w:rPr>
          <w:rFonts w:cs="Arial"/>
          <w:b/>
          <w:bCs/>
        </w:rPr>
        <w:t>4.2. Smlouva se uzavírá na dobu určitou, a to do 31. 12. 2024. Licence je uživateli udělena na dobu trvání této smlouvy</w:t>
      </w:r>
      <w:r w:rsidR="0080118D" w:rsidRPr="00EF4E29">
        <w:rPr>
          <w:rFonts w:cs="Arial"/>
          <w:b/>
          <w:bCs/>
        </w:rPr>
        <w:t>.</w:t>
      </w:r>
      <w:r>
        <w:rPr>
          <w:rFonts w:cs="Arial"/>
        </w:rPr>
        <w:t>“</w:t>
      </w:r>
    </w:p>
    <w:p w14:paraId="1D453433" w14:textId="42A18A7D" w:rsidR="00D12ABD" w:rsidRDefault="00D12ABD" w:rsidP="004E63B1">
      <w:pPr>
        <w:pStyle w:val="Odstavecseseznamem"/>
        <w:numPr>
          <w:ilvl w:val="0"/>
          <w:numId w:val="9"/>
        </w:numPr>
        <w:spacing w:before="240" w:after="0" w:line="240" w:lineRule="auto"/>
        <w:ind w:left="709" w:right="261"/>
        <w:contextualSpacing w:val="0"/>
        <w:jc w:val="both"/>
        <w:rPr>
          <w:rFonts w:cs="Arial"/>
        </w:rPr>
      </w:pPr>
      <w:r>
        <w:rPr>
          <w:rFonts w:cs="Arial"/>
        </w:rPr>
        <w:t xml:space="preserve">Příloha bod B. </w:t>
      </w:r>
      <w:r w:rsidRPr="00D12ABD">
        <w:rPr>
          <w:rFonts w:cs="Arial"/>
        </w:rPr>
        <w:t xml:space="preserve">Předplatné období a odměna </w:t>
      </w:r>
      <w:r>
        <w:rPr>
          <w:rFonts w:cs="Arial"/>
        </w:rPr>
        <w:t>se upravuje v souladu s prodloužením doby trvání smlouvy.</w:t>
      </w:r>
    </w:p>
    <w:p w14:paraId="183D0FF3" w14:textId="1BDF6D50" w:rsidR="00EF4E29" w:rsidRDefault="00EF4E29" w:rsidP="004E63B1">
      <w:pPr>
        <w:pStyle w:val="Odstavecseseznamem"/>
        <w:numPr>
          <w:ilvl w:val="0"/>
          <w:numId w:val="9"/>
        </w:numPr>
        <w:spacing w:before="240" w:after="0" w:line="240" w:lineRule="auto"/>
        <w:ind w:left="709" w:right="261"/>
        <w:contextualSpacing w:val="0"/>
        <w:jc w:val="both"/>
        <w:rPr>
          <w:rFonts w:cs="Arial"/>
        </w:rPr>
      </w:pPr>
      <w:r w:rsidRPr="00EF4E29">
        <w:rPr>
          <w:rFonts w:cs="Arial"/>
        </w:rPr>
        <w:t xml:space="preserve">V ostatních bodech a ujednáních se </w:t>
      </w:r>
      <w:r>
        <w:rPr>
          <w:rFonts w:cs="Arial"/>
        </w:rPr>
        <w:t>s</w:t>
      </w:r>
      <w:r w:rsidRPr="00EF4E29">
        <w:rPr>
          <w:rFonts w:cs="Arial"/>
        </w:rPr>
        <w:t xml:space="preserve">mlouva č. 1558/2023, ze dne </w:t>
      </w:r>
      <w:r>
        <w:rPr>
          <w:rFonts w:cs="Arial"/>
        </w:rPr>
        <w:t>19. 6. 2023</w:t>
      </w:r>
      <w:r w:rsidRPr="00EF4E29">
        <w:rPr>
          <w:rFonts w:cs="Arial"/>
        </w:rPr>
        <w:t xml:space="preserve"> nemění</w:t>
      </w:r>
      <w:r>
        <w:rPr>
          <w:rFonts w:cs="Arial"/>
        </w:rPr>
        <w:t>.</w:t>
      </w:r>
    </w:p>
    <w:p w14:paraId="7DAA51F6" w14:textId="52FEE8FD" w:rsidR="004E63B1" w:rsidRDefault="004F68BC" w:rsidP="004E63B1">
      <w:pPr>
        <w:pStyle w:val="Odstavecseseznamem"/>
        <w:numPr>
          <w:ilvl w:val="0"/>
          <w:numId w:val="9"/>
        </w:numPr>
        <w:spacing w:before="240" w:after="0" w:line="240" w:lineRule="auto"/>
        <w:ind w:left="709" w:right="261"/>
        <w:contextualSpacing w:val="0"/>
        <w:jc w:val="both"/>
        <w:rPr>
          <w:rFonts w:cs="Arial"/>
        </w:rPr>
      </w:pPr>
      <w:r w:rsidRPr="004F68BC">
        <w:rPr>
          <w:rFonts w:cs="Arial"/>
        </w:rPr>
        <w:t>T</w:t>
      </w:r>
      <w:r>
        <w:rPr>
          <w:rFonts w:cs="Arial"/>
        </w:rPr>
        <w:t>ento dodatek</w:t>
      </w:r>
      <w:r w:rsidRPr="004F68BC">
        <w:rPr>
          <w:rFonts w:cs="Arial"/>
        </w:rPr>
        <w:t xml:space="preserve"> je vyhotoven v elektronické podobě, ve dvou (2) stejnopisech s platností originálu, z nichž každá ze smluvních stran obdrží po jednom (1) vyhotovení</w:t>
      </w:r>
      <w:r w:rsidR="004D5941">
        <w:rPr>
          <w:rFonts w:cs="Arial"/>
        </w:rPr>
        <w:t>.</w:t>
      </w:r>
    </w:p>
    <w:p w14:paraId="7BF98F83" w14:textId="00F93E07" w:rsidR="00C80D45" w:rsidRPr="00C80D45" w:rsidRDefault="00C80D45" w:rsidP="00C80D45">
      <w:pPr>
        <w:pStyle w:val="Odstavecseseznamem"/>
        <w:numPr>
          <w:ilvl w:val="0"/>
          <w:numId w:val="9"/>
        </w:numPr>
        <w:spacing w:before="240" w:after="0" w:line="240" w:lineRule="auto"/>
        <w:ind w:left="709" w:right="261"/>
        <w:contextualSpacing w:val="0"/>
        <w:jc w:val="both"/>
        <w:rPr>
          <w:rFonts w:cs="Arial"/>
        </w:rPr>
      </w:pPr>
      <w:r w:rsidRPr="00C80D45">
        <w:rPr>
          <w:rFonts w:cs="Arial"/>
        </w:rPr>
        <w:t xml:space="preserve">Tento dodatek </w:t>
      </w:r>
      <w:r w:rsidR="004F68BC" w:rsidRPr="004F68BC">
        <w:rPr>
          <w:rFonts w:cs="Arial"/>
        </w:rPr>
        <w:t xml:space="preserve">nabývá platnosti dnem jeho podpisu oběma smluvními stranami a účinnosti dnem uveřejnění v Registru smluv podle zákona č. 340/2015 Sb., o zvláštních podmínkách účinnosti některých smluv, uveřejňování těchto smluv a o registru smluv (zákon o registru smluv), ve znění pozdějších předpisů. </w:t>
      </w:r>
      <w:r w:rsidR="004F68BC">
        <w:rPr>
          <w:rFonts w:cs="Arial"/>
        </w:rPr>
        <w:t>Dodatek</w:t>
      </w:r>
      <w:r w:rsidR="004F68BC" w:rsidRPr="004F68BC">
        <w:rPr>
          <w:rFonts w:cs="Arial"/>
        </w:rPr>
        <w:t xml:space="preserve"> uveřejní v Registru smluv uživatel. Poskytovatel bere povinnost uveřejnění této Smlouvy v Registru smluv na vědomí</w:t>
      </w:r>
      <w:r w:rsidRPr="00C80D45">
        <w:rPr>
          <w:rFonts w:cs="Arial"/>
        </w:rPr>
        <w:t xml:space="preserve">. </w:t>
      </w:r>
    </w:p>
    <w:p w14:paraId="66E58473" w14:textId="7FECE9F3" w:rsidR="0064650A" w:rsidRPr="00EF3CDF" w:rsidRDefault="0064650A" w:rsidP="0064650A">
      <w:pPr>
        <w:tabs>
          <w:tab w:val="left" w:pos="6096"/>
        </w:tabs>
        <w:spacing w:before="240"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 xml:space="preserve">V Praze </w:t>
      </w:r>
      <w:r w:rsidR="00510B8C">
        <w:rPr>
          <w:rFonts w:cs="Arial"/>
        </w:rPr>
        <w:t xml:space="preserve">dle </w:t>
      </w:r>
      <w:r w:rsidRPr="00EF3CDF">
        <w:rPr>
          <w:rFonts w:cs="Arial"/>
        </w:rPr>
        <w:t xml:space="preserve">dne </w:t>
      </w:r>
      <w:r w:rsidR="00510B8C">
        <w:rPr>
          <w:rFonts w:cs="Arial"/>
        </w:rPr>
        <w:t>el. podpisu</w:t>
      </w:r>
      <w:r>
        <w:rPr>
          <w:rFonts w:cs="Arial"/>
        </w:rPr>
        <w:tab/>
      </w:r>
      <w:r w:rsidRPr="00EF3CDF">
        <w:rPr>
          <w:rFonts w:cs="Arial"/>
        </w:rPr>
        <w:t>V</w:t>
      </w:r>
      <w:r w:rsidR="004F54F6">
        <w:rPr>
          <w:rFonts w:cs="Arial"/>
        </w:rPr>
        <w:t> </w:t>
      </w:r>
      <w:bookmarkStart w:id="6" w:name="mesto_firmy1"/>
      <w:bookmarkEnd w:id="6"/>
      <w:r w:rsidR="000839DB">
        <w:rPr>
          <w:rFonts w:cs="Arial"/>
        </w:rPr>
        <w:t>Pra</w:t>
      </w:r>
      <w:r w:rsidR="004F54F6">
        <w:rPr>
          <w:rFonts w:cs="Arial"/>
        </w:rPr>
        <w:t xml:space="preserve">ze </w:t>
      </w:r>
      <w:r w:rsidR="00510B8C">
        <w:rPr>
          <w:rFonts w:cs="Arial"/>
        </w:rPr>
        <w:t>dle dne el. podpisu</w:t>
      </w:r>
    </w:p>
    <w:p w14:paraId="0E171037" w14:textId="77777777" w:rsidR="0064650A" w:rsidRDefault="0064650A" w:rsidP="0064650A">
      <w:pPr>
        <w:spacing w:after="0" w:line="240" w:lineRule="auto"/>
        <w:ind w:left="284" w:right="118"/>
        <w:jc w:val="both"/>
        <w:rPr>
          <w:rFonts w:cs="Arial"/>
        </w:rPr>
      </w:pPr>
    </w:p>
    <w:p w14:paraId="5BFEB091" w14:textId="77777777" w:rsidR="004F54F6" w:rsidRDefault="004F54F6" w:rsidP="0064650A">
      <w:pPr>
        <w:spacing w:after="0" w:line="240" w:lineRule="auto"/>
        <w:ind w:left="284" w:right="118"/>
        <w:jc w:val="both"/>
        <w:rPr>
          <w:rFonts w:cs="Arial"/>
        </w:rPr>
      </w:pPr>
    </w:p>
    <w:p w14:paraId="3047D74F" w14:textId="77777777" w:rsidR="004F54F6" w:rsidRDefault="004F54F6" w:rsidP="0064650A">
      <w:pPr>
        <w:spacing w:after="0" w:line="240" w:lineRule="auto"/>
        <w:ind w:left="284" w:right="118"/>
        <w:jc w:val="both"/>
        <w:rPr>
          <w:rFonts w:cs="Arial"/>
        </w:rPr>
      </w:pPr>
    </w:p>
    <w:p w14:paraId="779E8756" w14:textId="77777777" w:rsidR="004F54F6" w:rsidRDefault="004F54F6" w:rsidP="0064650A">
      <w:pPr>
        <w:spacing w:after="0" w:line="240" w:lineRule="auto"/>
        <w:ind w:left="284" w:right="118"/>
        <w:jc w:val="both"/>
        <w:rPr>
          <w:rFonts w:cs="Arial"/>
        </w:rPr>
      </w:pPr>
    </w:p>
    <w:p w14:paraId="79CD57FC" w14:textId="77777777" w:rsidR="004F54F6" w:rsidRDefault="004F54F6" w:rsidP="0064650A">
      <w:pPr>
        <w:spacing w:after="0" w:line="240" w:lineRule="auto"/>
        <w:ind w:left="284" w:right="118"/>
        <w:jc w:val="both"/>
        <w:rPr>
          <w:rFonts w:cs="Arial"/>
        </w:rPr>
      </w:pPr>
    </w:p>
    <w:p w14:paraId="25D5B8B1" w14:textId="77777777" w:rsidR="00BC3520" w:rsidRPr="00EF3CDF" w:rsidRDefault="00BC3520" w:rsidP="0064650A">
      <w:pPr>
        <w:spacing w:after="0" w:line="240" w:lineRule="auto"/>
        <w:ind w:left="284" w:right="118"/>
        <w:jc w:val="both"/>
        <w:rPr>
          <w:rFonts w:cs="Arial"/>
        </w:rPr>
      </w:pPr>
    </w:p>
    <w:p w14:paraId="131B264F" w14:textId="23142924" w:rsidR="0064650A" w:rsidRPr="00EF3CDF" w:rsidRDefault="0064650A" w:rsidP="0064650A">
      <w:pPr>
        <w:tabs>
          <w:tab w:val="left" w:pos="6096"/>
        </w:tabs>
        <w:spacing w:after="0" w:line="240" w:lineRule="auto"/>
        <w:ind w:left="284" w:right="118"/>
        <w:jc w:val="both"/>
        <w:rPr>
          <w:rFonts w:cs="Arial"/>
        </w:rPr>
      </w:pPr>
      <w:r w:rsidRPr="00EF3CDF">
        <w:rPr>
          <w:rFonts w:cs="Arial"/>
        </w:rPr>
        <w:t>_____________________________</w:t>
      </w:r>
      <w:r w:rsidR="004F68BC">
        <w:rPr>
          <w:rFonts w:cs="Arial"/>
        </w:rPr>
        <w:tab/>
      </w:r>
      <w:r w:rsidRPr="00EF3CDF">
        <w:rPr>
          <w:rFonts w:cs="Arial"/>
        </w:rPr>
        <w:t>_____________________________</w:t>
      </w:r>
    </w:p>
    <w:p w14:paraId="13996D88" w14:textId="6BF78293" w:rsidR="0064650A" w:rsidRPr="00EF3CDF" w:rsidRDefault="0064650A" w:rsidP="0064650A">
      <w:pPr>
        <w:tabs>
          <w:tab w:val="left" w:pos="6096"/>
        </w:tabs>
        <w:spacing w:after="0" w:line="240" w:lineRule="auto"/>
        <w:ind w:right="118"/>
        <w:jc w:val="both"/>
        <w:rPr>
          <w:rFonts w:cs="Arial"/>
          <w:b/>
        </w:rPr>
      </w:pPr>
      <w:r>
        <w:rPr>
          <w:rFonts w:cs="Arial"/>
          <w:b/>
        </w:rPr>
        <w:t xml:space="preserve">      </w:t>
      </w:r>
      <w:r w:rsidRPr="00EF3CDF">
        <w:rPr>
          <w:rFonts w:cs="Arial"/>
          <w:b/>
        </w:rPr>
        <w:t>Nakladatelství C.H.Beck, s.r.o.</w:t>
      </w:r>
      <w:r w:rsidRPr="00EF3CDF">
        <w:rPr>
          <w:rFonts w:cs="Arial"/>
          <w:b/>
        </w:rPr>
        <w:tab/>
      </w:r>
      <w:bookmarkStart w:id="7" w:name="jmeno_firmy2"/>
      <w:bookmarkEnd w:id="7"/>
      <w:r w:rsidR="000839DB">
        <w:rPr>
          <w:rFonts w:cs="Arial"/>
          <w:b/>
        </w:rPr>
        <w:t>Městský soud</w:t>
      </w:r>
      <w:r w:rsidR="004F68BC">
        <w:rPr>
          <w:rFonts w:cs="Arial"/>
          <w:b/>
        </w:rPr>
        <w:t xml:space="preserve"> v Praze</w:t>
      </w:r>
    </w:p>
    <w:p w14:paraId="3E225F40" w14:textId="3EE597B6" w:rsidR="004F68BC" w:rsidRDefault="0064650A" w:rsidP="0064650A">
      <w:pPr>
        <w:tabs>
          <w:tab w:val="left" w:pos="6096"/>
        </w:tabs>
        <w:spacing w:after="0" w:line="240" w:lineRule="auto"/>
        <w:ind w:right="118"/>
        <w:jc w:val="both"/>
        <w:rPr>
          <w:rFonts w:cs="Arial"/>
        </w:rPr>
      </w:pPr>
      <w:r>
        <w:rPr>
          <w:rFonts w:cs="Arial"/>
        </w:rPr>
        <w:t xml:space="preserve">      </w:t>
      </w:r>
      <w:r w:rsidRPr="00EF3CDF">
        <w:rPr>
          <w:rFonts w:cs="Arial"/>
        </w:rPr>
        <w:t>Ing. Jiří Holna</w:t>
      </w:r>
      <w:r w:rsidRPr="00EF3CDF">
        <w:rPr>
          <w:rFonts w:cs="Arial"/>
        </w:rPr>
        <w:tab/>
      </w:r>
      <w:r w:rsidR="004F68BC" w:rsidRPr="004F68BC">
        <w:rPr>
          <w:rFonts w:cs="Arial"/>
        </w:rPr>
        <w:t>Ing. Michael Mrzkoš, LL.M.</w:t>
      </w:r>
    </w:p>
    <w:p w14:paraId="000BC32A" w14:textId="0055B7CC" w:rsidR="0064650A" w:rsidRDefault="004F68BC" w:rsidP="0064650A">
      <w:pPr>
        <w:tabs>
          <w:tab w:val="left" w:pos="6096"/>
        </w:tabs>
        <w:spacing w:after="0" w:line="240" w:lineRule="auto"/>
        <w:ind w:right="118"/>
        <w:jc w:val="both"/>
        <w:rPr>
          <w:rFonts w:cs="Arial"/>
        </w:rPr>
      </w:pPr>
      <w:r>
        <w:rPr>
          <w:rFonts w:cs="Arial"/>
        </w:rPr>
        <w:t xml:space="preserve">      </w:t>
      </w:r>
      <w:r w:rsidRPr="00EF3CDF">
        <w:rPr>
          <w:rFonts w:cs="Arial"/>
        </w:rPr>
        <w:t>jednatel</w:t>
      </w:r>
      <w:r w:rsidRPr="004F68BC">
        <w:rPr>
          <w:rFonts w:cs="Arial"/>
        </w:rPr>
        <w:t xml:space="preserve"> </w:t>
      </w:r>
      <w:r>
        <w:rPr>
          <w:rFonts w:cs="Arial"/>
        </w:rPr>
        <w:tab/>
      </w:r>
      <w:r w:rsidRPr="004F68BC">
        <w:rPr>
          <w:rFonts w:cs="Arial"/>
        </w:rPr>
        <w:t>ředitel správy soudu</w:t>
      </w:r>
    </w:p>
    <w:p w14:paraId="5E4AE40B" w14:textId="58CB4F88" w:rsidR="0064650A" w:rsidRPr="00EF3CDF" w:rsidRDefault="004F68BC" w:rsidP="0064650A">
      <w:pPr>
        <w:ind w:right="260"/>
        <w:jc w:val="both"/>
        <w:rPr>
          <w:rFonts w:cs="Arial"/>
        </w:rPr>
      </w:pPr>
      <w:r>
        <w:rPr>
          <w:rFonts w:cs="Arial"/>
        </w:rPr>
        <w:tab/>
      </w:r>
    </w:p>
    <w:p w14:paraId="7A1B6644" w14:textId="77777777" w:rsidR="0064650A" w:rsidRPr="00EF3CDF" w:rsidRDefault="0064650A" w:rsidP="0064650A">
      <w:pPr>
        <w:pStyle w:val="Odstavecseseznamem"/>
        <w:spacing w:before="120" w:after="0" w:line="240" w:lineRule="auto"/>
        <w:ind w:left="0" w:right="260"/>
        <w:contextualSpacing w:val="0"/>
        <w:jc w:val="both"/>
        <w:rPr>
          <w:rFonts w:cs="Arial"/>
        </w:rPr>
      </w:pPr>
    </w:p>
    <w:p w14:paraId="082F383E" w14:textId="77777777" w:rsidR="00CA66FD" w:rsidRPr="00714B39" w:rsidRDefault="0000145D" w:rsidP="00C16EA1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br w:type="page"/>
      </w:r>
      <w:r w:rsidR="004D7ED7">
        <w:rPr>
          <w:rFonts w:cs="Arial"/>
          <w:b/>
        </w:rPr>
        <w:lastRenderedPageBreak/>
        <w:t xml:space="preserve">      </w:t>
      </w:r>
      <w:r w:rsidR="00FE3D64">
        <w:rPr>
          <w:rFonts w:cs="Arial"/>
          <w:b/>
        </w:rPr>
        <w:t>PŘÍLOHA</w:t>
      </w:r>
      <w:r w:rsidR="00CA66FD" w:rsidRPr="00714B39">
        <w:rPr>
          <w:rFonts w:cs="Arial"/>
          <w:b/>
        </w:rPr>
        <w:t>:</w:t>
      </w:r>
      <w:r w:rsidR="00714B39">
        <w:rPr>
          <w:rFonts w:cs="Arial"/>
          <w:b/>
        </w:rPr>
        <w:t xml:space="preserve"> Rozsah </w:t>
      </w:r>
      <w:r w:rsidR="00A928C1">
        <w:rPr>
          <w:rFonts w:cs="Arial"/>
          <w:b/>
        </w:rPr>
        <w:t>licence</w:t>
      </w:r>
      <w:r w:rsidR="008B63D9">
        <w:rPr>
          <w:rFonts w:cs="Arial"/>
          <w:b/>
        </w:rPr>
        <w:tab/>
      </w:r>
    </w:p>
    <w:p w14:paraId="168D479E" w14:textId="77777777" w:rsidR="00CA66FD" w:rsidRPr="00CA66FD" w:rsidRDefault="00FE3D64" w:rsidP="00FE3D64">
      <w:pPr>
        <w:pStyle w:val="Odstavecseseznamem"/>
        <w:tabs>
          <w:tab w:val="left" w:pos="6360"/>
        </w:tabs>
        <w:spacing w:after="0" w:line="240" w:lineRule="auto"/>
        <w:ind w:left="567" w:right="260"/>
        <w:contextualSpacing w:val="0"/>
        <w:jc w:val="both"/>
        <w:rPr>
          <w:rFonts w:cs="Arial"/>
        </w:rPr>
      </w:pPr>
      <w:r>
        <w:rPr>
          <w:rFonts w:cs="Arial"/>
        </w:rPr>
        <w:tab/>
      </w:r>
    </w:p>
    <w:p w14:paraId="45012881" w14:textId="77777777" w:rsidR="00DF3D27" w:rsidRPr="00DF3D27" w:rsidRDefault="00DF3D27" w:rsidP="00434511">
      <w:pPr>
        <w:pStyle w:val="Odstavecseseznamem"/>
        <w:numPr>
          <w:ilvl w:val="0"/>
          <w:numId w:val="7"/>
        </w:numPr>
        <w:spacing w:after="0" w:line="240" w:lineRule="auto"/>
        <w:ind w:left="709" w:right="-24" w:hanging="425"/>
        <w:jc w:val="both"/>
        <w:rPr>
          <w:rFonts w:cs="Arial"/>
          <w:b/>
        </w:rPr>
      </w:pPr>
      <w:r w:rsidRPr="00DF3D27">
        <w:rPr>
          <w:rFonts w:cs="Arial"/>
          <w:b/>
        </w:rPr>
        <w:t>Specifikace obsahu a počtu licencí</w:t>
      </w:r>
    </w:p>
    <w:p w14:paraId="587BA7DE" w14:textId="77777777" w:rsidR="008D2A9F" w:rsidRDefault="00CA66FD" w:rsidP="008D2A9F">
      <w:pPr>
        <w:spacing w:after="0" w:line="240" w:lineRule="auto"/>
        <w:ind w:left="284" w:right="260" w:firstLine="425"/>
        <w:jc w:val="both"/>
        <w:rPr>
          <w:rFonts w:cs="Arial"/>
        </w:rPr>
      </w:pPr>
      <w:r w:rsidRPr="00CA66FD">
        <w:rPr>
          <w:rFonts w:cs="Arial"/>
        </w:rPr>
        <w:t xml:space="preserve">Prostřednictvím uživatelského účtu bude uživatel oprávněn přistupovat a užívat výlučně následující </w:t>
      </w:r>
    </w:p>
    <w:p w14:paraId="1AE3C2AC" w14:textId="77777777" w:rsidR="00CA66FD" w:rsidRPr="00966FC9" w:rsidRDefault="00CA66FD" w:rsidP="008D2A9F">
      <w:pPr>
        <w:spacing w:after="0" w:line="240" w:lineRule="auto"/>
        <w:ind w:left="284" w:right="260" w:firstLine="425"/>
        <w:jc w:val="both"/>
        <w:rPr>
          <w:rFonts w:cs="Arial"/>
        </w:rPr>
      </w:pPr>
      <w:r w:rsidRPr="00966FC9">
        <w:rPr>
          <w:rFonts w:cs="Arial"/>
        </w:rPr>
        <w:t xml:space="preserve">databáze (moduly) </w:t>
      </w:r>
      <w:r w:rsidR="00E45699" w:rsidRPr="00966FC9">
        <w:rPr>
          <w:rFonts w:cs="Arial"/>
        </w:rPr>
        <w:t>Beck-online</w:t>
      </w:r>
      <w:r w:rsidR="00DF3D27" w:rsidRPr="00966FC9">
        <w:rPr>
          <w:rFonts w:cs="Arial"/>
        </w:rPr>
        <w:t xml:space="preserve"> v uvedeném počtu </w:t>
      </w:r>
      <w:r w:rsidR="00222F60">
        <w:rPr>
          <w:rFonts w:cs="Arial"/>
        </w:rPr>
        <w:t>osob</w:t>
      </w:r>
      <w:r w:rsidRPr="00966FC9">
        <w:rPr>
          <w:rFonts w:cs="Arial"/>
        </w:rPr>
        <w:t>:</w:t>
      </w:r>
    </w:p>
    <w:p w14:paraId="2EAFFDDA" w14:textId="77777777" w:rsidR="00AA05A6" w:rsidRPr="00966FC9" w:rsidRDefault="00AA05A6" w:rsidP="00AA05A6">
      <w:pPr>
        <w:rPr>
          <w:color w:val="76923C"/>
        </w:rPr>
      </w:pPr>
    </w:p>
    <w:tbl>
      <w:tblPr>
        <w:tblW w:w="9436" w:type="dxa"/>
        <w:tblInd w:w="81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491"/>
        <w:gridCol w:w="3945"/>
      </w:tblGrid>
      <w:tr w:rsidR="002323F5" w:rsidRPr="00966FC9" w14:paraId="05508A2D" w14:textId="77777777" w:rsidTr="004F54F6">
        <w:trPr>
          <w:trHeight w:val="254"/>
        </w:trPr>
        <w:tc>
          <w:tcPr>
            <w:tcW w:w="5491" w:type="dxa"/>
            <w:tcBorders>
              <w:bottom w:val="single" w:sz="4" w:space="0" w:color="auto"/>
            </w:tcBorders>
          </w:tcPr>
          <w:p w14:paraId="30AA64F8" w14:textId="77777777" w:rsidR="002323F5" w:rsidRPr="00966FC9" w:rsidRDefault="002323F5" w:rsidP="00BD6724">
            <w:pPr>
              <w:spacing w:after="0" w:line="240" w:lineRule="auto"/>
              <w:rPr>
                <w:b/>
                <w:bCs/>
              </w:rPr>
            </w:pPr>
            <w:bookmarkStart w:id="8" w:name="sl1"/>
            <w:bookmarkEnd w:id="8"/>
            <w:r w:rsidRPr="00966FC9">
              <w:rPr>
                <w:b/>
                <w:bCs/>
              </w:rPr>
              <w:t>Modul</w:t>
            </w:r>
          </w:p>
        </w:tc>
        <w:tc>
          <w:tcPr>
            <w:tcW w:w="3945" w:type="dxa"/>
            <w:tcBorders>
              <w:bottom w:val="single" w:sz="4" w:space="0" w:color="auto"/>
            </w:tcBorders>
          </w:tcPr>
          <w:p w14:paraId="13F05098" w14:textId="77777777" w:rsidR="002323F5" w:rsidRPr="00966FC9" w:rsidRDefault="002323F5" w:rsidP="00222F60">
            <w:pPr>
              <w:spacing w:after="0" w:line="240" w:lineRule="auto"/>
              <w:rPr>
                <w:b/>
                <w:bCs/>
                <w:color w:val="365F91"/>
              </w:rPr>
            </w:pPr>
            <w:bookmarkStart w:id="9" w:name="sl2"/>
            <w:bookmarkEnd w:id="9"/>
            <w:r w:rsidRPr="00966FC9">
              <w:rPr>
                <w:rFonts w:eastAsia="Times New Roman" w:cs="Arial"/>
                <w:b/>
                <w:bCs/>
              </w:rPr>
              <w:t>Počet licencí</w:t>
            </w:r>
            <w:r w:rsidR="00222F60">
              <w:rPr>
                <w:rFonts w:eastAsia="Times New Roman" w:cs="Arial"/>
                <w:b/>
                <w:bCs/>
              </w:rPr>
              <w:t xml:space="preserve"> (osob)</w:t>
            </w:r>
          </w:p>
        </w:tc>
        <w:bookmarkStart w:id="10" w:name="sl3"/>
        <w:bookmarkEnd w:id="10"/>
      </w:tr>
      <w:tr w:rsidR="004F54F6" w:rsidRPr="004F54F6" w14:paraId="16BC0C13" w14:textId="77777777" w:rsidTr="004F54F6">
        <w:trPr>
          <w:trHeight w:val="254"/>
        </w:trPr>
        <w:tc>
          <w:tcPr>
            <w:tcW w:w="5491" w:type="dxa"/>
            <w:tcBorders>
              <w:top w:val="single" w:sz="4" w:space="0" w:color="auto"/>
              <w:bottom w:val="nil"/>
            </w:tcBorders>
          </w:tcPr>
          <w:p w14:paraId="0D23C00E" w14:textId="77777777" w:rsidR="004F54F6" w:rsidRPr="004F54F6" w:rsidRDefault="004F54F6" w:rsidP="00BD6724">
            <w:pPr>
              <w:spacing w:after="0" w:line="240" w:lineRule="auto"/>
            </w:pPr>
            <w:r w:rsidRPr="004F54F6">
              <w:t>Beck-online PRO</w:t>
            </w:r>
          </w:p>
        </w:tc>
        <w:tc>
          <w:tcPr>
            <w:tcW w:w="3945" w:type="dxa"/>
            <w:tcBorders>
              <w:top w:val="single" w:sz="4" w:space="0" w:color="auto"/>
              <w:bottom w:val="nil"/>
            </w:tcBorders>
          </w:tcPr>
          <w:p w14:paraId="2F8B86B8" w14:textId="77777777" w:rsidR="004F54F6" w:rsidRPr="004F54F6" w:rsidRDefault="004F54F6" w:rsidP="00222F60">
            <w:pPr>
              <w:spacing w:after="0" w:line="240" w:lineRule="auto"/>
              <w:rPr>
                <w:rFonts w:eastAsia="Times New Roman" w:cs="Arial"/>
              </w:rPr>
            </w:pPr>
            <w:r w:rsidRPr="004F54F6">
              <w:rPr>
                <w:rFonts w:eastAsia="Times New Roman" w:cs="Arial"/>
              </w:rPr>
              <w:t>1200</w:t>
            </w:r>
          </w:p>
        </w:tc>
      </w:tr>
      <w:tr w:rsidR="004F54F6" w:rsidRPr="004F54F6" w14:paraId="6BCE617A" w14:textId="77777777" w:rsidTr="004F54F6">
        <w:trPr>
          <w:trHeight w:val="254"/>
        </w:trPr>
        <w:tc>
          <w:tcPr>
            <w:tcW w:w="5491" w:type="dxa"/>
            <w:tcBorders>
              <w:bottom w:val="nil"/>
            </w:tcBorders>
          </w:tcPr>
          <w:p w14:paraId="4727F677" w14:textId="77777777" w:rsidR="004F54F6" w:rsidRPr="004F54F6" w:rsidRDefault="004F54F6" w:rsidP="00BD6724">
            <w:pPr>
              <w:spacing w:after="0" w:line="240" w:lineRule="auto"/>
            </w:pPr>
            <w:r w:rsidRPr="004F54F6">
              <w:t>Daňové právo</w:t>
            </w:r>
          </w:p>
        </w:tc>
        <w:tc>
          <w:tcPr>
            <w:tcW w:w="3945" w:type="dxa"/>
            <w:tcBorders>
              <w:bottom w:val="nil"/>
            </w:tcBorders>
          </w:tcPr>
          <w:p w14:paraId="63270A98" w14:textId="77777777" w:rsidR="004F54F6" w:rsidRPr="004F54F6" w:rsidRDefault="004F54F6" w:rsidP="00222F60">
            <w:pPr>
              <w:spacing w:after="0" w:line="240" w:lineRule="auto"/>
              <w:rPr>
                <w:rFonts w:eastAsia="Times New Roman" w:cs="Arial"/>
              </w:rPr>
            </w:pPr>
            <w:r w:rsidRPr="004F54F6">
              <w:rPr>
                <w:rFonts w:eastAsia="Times New Roman" w:cs="Arial"/>
              </w:rPr>
              <w:t>1200</w:t>
            </w:r>
          </w:p>
        </w:tc>
      </w:tr>
      <w:tr w:rsidR="004F54F6" w:rsidRPr="004F54F6" w14:paraId="49FC7537" w14:textId="77777777" w:rsidTr="004F54F6">
        <w:trPr>
          <w:trHeight w:val="254"/>
        </w:trPr>
        <w:tc>
          <w:tcPr>
            <w:tcW w:w="5491" w:type="dxa"/>
            <w:tcBorders>
              <w:bottom w:val="nil"/>
            </w:tcBorders>
          </w:tcPr>
          <w:p w14:paraId="677E739D" w14:textId="77777777" w:rsidR="004F54F6" w:rsidRPr="004F54F6" w:rsidRDefault="004F54F6" w:rsidP="00BD6724">
            <w:pPr>
              <w:spacing w:after="0" w:line="240" w:lineRule="auto"/>
            </w:pPr>
            <w:r w:rsidRPr="004F54F6">
              <w:t>Duševní vlastnictví</w:t>
            </w:r>
          </w:p>
        </w:tc>
        <w:tc>
          <w:tcPr>
            <w:tcW w:w="3945" w:type="dxa"/>
            <w:tcBorders>
              <w:bottom w:val="nil"/>
            </w:tcBorders>
          </w:tcPr>
          <w:p w14:paraId="79263642" w14:textId="77777777" w:rsidR="004F54F6" w:rsidRPr="004F54F6" w:rsidRDefault="004F54F6" w:rsidP="00222F60">
            <w:pPr>
              <w:spacing w:after="0" w:line="240" w:lineRule="auto"/>
              <w:rPr>
                <w:rFonts w:eastAsia="Times New Roman" w:cs="Arial"/>
              </w:rPr>
            </w:pPr>
            <w:r w:rsidRPr="004F54F6">
              <w:rPr>
                <w:rFonts w:eastAsia="Times New Roman" w:cs="Arial"/>
              </w:rPr>
              <w:t>1200</w:t>
            </w:r>
          </w:p>
        </w:tc>
      </w:tr>
      <w:tr w:rsidR="004F54F6" w:rsidRPr="004F54F6" w14:paraId="23B4575A" w14:textId="77777777" w:rsidTr="004F54F6">
        <w:trPr>
          <w:trHeight w:val="254"/>
        </w:trPr>
        <w:tc>
          <w:tcPr>
            <w:tcW w:w="5491" w:type="dxa"/>
            <w:tcBorders>
              <w:bottom w:val="nil"/>
            </w:tcBorders>
          </w:tcPr>
          <w:p w14:paraId="7529A6E7" w14:textId="77777777" w:rsidR="004F54F6" w:rsidRPr="004F54F6" w:rsidRDefault="004F54F6" w:rsidP="00BD6724">
            <w:pPr>
              <w:spacing w:after="0" w:line="240" w:lineRule="auto"/>
            </w:pPr>
            <w:r w:rsidRPr="004F54F6">
              <w:t>Finanční právo</w:t>
            </w:r>
          </w:p>
        </w:tc>
        <w:tc>
          <w:tcPr>
            <w:tcW w:w="3945" w:type="dxa"/>
            <w:tcBorders>
              <w:bottom w:val="nil"/>
            </w:tcBorders>
          </w:tcPr>
          <w:p w14:paraId="59F4E9A5" w14:textId="77777777" w:rsidR="004F54F6" w:rsidRPr="004F54F6" w:rsidRDefault="004F54F6" w:rsidP="00222F60">
            <w:pPr>
              <w:spacing w:after="0" w:line="240" w:lineRule="auto"/>
              <w:rPr>
                <w:rFonts w:eastAsia="Times New Roman" w:cs="Arial"/>
              </w:rPr>
            </w:pPr>
            <w:r w:rsidRPr="004F54F6">
              <w:rPr>
                <w:rFonts w:eastAsia="Times New Roman" w:cs="Arial"/>
              </w:rPr>
              <w:t>1200</w:t>
            </w:r>
          </w:p>
        </w:tc>
      </w:tr>
      <w:tr w:rsidR="004F54F6" w:rsidRPr="004F54F6" w14:paraId="43866A3C" w14:textId="77777777" w:rsidTr="004F54F6">
        <w:trPr>
          <w:trHeight w:val="254"/>
        </w:trPr>
        <w:tc>
          <w:tcPr>
            <w:tcW w:w="5491" w:type="dxa"/>
            <w:tcBorders>
              <w:bottom w:val="nil"/>
            </w:tcBorders>
          </w:tcPr>
          <w:p w14:paraId="5887ED90" w14:textId="77777777" w:rsidR="004F54F6" w:rsidRPr="004F54F6" w:rsidRDefault="004F54F6" w:rsidP="00BD6724">
            <w:pPr>
              <w:spacing w:after="0" w:line="240" w:lineRule="auto"/>
            </w:pPr>
            <w:r w:rsidRPr="004F54F6">
              <w:t>Justiční a procesní právo PLUS</w:t>
            </w:r>
          </w:p>
        </w:tc>
        <w:tc>
          <w:tcPr>
            <w:tcW w:w="3945" w:type="dxa"/>
            <w:tcBorders>
              <w:bottom w:val="nil"/>
            </w:tcBorders>
          </w:tcPr>
          <w:p w14:paraId="71B18D4B" w14:textId="77777777" w:rsidR="004F54F6" w:rsidRPr="004F54F6" w:rsidRDefault="004F54F6" w:rsidP="00222F60">
            <w:pPr>
              <w:spacing w:after="0" w:line="240" w:lineRule="auto"/>
              <w:rPr>
                <w:rFonts w:eastAsia="Times New Roman" w:cs="Arial"/>
              </w:rPr>
            </w:pPr>
            <w:r w:rsidRPr="004F54F6">
              <w:rPr>
                <w:rFonts w:eastAsia="Times New Roman" w:cs="Arial"/>
              </w:rPr>
              <w:t>1200</w:t>
            </w:r>
          </w:p>
        </w:tc>
      </w:tr>
      <w:tr w:rsidR="004F54F6" w:rsidRPr="004F54F6" w14:paraId="1F8952CC" w14:textId="77777777" w:rsidTr="004F54F6">
        <w:trPr>
          <w:trHeight w:val="254"/>
        </w:trPr>
        <w:tc>
          <w:tcPr>
            <w:tcW w:w="5491" w:type="dxa"/>
            <w:tcBorders>
              <w:bottom w:val="nil"/>
            </w:tcBorders>
          </w:tcPr>
          <w:p w14:paraId="16A66088" w14:textId="77777777" w:rsidR="004F54F6" w:rsidRPr="004F54F6" w:rsidRDefault="004F54F6" w:rsidP="00BD6724">
            <w:pPr>
              <w:spacing w:after="0" w:line="240" w:lineRule="auto"/>
            </w:pPr>
            <w:r w:rsidRPr="004F54F6">
              <w:t>Občanské právo PLUS</w:t>
            </w:r>
          </w:p>
        </w:tc>
        <w:tc>
          <w:tcPr>
            <w:tcW w:w="3945" w:type="dxa"/>
            <w:tcBorders>
              <w:bottom w:val="nil"/>
            </w:tcBorders>
          </w:tcPr>
          <w:p w14:paraId="07D207FE" w14:textId="77777777" w:rsidR="004F54F6" w:rsidRPr="004F54F6" w:rsidRDefault="004F54F6" w:rsidP="00222F60">
            <w:pPr>
              <w:spacing w:after="0" w:line="240" w:lineRule="auto"/>
              <w:rPr>
                <w:rFonts w:eastAsia="Times New Roman" w:cs="Arial"/>
              </w:rPr>
            </w:pPr>
            <w:r w:rsidRPr="004F54F6">
              <w:rPr>
                <w:rFonts w:eastAsia="Times New Roman" w:cs="Arial"/>
              </w:rPr>
              <w:t>1200</w:t>
            </w:r>
          </w:p>
        </w:tc>
      </w:tr>
      <w:tr w:rsidR="004F54F6" w:rsidRPr="004F54F6" w14:paraId="53BAB060" w14:textId="77777777" w:rsidTr="004F54F6">
        <w:trPr>
          <w:trHeight w:val="254"/>
        </w:trPr>
        <w:tc>
          <w:tcPr>
            <w:tcW w:w="5491" w:type="dxa"/>
            <w:tcBorders>
              <w:bottom w:val="nil"/>
            </w:tcBorders>
          </w:tcPr>
          <w:p w14:paraId="723A266F" w14:textId="77777777" w:rsidR="004F54F6" w:rsidRPr="004F54F6" w:rsidRDefault="004F54F6" w:rsidP="00BD6724">
            <w:pPr>
              <w:spacing w:after="0" w:line="240" w:lineRule="auto"/>
            </w:pPr>
            <w:r w:rsidRPr="004F54F6">
              <w:t>Obchodní korporace PLUS</w:t>
            </w:r>
          </w:p>
        </w:tc>
        <w:tc>
          <w:tcPr>
            <w:tcW w:w="3945" w:type="dxa"/>
            <w:tcBorders>
              <w:bottom w:val="nil"/>
            </w:tcBorders>
          </w:tcPr>
          <w:p w14:paraId="3BE177B8" w14:textId="77777777" w:rsidR="004F54F6" w:rsidRPr="004F54F6" w:rsidRDefault="004F54F6" w:rsidP="00222F60">
            <w:pPr>
              <w:spacing w:after="0" w:line="240" w:lineRule="auto"/>
              <w:rPr>
                <w:rFonts w:eastAsia="Times New Roman" w:cs="Arial"/>
              </w:rPr>
            </w:pPr>
            <w:r w:rsidRPr="004F54F6">
              <w:rPr>
                <w:rFonts w:eastAsia="Times New Roman" w:cs="Arial"/>
              </w:rPr>
              <w:t>1200</w:t>
            </w:r>
          </w:p>
        </w:tc>
      </w:tr>
      <w:tr w:rsidR="004F54F6" w:rsidRPr="004F54F6" w14:paraId="33A4918A" w14:textId="77777777" w:rsidTr="004F54F6">
        <w:trPr>
          <w:trHeight w:val="254"/>
        </w:trPr>
        <w:tc>
          <w:tcPr>
            <w:tcW w:w="5491" w:type="dxa"/>
            <w:tcBorders>
              <w:bottom w:val="nil"/>
            </w:tcBorders>
          </w:tcPr>
          <w:p w14:paraId="3C0D273F" w14:textId="77777777" w:rsidR="004F54F6" w:rsidRPr="004F54F6" w:rsidRDefault="004F54F6" w:rsidP="00BD6724">
            <w:pPr>
              <w:spacing w:after="0" w:line="240" w:lineRule="auto"/>
            </w:pPr>
            <w:r w:rsidRPr="004F54F6">
              <w:t>Pracovní a sociální právo PLUS</w:t>
            </w:r>
          </w:p>
        </w:tc>
        <w:tc>
          <w:tcPr>
            <w:tcW w:w="3945" w:type="dxa"/>
            <w:tcBorders>
              <w:bottom w:val="nil"/>
            </w:tcBorders>
          </w:tcPr>
          <w:p w14:paraId="5FA76397" w14:textId="77777777" w:rsidR="004F54F6" w:rsidRPr="004F54F6" w:rsidRDefault="004F54F6" w:rsidP="00222F60">
            <w:pPr>
              <w:spacing w:after="0" w:line="240" w:lineRule="auto"/>
              <w:rPr>
                <w:rFonts w:eastAsia="Times New Roman" w:cs="Arial"/>
              </w:rPr>
            </w:pPr>
            <w:r w:rsidRPr="004F54F6">
              <w:rPr>
                <w:rFonts w:eastAsia="Times New Roman" w:cs="Arial"/>
              </w:rPr>
              <w:t>1200</w:t>
            </w:r>
          </w:p>
        </w:tc>
      </w:tr>
      <w:tr w:rsidR="004F54F6" w:rsidRPr="004F54F6" w14:paraId="589DAA40" w14:textId="77777777" w:rsidTr="004F54F6">
        <w:trPr>
          <w:trHeight w:val="254"/>
        </w:trPr>
        <w:tc>
          <w:tcPr>
            <w:tcW w:w="5491" w:type="dxa"/>
            <w:tcBorders>
              <w:bottom w:val="nil"/>
            </w:tcBorders>
          </w:tcPr>
          <w:p w14:paraId="4B70345F" w14:textId="77777777" w:rsidR="004F54F6" w:rsidRPr="004F54F6" w:rsidRDefault="004F54F6" w:rsidP="00BD6724">
            <w:pPr>
              <w:spacing w:after="0" w:line="240" w:lineRule="auto"/>
            </w:pPr>
            <w:r w:rsidRPr="004F54F6">
              <w:t>Soutěžní právo</w:t>
            </w:r>
          </w:p>
        </w:tc>
        <w:tc>
          <w:tcPr>
            <w:tcW w:w="3945" w:type="dxa"/>
            <w:tcBorders>
              <w:bottom w:val="nil"/>
            </w:tcBorders>
          </w:tcPr>
          <w:p w14:paraId="2A96072A" w14:textId="77777777" w:rsidR="004F54F6" w:rsidRPr="004F54F6" w:rsidRDefault="004F54F6" w:rsidP="00222F60">
            <w:pPr>
              <w:spacing w:after="0" w:line="240" w:lineRule="auto"/>
              <w:rPr>
                <w:rFonts w:eastAsia="Times New Roman" w:cs="Arial"/>
              </w:rPr>
            </w:pPr>
            <w:r w:rsidRPr="004F54F6">
              <w:rPr>
                <w:rFonts w:eastAsia="Times New Roman" w:cs="Arial"/>
              </w:rPr>
              <w:t>1200</w:t>
            </w:r>
          </w:p>
        </w:tc>
      </w:tr>
      <w:tr w:rsidR="004F54F6" w:rsidRPr="004F54F6" w14:paraId="122FC447" w14:textId="77777777" w:rsidTr="004F54F6">
        <w:trPr>
          <w:trHeight w:val="254"/>
        </w:trPr>
        <w:tc>
          <w:tcPr>
            <w:tcW w:w="5491" w:type="dxa"/>
            <w:tcBorders>
              <w:bottom w:val="nil"/>
            </w:tcBorders>
          </w:tcPr>
          <w:p w14:paraId="33994AD8" w14:textId="77777777" w:rsidR="004F54F6" w:rsidRPr="004F54F6" w:rsidRDefault="004F54F6" w:rsidP="00BD6724">
            <w:pPr>
              <w:spacing w:after="0" w:line="240" w:lineRule="auto"/>
            </w:pPr>
            <w:r w:rsidRPr="004F54F6">
              <w:t>Správní a ústavní právo</w:t>
            </w:r>
          </w:p>
        </w:tc>
        <w:tc>
          <w:tcPr>
            <w:tcW w:w="3945" w:type="dxa"/>
            <w:tcBorders>
              <w:bottom w:val="nil"/>
            </w:tcBorders>
          </w:tcPr>
          <w:p w14:paraId="1AD90209" w14:textId="77777777" w:rsidR="004F54F6" w:rsidRPr="004F54F6" w:rsidRDefault="004F54F6" w:rsidP="00222F60">
            <w:pPr>
              <w:spacing w:after="0" w:line="240" w:lineRule="auto"/>
              <w:rPr>
                <w:rFonts w:eastAsia="Times New Roman" w:cs="Arial"/>
              </w:rPr>
            </w:pPr>
            <w:r w:rsidRPr="004F54F6">
              <w:rPr>
                <w:rFonts w:eastAsia="Times New Roman" w:cs="Arial"/>
              </w:rPr>
              <w:t>1200</w:t>
            </w:r>
          </w:p>
        </w:tc>
      </w:tr>
      <w:tr w:rsidR="004F54F6" w:rsidRPr="004F54F6" w14:paraId="5AF7FEA3" w14:textId="77777777" w:rsidTr="004F54F6">
        <w:trPr>
          <w:trHeight w:val="254"/>
        </w:trPr>
        <w:tc>
          <w:tcPr>
            <w:tcW w:w="5491" w:type="dxa"/>
            <w:tcBorders>
              <w:bottom w:val="nil"/>
            </w:tcBorders>
          </w:tcPr>
          <w:p w14:paraId="4D898353" w14:textId="77777777" w:rsidR="004F54F6" w:rsidRPr="004F54F6" w:rsidRDefault="004F54F6" w:rsidP="00BD6724">
            <w:pPr>
              <w:spacing w:after="0" w:line="240" w:lineRule="auto"/>
            </w:pPr>
            <w:r w:rsidRPr="004F54F6">
              <w:t xml:space="preserve">Správní </w:t>
            </w:r>
            <w:proofErr w:type="gramStart"/>
            <w:r w:rsidRPr="004F54F6">
              <w:t>právo - obce</w:t>
            </w:r>
            <w:proofErr w:type="gramEnd"/>
            <w:r w:rsidRPr="004F54F6">
              <w:t xml:space="preserve"> a kraje</w:t>
            </w:r>
          </w:p>
        </w:tc>
        <w:tc>
          <w:tcPr>
            <w:tcW w:w="3945" w:type="dxa"/>
            <w:tcBorders>
              <w:bottom w:val="nil"/>
            </w:tcBorders>
          </w:tcPr>
          <w:p w14:paraId="2F7FF573" w14:textId="77777777" w:rsidR="004F54F6" w:rsidRPr="004F54F6" w:rsidRDefault="004F54F6" w:rsidP="00222F60">
            <w:pPr>
              <w:spacing w:after="0" w:line="240" w:lineRule="auto"/>
              <w:rPr>
                <w:rFonts w:eastAsia="Times New Roman" w:cs="Arial"/>
              </w:rPr>
            </w:pPr>
            <w:r w:rsidRPr="004F54F6">
              <w:rPr>
                <w:rFonts w:eastAsia="Times New Roman" w:cs="Arial"/>
              </w:rPr>
              <w:t>1200</w:t>
            </w:r>
          </w:p>
        </w:tc>
      </w:tr>
      <w:tr w:rsidR="004F54F6" w:rsidRPr="004F54F6" w14:paraId="5B86DBE0" w14:textId="77777777" w:rsidTr="004F54F6">
        <w:trPr>
          <w:trHeight w:val="254"/>
        </w:trPr>
        <w:tc>
          <w:tcPr>
            <w:tcW w:w="5491" w:type="dxa"/>
            <w:tcBorders>
              <w:bottom w:val="nil"/>
            </w:tcBorders>
          </w:tcPr>
          <w:p w14:paraId="76F0A674" w14:textId="77777777" w:rsidR="004F54F6" w:rsidRPr="004F54F6" w:rsidRDefault="004F54F6" w:rsidP="00BD6724">
            <w:pPr>
              <w:spacing w:after="0" w:line="240" w:lineRule="auto"/>
            </w:pPr>
            <w:r w:rsidRPr="004F54F6">
              <w:t xml:space="preserve">Správní </w:t>
            </w:r>
            <w:proofErr w:type="gramStart"/>
            <w:r w:rsidRPr="004F54F6">
              <w:t>právo - stavební</w:t>
            </w:r>
            <w:proofErr w:type="gramEnd"/>
            <w:r w:rsidRPr="004F54F6">
              <w:t xml:space="preserve"> právo</w:t>
            </w:r>
          </w:p>
        </w:tc>
        <w:tc>
          <w:tcPr>
            <w:tcW w:w="3945" w:type="dxa"/>
            <w:tcBorders>
              <w:bottom w:val="nil"/>
            </w:tcBorders>
          </w:tcPr>
          <w:p w14:paraId="092E97EC" w14:textId="77777777" w:rsidR="004F54F6" w:rsidRPr="004F54F6" w:rsidRDefault="004F54F6" w:rsidP="00222F60">
            <w:pPr>
              <w:spacing w:after="0" w:line="240" w:lineRule="auto"/>
              <w:rPr>
                <w:rFonts w:eastAsia="Times New Roman" w:cs="Arial"/>
              </w:rPr>
            </w:pPr>
            <w:r w:rsidRPr="004F54F6">
              <w:rPr>
                <w:rFonts w:eastAsia="Times New Roman" w:cs="Arial"/>
              </w:rPr>
              <w:t>1200</w:t>
            </w:r>
          </w:p>
        </w:tc>
      </w:tr>
      <w:tr w:rsidR="004F54F6" w:rsidRPr="004F54F6" w14:paraId="71DFBC73" w14:textId="77777777" w:rsidTr="004F54F6">
        <w:trPr>
          <w:trHeight w:val="254"/>
        </w:trPr>
        <w:tc>
          <w:tcPr>
            <w:tcW w:w="5491" w:type="dxa"/>
            <w:tcBorders>
              <w:bottom w:val="nil"/>
            </w:tcBorders>
          </w:tcPr>
          <w:p w14:paraId="5FAE017B" w14:textId="77777777" w:rsidR="004F54F6" w:rsidRPr="004F54F6" w:rsidRDefault="004F54F6" w:rsidP="00BD6724">
            <w:pPr>
              <w:spacing w:after="0" w:line="240" w:lineRule="auto"/>
            </w:pPr>
            <w:r w:rsidRPr="004F54F6">
              <w:t xml:space="preserve">Správní </w:t>
            </w:r>
            <w:proofErr w:type="gramStart"/>
            <w:r w:rsidRPr="004F54F6">
              <w:t>právo - zvláštní</w:t>
            </w:r>
            <w:proofErr w:type="gramEnd"/>
            <w:r w:rsidRPr="004F54F6">
              <w:t xml:space="preserve"> předpisy</w:t>
            </w:r>
          </w:p>
        </w:tc>
        <w:tc>
          <w:tcPr>
            <w:tcW w:w="3945" w:type="dxa"/>
            <w:tcBorders>
              <w:bottom w:val="nil"/>
            </w:tcBorders>
          </w:tcPr>
          <w:p w14:paraId="317BB51C" w14:textId="77777777" w:rsidR="004F54F6" w:rsidRPr="004F54F6" w:rsidRDefault="004F54F6" w:rsidP="00222F60">
            <w:pPr>
              <w:spacing w:after="0" w:line="240" w:lineRule="auto"/>
              <w:rPr>
                <w:rFonts w:eastAsia="Times New Roman" w:cs="Arial"/>
              </w:rPr>
            </w:pPr>
            <w:r w:rsidRPr="004F54F6">
              <w:rPr>
                <w:rFonts w:eastAsia="Times New Roman" w:cs="Arial"/>
              </w:rPr>
              <w:t>1200</w:t>
            </w:r>
          </w:p>
        </w:tc>
      </w:tr>
      <w:tr w:rsidR="004F54F6" w:rsidRPr="004F54F6" w14:paraId="2C5137B8" w14:textId="77777777" w:rsidTr="004F54F6">
        <w:trPr>
          <w:trHeight w:val="254"/>
        </w:trPr>
        <w:tc>
          <w:tcPr>
            <w:tcW w:w="5491" w:type="dxa"/>
            <w:tcBorders>
              <w:bottom w:val="nil"/>
            </w:tcBorders>
          </w:tcPr>
          <w:p w14:paraId="2F4D7A58" w14:textId="77777777" w:rsidR="004F54F6" w:rsidRPr="004F54F6" w:rsidRDefault="004F54F6" w:rsidP="00BD6724">
            <w:pPr>
              <w:spacing w:after="0" w:line="240" w:lineRule="auto"/>
            </w:pPr>
            <w:r w:rsidRPr="004F54F6">
              <w:t>Trestní právo PLUS</w:t>
            </w:r>
          </w:p>
        </w:tc>
        <w:tc>
          <w:tcPr>
            <w:tcW w:w="3945" w:type="dxa"/>
            <w:tcBorders>
              <w:bottom w:val="nil"/>
            </w:tcBorders>
          </w:tcPr>
          <w:p w14:paraId="4A5B5178" w14:textId="77777777" w:rsidR="004F54F6" w:rsidRPr="004F54F6" w:rsidRDefault="004F54F6" w:rsidP="00222F60">
            <w:pPr>
              <w:spacing w:after="0" w:line="240" w:lineRule="auto"/>
              <w:rPr>
                <w:rFonts w:eastAsia="Times New Roman" w:cs="Arial"/>
              </w:rPr>
            </w:pPr>
            <w:r w:rsidRPr="004F54F6">
              <w:rPr>
                <w:rFonts w:eastAsia="Times New Roman" w:cs="Arial"/>
              </w:rPr>
              <w:t>1200</w:t>
            </w:r>
          </w:p>
        </w:tc>
      </w:tr>
    </w:tbl>
    <w:p w14:paraId="7DD1813D" w14:textId="77777777" w:rsidR="00AA05A6" w:rsidRDefault="00AA05A6" w:rsidP="00434511">
      <w:pPr>
        <w:ind w:left="709"/>
        <w:rPr>
          <w:color w:val="E36C0A"/>
        </w:rPr>
      </w:pPr>
    </w:p>
    <w:p w14:paraId="4838D3DD" w14:textId="77777777" w:rsidR="00B947C2" w:rsidRDefault="00B947C2" w:rsidP="004B2FE7">
      <w:pPr>
        <w:pStyle w:val="Default"/>
        <w:ind w:left="993" w:right="261"/>
        <w:rPr>
          <w:sz w:val="22"/>
          <w:szCs w:val="22"/>
        </w:rPr>
      </w:pPr>
      <w:r>
        <w:rPr>
          <w:sz w:val="22"/>
          <w:szCs w:val="22"/>
        </w:rPr>
        <w:t xml:space="preserve">Užívající osoby mimo uživatele jsou: </w:t>
      </w:r>
    </w:p>
    <w:p w14:paraId="4724AD49" w14:textId="77777777" w:rsidR="00B947C2" w:rsidRDefault="00B947C2" w:rsidP="004B2FE7">
      <w:pPr>
        <w:pStyle w:val="Default"/>
        <w:ind w:left="284" w:firstLine="709"/>
        <w:rPr>
          <w:sz w:val="22"/>
          <w:szCs w:val="22"/>
        </w:rPr>
      </w:pPr>
      <w:r>
        <w:rPr>
          <w:sz w:val="22"/>
          <w:szCs w:val="22"/>
        </w:rPr>
        <w:t xml:space="preserve">Obvodní soud pro Prahu 1, IČO: 00024384 </w:t>
      </w:r>
    </w:p>
    <w:p w14:paraId="6518A7DA" w14:textId="77777777" w:rsidR="00B947C2" w:rsidRDefault="00B947C2" w:rsidP="004B2FE7">
      <w:pPr>
        <w:pStyle w:val="Default"/>
        <w:ind w:left="284" w:firstLine="709"/>
        <w:rPr>
          <w:sz w:val="22"/>
          <w:szCs w:val="22"/>
        </w:rPr>
      </w:pPr>
      <w:r>
        <w:rPr>
          <w:sz w:val="22"/>
          <w:szCs w:val="22"/>
        </w:rPr>
        <w:t xml:space="preserve">Obvodní soud pro Prahu 2, IČO: 00024392 </w:t>
      </w:r>
    </w:p>
    <w:p w14:paraId="7DEC4A55" w14:textId="77777777" w:rsidR="00B947C2" w:rsidRDefault="00B947C2" w:rsidP="004B2FE7">
      <w:pPr>
        <w:pStyle w:val="Default"/>
        <w:ind w:left="284" w:firstLine="709"/>
        <w:rPr>
          <w:sz w:val="22"/>
          <w:szCs w:val="22"/>
        </w:rPr>
      </w:pPr>
      <w:r>
        <w:rPr>
          <w:sz w:val="22"/>
          <w:szCs w:val="22"/>
        </w:rPr>
        <w:t xml:space="preserve">Obvodní soud pro Prahu 3, IČO: 00024406 </w:t>
      </w:r>
    </w:p>
    <w:p w14:paraId="6CEC8D8C" w14:textId="77777777" w:rsidR="00B947C2" w:rsidRDefault="00B947C2" w:rsidP="004B2FE7">
      <w:pPr>
        <w:pStyle w:val="Default"/>
        <w:ind w:left="284" w:firstLine="709"/>
        <w:rPr>
          <w:sz w:val="22"/>
          <w:szCs w:val="22"/>
        </w:rPr>
      </w:pPr>
      <w:r>
        <w:rPr>
          <w:sz w:val="22"/>
          <w:szCs w:val="22"/>
        </w:rPr>
        <w:t xml:space="preserve">Obvodní soud pro Prahu 4, IČO: 00024414 </w:t>
      </w:r>
    </w:p>
    <w:p w14:paraId="49FF18A3" w14:textId="77777777" w:rsidR="00B947C2" w:rsidRDefault="00B947C2" w:rsidP="004B2FE7">
      <w:pPr>
        <w:pStyle w:val="Default"/>
        <w:ind w:left="284" w:firstLine="709"/>
        <w:rPr>
          <w:sz w:val="22"/>
          <w:szCs w:val="22"/>
        </w:rPr>
      </w:pPr>
      <w:r>
        <w:rPr>
          <w:sz w:val="22"/>
          <w:szCs w:val="22"/>
        </w:rPr>
        <w:t xml:space="preserve">Obvodní soud pro Prahu 5, IČO: 00024422 </w:t>
      </w:r>
    </w:p>
    <w:p w14:paraId="5A610AE4" w14:textId="77777777" w:rsidR="00B947C2" w:rsidRDefault="00B947C2" w:rsidP="004B2FE7">
      <w:pPr>
        <w:pStyle w:val="Default"/>
        <w:ind w:left="284" w:firstLine="709"/>
        <w:rPr>
          <w:sz w:val="22"/>
          <w:szCs w:val="22"/>
        </w:rPr>
      </w:pPr>
      <w:r>
        <w:rPr>
          <w:sz w:val="22"/>
          <w:szCs w:val="22"/>
        </w:rPr>
        <w:t xml:space="preserve">Obvodní soud pro Prahu 6, IČO: 00024431 </w:t>
      </w:r>
    </w:p>
    <w:p w14:paraId="57EBB953" w14:textId="77777777" w:rsidR="00B947C2" w:rsidRDefault="00B947C2" w:rsidP="004B2FE7">
      <w:pPr>
        <w:pStyle w:val="Default"/>
        <w:ind w:left="284" w:firstLine="709"/>
        <w:rPr>
          <w:sz w:val="22"/>
          <w:szCs w:val="22"/>
        </w:rPr>
      </w:pPr>
      <w:r>
        <w:rPr>
          <w:sz w:val="22"/>
          <w:szCs w:val="22"/>
        </w:rPr>
        <w:t xml:space="preserve">Obvodní soud pro Prahu 7, IČO: 00024449 </w:t>
      </w:r>
    </w:p>
    <w:p w14:paraId="09317F98" w14:textId="77777777" w:rsidR="00B947C2" w:rsidRDefault="00B947C2" w:rsidP="004B2FE7">
      <w:pPr>
        <w:pStyle w:val="Default"/>
        <w:ind w:left="284" w:firstLine="709"/>
        <w:rPr>
          <w:sz w:val="22"/>
          <w:szCs w:val="22"/>
        </w:rPr>
      </w:pPr>
      <w:r>
        <w:rPr>
          <w:sz w:val="22"/>
          <w:szCs w:val="22"/>
        </w:rPr>
        <w:t xml:space="preserve">Obvodní soud pro Prahu 8, IČO: 00024457 </w:t>
      </w:r>
    </w:p>
    <w:p w14:paraId="4AF8A6E9" w14:textId="77777777" w:rsidR="00B947C2" w:rsidRDefault="00B947C2" w:rsidP="004B2FE7">
      <w:pPr>
        <w:pStyle w:val="Default"/>
        <w:ind w:left="284" w:firstLine="709"/>
        <w:rPr>
          <w:sz w:val="22"/>
          <w:szCs w:val="22"/>
        </w:rPr>
      </w:pPr>
      <w:r>
        <w:rPr>
          <w:sz w:val="22"/>
          <w:szCs w:val="22"/>
        </w:rPr>
        <w:t xml:space="preserve">Obvodní soud pro Prahu 9, IČO: 00024465 </w:t>
      </w:r>
    </w:p>
    <w:p w14:paraId="260273C2" w14:textId="4028176E" w:rsidR="00B947C2" w:rsidRPr="00966FC9" w:rsidRDefault="00B947C2" w:rsidP="004B2FE7">
      <w:pPr>
        <w:ind w:left="709" w:firstLine="284"/>
        <w:rPr>
          <w:color w:val="E36C0A"/>
        </w:rPr>
      </w:pPr>
      <w:r>
        <w:t>Obvodní soud pro Prahu 10, IČO: 00024473</w:t>
      </w:r>
    </w:p>
    <w:p w14:paraId="0FC3042E" w14:textId="77777777" w:rsidR="00DF3D27" w:rsidRPr="00DF3D27" w:rsidRDefault="00DF3D27" w:rsidP="00932F43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ind w:left="709" w:right="-24" w:hanging="425"/>
        <w:jc w:val="both"/>
        <w:rPr>
          <w:rFonts w:cs="Arial"/>
          <w:b/>
        </w:rPr>
      </w:pPr>
      <w:r w:rsidRPr="00DF3D27">
        <w:rPr>
          <w:rFonts w:cs="Arial"/>
          <w:b/>
        </w:rPr>
        <w:t>Předplatné období a odměna</w:t>
      </w:r>
    </w:p>
    <w:p w14:paraId="571B32AC" w14:textId="3B591219" w:rsidR="00D12ABD" w:rsidRDefault="00D12ABD" w:rsidP="00D12ABD">
      <w:pPr>
        <w:pStyle w:val="Odstavecseseznamem"/>
        <w:spacing w:before="120" w:after="0" w:line="240" w:lineRule="auto"/>
        <w:ind w:left="709" w:right="260"/>
        <w:jc w:val="both"/>
        <w:rPr>
          <w:rFonts w:cs="Arial"/>
        </w:rPr>
      </w:pPr>
      <w:r>
        <w:rPr>
          <w:rFonts w:cs="Arial"/>
        </w:rPr>
        <w:t xml:space="preserve">Odměna je sjednána vždy pro období dvanácti po sobě jdoucích kalendářních měsíců (dále jen </w:t>
      </w:r>
      <w:r>
        <w:rPr>
          <w:rFonts w:cs="Arial"/>
          <w:b/>
        </w:rPr>
        <w:t>„období“</w:t>
      </w:r>
      <w:r>
        <w:rPr>
          <w:rFonts w:cs="Arial"/>
        </w:rPr>
        <w:t>). První období se sjednává od</w:t>
      </w:r>
      <w:r>
        <w:rPr>
          <w:rFonts w:cs="Arial"/>
          <w:b/>
        </w:rPr>
        <w:t xml:space="preserve"> 1. 7. 2023 </w:t>
      </w:r>
      <w:r>
        <w:rPr>
          <w:rFonts w:cs="Arial"/>
        </w:rPr>
        <w:t xml:space="preserve">do </w:t>
      </w:r>
      <w:r w:rsidR="00573068">
        <w:rPr>
          <w:rFonts w:cs="Arial"/>
          <w:b/>
        </w:rPr>
        <w:t>31. 12</w:t>
      </w:r>
      <w:r>
        <w:rPr>
          <w:rFonts w:cs="Arial"/>
          <w:b/>
        </w:rPr>
        <w:t>. 2024.</w:t>
      </w:r>
    </w:p>
    <w:p w14:paraId="4973DCC1" w14:textId="32248F83" w:rsidR="00D12ABD" w:rsidRDefault="00D12ABD" w:rsidP="00D12ABD">
      <w:pPr>
        <w:pStyle w:val="Odstavecseseznamem"/>
        <w:spacing w:before="120" w:after="0" w:line="240" w:lineRule="auto"/>
        <w:ind w:left="709" w:right="260"/>
        <w:jc w:val="both"/>
        <w:rPr>
          <w:rFonts w:cs="Arial"/>
        </w:rPr>
      </w:pPr>
      <w:r>
        <w:rPr>
          <w:rFonts w:cs="Arial"/>
        </w:rPr>
        <w:t>Odměna v průběhu pilotního provozu činí</w:t>
      </w:r>
      <w:r>
        <w:rPr>
          <w:rFonts w:cs="Arial"/>
          <w:b/>
        </w:rPr>
        <w:t xml:space="preserve"> 1</w:t>
      </w:r>
      <w:r w:rsidR="00573068">
        <w:rPr>
          <w:rFonts w:cs="Arial"/>
          <w:b/>
        </w:rPr>
        <w:t> 425 0</w:t>
      </w:r>
      <w:r>
        <w:rPr>
          <w:rFonts w:cs="Arial"/>
          <w:b/>
        </w:rPr>
        <w:t>00 Kč bez DPH</w:t>
      </w:r>
      <w:r>
        <w:rPr>
          <w:rFonts w:cs="Arial"/>
        </w:rPr>
        <w:t xml:space="preserve"> (dále jen </w:t>
      </w:r>
      <w:r>
        <w:rPr>
          <w:rFonts w:cs="Arial"/>
          <w:b/>
        </w:rPr>
        <w:t>„odměna“</w:t>
      </w:r>
      <w:r>
        <w:rPr>
          <w:rFonts w:cs="Arial"/>
        </w:rPr>
        <w:t xml:space="preserve">). Uživatel se zavazuje zároveň s odměnou uhradit DPH v zákonné výši. </w:t>
      </w:r>
    </w:p>
    <w:p w14:paraId="7CE8C402" w14:textId="77777777" w:rsidR="00D12ABD" w:rsidRDefault="00D12ABD" w:rsidP="00D12ABD">
      <w:pPr>
        <w:pStyle w:val="Odstavecseseznamem"/>
        <w:spacing w:before="120" w:after="0" w:line="240" w:lineRule="auto"/>
        <w:ind w:left="709" w:right="260"/>
        <w:jc w:val="both"/>
        <w:rPr>
          <w:rFonts w:cs="Arial"/>
        </w:rPr>
      </w:pPr>
      <w:r>
        <w:rPr>
          <w:rFonts w:cs="Arial"/>
        </w:rPr>
        <w:t>Odměna bude fakturována následovně:</w:t>
      </w:r>
    </w:p>
    <w:p w14:paraId="08B47026" w14:textId="77777777" w:rsidR="00D12ABD" w:rsidRDefault="00D12ABD" w:rsidP="00D12ABD">
      <w:pPr>
        <w:pStyle w:val="Odstavecseseznamem"/>
        <w:spacing w:before="120" w:after="0" w:line="240" w:lineRule="auto"/>
        <w:ind w:left="709" w:right="260"/>
        <w:jc w:val="both"/>
        <w:rPr>
          <w:rFonts w:cs="Arial"/>
          <w:b/>
        </w:rPr>
      </w:pPr>
      <w:r>
        <w:rPr>
          <w:rFonts w:cs="Arial"/>
        </w:rPr>
        <w:t xml:space="preserve">Za období od 1. 7. 2023 do 31. 12. 2023 částka 475 000 </w:t>
      </w:r>
      <w:r w:rsidRPr="004435D7">
        <w:rPr>
          <w:rFonts w:cs="Arial"/>
          <w:bCs/>
        </w:rPr>
        <w:t>Kč bez DPH.</w:t>
      </w:r>
    </w:p>
    <w:p w14:paraId="0D3F192E" w14:textId="77777777" w:rsidR="00D12ABD" w:rsidRDefault="00D12ABD" w:rsidP="00D12ABD">
      <w:pPr>
        <w:pStyle w:val="Odstavecseseznamem"/>
        <w:spacing w:before="120" w:after="0" w:line="240" w:lineRule="auto"/>
        <w:ind w:left="709" w:right="260"/>
        <w:jc w:val="both"/>
        <w:rPr>
          <w:rFonts w:cs="Arial"/>
          <w:b/>
        </w:rPr>
      </w:pPr>
      <w:r>
        <w:rPr>
          <w:rFonts w:cs="Arial"/>
        </w:rPr>
        <w:t xml:space="preserve">Za období od 1. 1. 2024 do 30. 9. 2024 částka 712 500 </w:t>
      </w:r>
      <w:r w:rsidRPr="004435D7">
        <w:rPr>
          <w:rFonts w:cs="Arial"/>
          <w:bCs/>
        </w:rPr>
        <w:t>Kč bez DPH.</w:t>
      </w:r>
    </w:p>
    <w:p w14:paraId="61351E28" w14:textId="77D062F8" w:rsidR="00D12ABD" w:rsidRDefault="00D12ABD" w:rsidP="004F53A7">
      <w:pPr>
        <w:pStyle w:val="Odstavecseseznamem"/>
        <w:spacing w:after="0" w:line="240" w:lineRule="auto"/>
        <w:ind w:left="284" w:right="260" w:firstLine="425"/>
        <w:contextualSpacing w:val="0"/>
        <w:jc w:val="both"/>
        <w:rPr>
          <w:rFonts w:cs="Arial"/>
        </w:rPr>
      </w:pPr>
      <w:r w:rsidRPr="00D12ABD">
        <w:rPr>
          <w:rFonts w:cs="Arial"/>
        </w:rPr>
        <w:t xml:space="preserve">Za období od 1. </w:t>
      </w:r>
      <w:r>
        <w:rPr>
          <w:rFonts w:cs="Arial"/>
        </w:rPr>
        <w:t>10</w:t>
      </w:r>
      <w:r w:rsidRPr="00D12ABD">
        <w:rPr>
          <w:rFonts w:cs="Arial"/>
        </w:rPr>
        <w:t xml:space="preserve">. 2024 do </w:t>
      </w:r>
      <w:r>
        <w:rPr>
          <w:rFonts w:cs="Arial"/>
        </w:rPr>
        <w:t>31. 12.</w:t>
      </w:r>
      <w:r w:rsidRPr="00D12ABD">
        <w:rPr>
          <w:rFonts w:cs="Arial"/>
        </w:rPr>
        <w:t xml:space="preserve"> 2024 částka</w:t>
      </w:r>
      <w:r w:rsidR="00573068">
        <w:rPr>
          <w:rFonts w:cs="Arial"/>
        </w:rPr>
        <w:t xml:space="preserve"> </w:t>
      </w:r>
      <w:r w:rsidR="00573068" w:rsidRPr="00573068">
        <w:rPr>
          <w:rFonts w:cs="Arial"/>
        </w:rPr>
        <w:t>237 500 Kč bez DPH</w:t>
      </w:r>
      <w:r w:rsidR="00573068">
        <w:rPr>
          <w:rFonts w:cs="Arial"/>
        </w:rPr>
        <w:t>.</w:t>
      </w:r>
    </w:p>
    <w:p w14:paraId="02F4C489" w14:textId="77777777" w:rsidR="00D12ABD" w:rsidRDefault="00D12ABD" w:rsidP="004F53A7">
      <w:pPr>
        <w:pStyle w:val="Odstavecseseznamem"/>
        <w:spacing w:after="0" w:line="240" w:lineRule="auto"/>
        <w:ind w:left="284" w:right="260" w:firstLine="425"/>
        <w:contextualSpacing w:val="0"/>
        <w:jc w:val="both"/>
        <w:rPr>
          <w:rFonts w:cs="Arial"/>
        </w:rPr>
      </w:pPr>
    </w:p>
    <w:sectPr w:rsidR="00D12ABD" w:rsidSect="00AE0052">
      <w:headerReference w:type="default" r:id="rId7"/>
      <w:footerReference w:type="default" r:id="rId8"/>
      <w:headerReference w:type="first" r:id="rId9"/>
      <w:type w:val="continuous"/>
      <w:pgSz w:w="11906" w:h="16838"/>
      <w:pgMar w:top="1418" w:right="720" w:bottom="426" w:left="720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464DD" w14:textId="77777777" w:rsidR="00CC2546" w:rsidRDefault="00CC2546" w:rsidP="00547186">
      <w:pPr>
        <w:spacing w:after="0" w:line="240" w:lineRule="auto"/>
      </w:pPr>
      <w:r>
        <w:separator/>
      </w:r>
    </w:p>
  </w:endnote>
  <w:endnote w:type="continuationSeparator" w:id="0">
    <w:p w14:paraId="18077FF4" w14:textId="77777777" w:rsidR="00CC2546" w:rsidRDefault="00CC2546" w:rsidP="00547186">
      <w:pPr>
        <w:spacing w:after="0" w:line="240" w:lineRule="auto"/>
      </w:pPr>
      <w:r>
        <w:continuationSeparator/>
      </w:r>
    </w:p>
  </w:endnote>
  <w:endnote w:type="continuationNotice" w:id="1">
    <w:p w14:paraId="766F3C24" w14:textId="77777777" w:rsidR="00CC2546" w:rsidRDefault="00CC25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1D07" w14:textId="77777777" w:rsidR="00690122" w:rsidRDefault="00690122" w:rsidP="00CA2C61">
    <w:pPr>
      <w:pStyle w:val="Zpat"/>
      <w:tabs>
        <w:tab w:val="clear" w:pos="9072"/>
        <w:tab w:val="right" w:pos="10065"/>
      </w:tabs>
      <w:ind w:left="426" w:right="401"/>
      <w:rPr>
        <w:rFonts w:ascii="Arial" w:hAnsi="Arial" w:cs="Arial"/>
        <w:sz w:val="18"/>
        <w:szCs w:val="18"/>
      </w:rPr>
    </w:pPr>
  </w:p>
  <w:p w14:paraId="21F3651E" w14:textId="77777777" w:rsidR="007433D6" w:rsidRPr="00D77D9B" w:rsidRDefault="008B63D9" w:rsidP="008B63D9">
    <w:pPr>
      <w:pStyle w:val="Zpat"/>
      <w:tabs>
        <w:tab w:val="clear" w:pos="4536"/>
        <w:tab w:val="clear" w:pos="9072"/>
      </w:tabs>
      <w:ind w:left="284" w:right="401"/>
      <w:jc w:val="center"/>
      <w:rPr>
        <w:rFonts w:ascii="Arial" w:hAnsi="Arial" w:cs="Arial"/>
        <w:sz w:val="16"/>
        <w:szCs w:val="16"/>
      </w:rPr>
    </w:pPr>
    <w:r w:rsidRPr="00D77D9B">
      <w:rPr>
        <w:rFonts w:ascii="Arial" w:hAnsi="Arial" w:cs="Arial"/>
        <w:bCs/>
        <w:sz w:val="18"/>
        <w:szCs w:val="18"/>
      </w:rPr>
      <w:fldChar w:fldCharType="begin"/>
    </w:r>
    <w:r w:rsidRPr="00D77D9B">
      <w:rPr>
        <w:rFonts w:ascii="Arial" w:hAnsi="Arial" w:cs="Arial"/>
        <w:bCs/>
        <w:sz w:val="18"/>
        <w:szCs w:val="18"/>
      </w:rPr>
      <w:instrText xml:space="preserve"> PAGE   \* MERGEFORMAT </w:instrText>
    </w:r>
    <w:r w:rsidRPr="00D77D9B">
      <w:rPr>
        <w:rFonts w:ascii="Arial" w:hAnsi="Arial" w:cs="Arial"/>
        <w:bCs/>
        <w:sz w:val="18"/>
        <w:szCs w:val="18"/>
      </w:rPr>
      <w:fldChar w:fldCharType="separate"/>
    </w:r>
    <w:r w:rsidR="00222F60">
      <w:rPr>
        <w:rFonts w:ascii="Arial" w:hAnsi="Arial" w:cs="Arial"/>
        <w:bCs/>
        <w:noProof/>
        <w:sz w:val="18"/>
        <w:szCs w:val="18"/>
      </w:rPr>
      <w:t>2</w:t>
    </w:r>
    <w:r w:rsidRPr="00D77D9B">
      <w:rPr>
        <w:rFonts w:ascii="Arial" w:hAnsi="Arial" w:cs="Arial"/>
        <w:bCs/>
        <w:sz w:val="18"/>
        <w:szCs w:val="18"/>
      </w:rPr>
      <w:fldChar w:fldCharType="end"/>
    </w:r>
    <w:r w:rsidRPr="00D77D9B">
      <w:rPr>
        <w:rFonts w:ascii="Arial" w:hAnsi="Arial" w:cs="Arial"/>
        <w:bCs/>
        <w:sz w:val="18"/>
        <w:szCs w:val="18"/>
      </w:rPr>
      <w:t xml:space="preserve"> / </w:t>
    </w:r>
    <w:r w:rsidRPr="00D77D9B">
      <w:rPr>
        <w:rFonts w:ascii="Arial" w:hAnsi="Arial" w:cs="Arial"/>
        <w:bCs/>
        <w:sz w:val="18"/>
        <w:szCs w:val="18"/>
      </w:rPr>
      <w:fldChar w:fldCharType="begin"/>
    </w:r>
    <w:r w:rsidRPr="00D77D9B">
      <w:rPr>
        <w:rFonts w:ascii="Arial" w:hAnsi="Arial" w:cs="Arial"/>
        <w:bCs/>
        <w:sz w:val="18"/>
        <w:szCs w:val="18"/>
      </w:rPr>
      <w:instrText xml:space="preserve"> NUMPAGES   \* MERGEFORMAT </w:instrText>
    </w:r>
    <w:r w:rsidRPr="00D77D9B">
      <w:rPr>
        <w:rFonts w:ascii="Arial" w:hAnsi="Arial" w:cs="Arial"/>
        <w:bCs/>
        <w:sz w:val="18"/>
        <w:szCs w:val="18"/>
      </w:rPr>
      <w:fldChar w:fldCharType="separate"/>
    </w:r>
    <w:r w:rsidR="00222F60">
      <w:rPr>
        <w:rFonts w:ascii="Arial" w:hAnsi="Arial" w:cs="Arial"/>
        <w:bCs/>
        <w:noProof/>
        <w:sz w:val="18"/>
        <w:szCs w:val="18"/>
      </w:rPr>
      <w:t>2</w:t>
    </w:r>
    <w:r w:rsidRPr="00D77D9B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7B820" w14:textId="77777777" w:rsidR="00CC2546" w:rsidRDefault="00CC2546" w:rsidP="00547186">
      <w:pPr>
        <w:spacing w:after="0" w:line="240" w:lineRule="auto"/>
      </w:pPr>
      <w:r>
        <w:separator/>
      </w:r>
    </w:p>
  </w:footnote>
  <w:footnote w:type="continuationSeparator" w:id="0">
    <w:p w14:paraId="701D66EB" w14:textId="77777777" w:rsidR="00CC2546" w:rsidRDefault="00CC2546" w:rsidP="00547186">
      <w:pPr>
        <w:spacing w:after="0" w:line="240" w:lineRule="auto"/>
      </w:pPr>
      <w:r>
        <w:continuationSeparator/>
      </w:r>
    </w:p>
  </w:footnote>
  <w:footnote w:type="continuationNotice" w:id="1">
    <w:p w14:paraId="79D4E2E7" w14:textId="77777777" w:rsidR="00CC2546" w:rsidRDefault="00CC25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96A76" w14:textId="2A6B7699" w:rsidR="0064650A" w:rsidRDefault="000E1063" w:rsidP="00FE3D64">
    <w:pPr>
      <w:pStyle w:val="Zpat"/>
      <w:tabs>
        <w:tab w:val="clear" w:pos="9072"/>
        <w:tab w:val="left" w:pos="1680"/>
        <w:tab w:val="right" w:pos="10206"/>
      </w:tabs>
      <w:ind w:left="284" w:right="119"/>
      <w:rPr>
        <w:rFonts w:ascii="Calibri Light" w:hAnsi="Calibri Light" w:cs="Calibri Light"/>
      </w:rPr>
    </w:pPr>
    <w:r w:rsidRPr="003127C7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EE7B3A7" wp14:editId="79E403FA">
              <wp:simplePos x="0" y="0"/>
              <wp:positionH relativeFrom="column">
                <wp:posOffset>170815</wp:posOffset>
              </wp:positionH>
              <wp:positionV relativeFrom="paragraph">
                <wp:posOffset>407669</wp:posOffset>
              </wp:positionV>
              <wp:extent cx="6315075" cy="0"/>
              <wp:effectExtent l="0" t="0" r="9525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50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22EB662" id="Přímá spojnic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.45pt,32.1pt" to="510.7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" strokecolor="windowText" strokeweight=".5pt">
              <v:stroke joinstyle="miter"/>
              <o:lock v:ext="edit" shapetype="f"/>
            </v:line>
          </w:pict>
        </mc:Fallback>
      </mc:AlternateContent>
    </w:r>
    <w:r w:rsidR="0064650A">
      <w:rPr>
        <w:rFonts w:ascii="Calibri Light" w:hAnsi="Calibri Light" w:cs="Calibri Light"/>
      </w:rPr>
      <w:t xml:space="preserve">DODATEK Č. </w:t>
    </w:r>
    <w:r w:rsidR="004F54F6">
      <w:rPr>
        <w:rFonts w:ascii="Calibri Light" w:hAnsi="Calibri Light" w:cs="Calibri Light"/>
      </w:rPr>
      <w:t>1</w:t>
    </w:r>
  </w:p>
  <w:p w14:paraId="7C0626E0" w14:textId="00350035" w:rsidR="00C961AB" w:rsidRPr="003127C7" w:rsidRDefault="0064650A" w:rsidP="00FE3D64">
    <w:pPr>
      <w:pStyle w:val="Zpat"/>
      <w:tabs>
        <w:tab w:val="clear" w:pos="9072"/>
        <w:tab w:val="left" w:pos="1680"/>
        <w:tab w:val="right" w:pos="10206"/>
      </w:tabs>
      <w:ind w:left="284" w:right="119"/>
      <w:rPr>
        <w:rFonts w:ascii="Calibri Light" w:hAnsi="Calibri Light" w:cs="Calibri Light"/>
      </w:rPr>
    </w:pPr>
    <w:r>
      <w:rPr>
        <w:rFonts w:ascii="Calibri Light" w:hAnsi="Calibri Light" w:cs="Calibri Light"/>
      </w:rPr>
      <w:t>KE SMLOUVĚ</w:t>
    </w:r>
    <w:r w:rsidR="000A0E01" w:rsidRPr="00B65F0E">
      <w:rPr>
        <w:rFonts w:ascii="Calibri Light" w:hAnsi="Calibri Light" w:cs="Calibri Light"/>
      </w:rPr>
      <w:t xml:space="preserve"> O </w:t>
    </w:r>
    <w:r w:rsidR="00303F20">
      <w:rPr>
        <w:rFonts w:ascii="Calibri Light" w:hAnsi="Calibri Light" w:cs="Calibri Light"/>
      </w:rPr>
      <w:t xml:space="preserve">PILOTNÍM PROVOZU </w:t>
    </w:r>
    <w:r w:rsidR="000A0E01" w:rsidRPr="00B65F0E">
      <w:rPr>
        <w:rFonts w:ascii="Calibri Light" w:hAnsi="Calibri Light" w:cs="Calibri Light"/>
      </w:rPr>
      <w:t>UŽÍVÁNÍ SYSTÉMU BECK-ONLINE</w:t>
    </w:r>
    <w:r>
      <w:rPr>
        <w:rFonts w:ascii="Calibri Light" w:hAnsi="Calibri Light" w:cs="Calibri Light"/>
      </w:rPr>
      <w:t xml:space="preserve"> Č.</w:t>
    </w:r>
    <w:r w:rsidR="0073526F">
      <w:rPr>
        <w:rFonts w:ascii="Calibri Light" w:hAnsi="Calibri Light" w:cs="Calibri Light"/>
      </w:rPr>
      <w:t xml:space="preserve"> 1558/2023</w:t>
    </w:r>
    <w:r w:rsidR="000A0E01" w:rsidRPr="00B65F0E">
      <w:rPr>
        <w:rFonts w:ascii="Calibri Light" w:hAnsi="Calibri Light" w:cs="Calibri Light"/>
      </w:rPr>
      <w:tab/>
    </w:r>
    <w:r w:rsidR="004F54F6">
      <w:rPr>
        <w:rFonts w:ascii="Calibri Light" w:hAnsi="Calibri Light" w:cs="Calibri Light"/>
      </w:rPr>
      <w:t>SML_102757_20230701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1AFCD" w14:textId="77777777" w:rsidR="00403FD0" w:rsidRDefault="00403FD0" w:rsidP="00403FD0">
    <w:pPr>
      <w:spacing w:after="0" w:line="240" w:lineRule="auto"/>
      <w:jc w:val="center"/>
      <w:rPr>
        <w:rFonts w:ascii="Arial" w:hAnsi="Arial" w:cs="Arial"/>
        <w:b/>
      </w:rPr>
    </w:pPr>
    <w:r w:rsidRPr="008109B4">
      <w:rPr>
        <w:rFonts w:ascii="Arial" w:hAnsi="Arial" w:cs="Arial"/>
        <w:b/>
      </w:rPr>
      <w:t>SMLOUVA O UŽÍVÁNÍ PRÁVNÍHO INFORMAČNÍHO SYSTÉMU BECK-ONLINE</w:t>
    </w:r>
  </w:p>
  <w:p w14:paraId="50E20CBC" w14:textId="77777777" w:rsidR="00403FD0" w:rsidRDefault="00403F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903"/>
    <w:multiLevelType w:val="hybridMultilevel"/>
    <w:tmpl w:val="060A265C"/>
    <w:lvl w:ilvl="0" w:tplc="93BAD8C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091C3D"/>
    <w:multiLevelType w:val="multilevel"/>
    <w:tmpl w:val="BB704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21E5E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C6B269E"/>
    <w:multiLevelType w:val="hybridMultilevel"/>
    <w:tmpl w:val="D77432A4"/>
    <w:lvl w:ilvl="0" w:tplc="0714ED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0721D65"/>
    <w:multiLevelType w:val="hybridMultilevel"/>
    <w:tmpl w:val="6BD07B52"/>
    <w:lvl w:ilvl="0" w:tplc="A22AA76C">
      <w:start w:val="2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A210D90"/>
    <w:multiLevelType w:val="multilevel"/>
    <w:tmpl w:val="BB704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1FE7CA6"/>
    <w:multiLevelType w:val="hybridMultilevel"/>
    <w:tmpl w:val="912A8806"/>
    <w:lvl w:ilvl="0" w:tplc="E6909DF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3F00501"/>
    <w:multiLevelType w:val="multilevel"/>
    <w:tmpl w:val="C95C8298"/>
    <w:lvl w:ilvl="0">
      <w:start w:val="1"/>
      <w:numFmt w:val="decimal"/>
      <w:pStyle w:val="Numm1"/>
      <w:suff w:val="nothing"/>
      <w:lvlText w:val="Článek %1"/>
      <w:lvlJc w:val="left"/>
      <w:pPr>
        <w:ind w:left="1560" w:hanging="567"/>
      </w:p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umm3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5534B83"/>
    <w:multiLevelType w:val="hybridMultilevel"/>
    <w:tmpl w:val="6CC67AA4"/>
    <w:lvl w:ilvl="0" w:tplc="8CA87B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98626">
    <w:abstractNumId w:val="1"/>
  </w:num>
  <w:num w:numId="2" w16cid:durableId="1235623685">
    <w:abstractNumId w:val="2"/>
  </w:num>
  <w:num w:numId="3" w16cid:durableId="781653737">
    <w:abstractNumId w:val="5"/>
  </w:num>
  <w:num w:numId="4" w16cid:durableId="501353792">
    <w:abstractNumId w:val="4"/>
  </w:num>
  <w:num w:numId="5" w16cid:durableId="385371755">
    <w:abstractNumId w:val="8"/>
  </w:num>
  <w:num w:numId="6" w16cid:durableId="1904099155">
    <w:abstractNumId w:val="7"/>
  </w:num>
  <w:num w:numId="7" w16cid:durableId="2071998659">
    <w:abstractNumId w:val="0"/>
  </w:num>
  <w:num w:numId="8" w16cid:durableId="284122078">
    <w:abstractNumId w:val="6"/>
  </w:num>
  <w:num w:numId="9" w16cid:durableId="201292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45F"/>
    <w:rsid w:val="0000145D"/>
    <w:rsid w:val="0000655B"/>
    <w:rsid w:val="00006844"/>
    <w:rsid w:val="00010C42"/>
    <w:rsid w:val="00013894"/>
    <w:rsid w:val="00013BD8"/>
    <w:rsid w:val="000261F0"/>
    <w:rsid w:val="00044E55"/>
    <w:rsid w:val="0005315B"/>
    <w:rsid w:val="00060CE1"/>
    <w:rsid w:val="000646EE"/>
    <w:rsid w:val="00073CC1"/>
    <w:rsid w:val="0008358C"/>
    <w:rsid w:val="000839DB"/>
    <w:rsid w:val="00087C1D"/>
    <w:rsid w:val="000958FA"/>
    <w:rsid w:val="000A0E01"/>
    <w:rsid w:val="000A32D4"/>
    <w:rsid w:val="000B2304"/>
    <w:rsid w:val="000D2ECB"/>
    <w:rsid w:val="000E1063"/>
    <w:rsid w:val="000E1505"/>
    <w:rsid w:val="000F1A6C"/>
    <w:rsid w:val="000F2395"/>
    <w:rsid w:val="000F78FE"/>
    <w:rsid w:val="001055D0"/>
    <w:rsid w:val="00123ED6"/>
    <w:rsid w:val="001248D5"/>
    <w:rsid w:val="0012718F"/>
    <w:rsid w:val="00136866"/>
    <w:rsid w:val="001644EF"/>
    <w:rsid w:val="00165A38"/>
    <w:rsid w:val="001824CF"/>
    <w:rsid w:val="00185244"/>
    <w:rsid w:val="001A5FC9"/>
    <w:rsid w:val="001A7517"/>
    <w:rsid w:val="001B6172"/>
    <w:rsid w:val="001D4173"/>
    <w:rsid w:val="001D75FC"/>
    <w:rsid w:val="002053DC"/>
    <w:rsid w:val="0020717A"/>
    <w:rsid w:val="00221537"/>
    <w:rsid w:val="00222F60"/>
    <w:rsid w:val="00225323"/>
    <w:rsid w:val="002300D6"/>
    <w:rsid w:val="002323F5"/>
    <w:rsid w:val="00235D1C"/>
    <w:rsid w:val="002364D6"/>
    <w:rsid w:val="0024353C"/>
    <w:rsid w:val="00273172"/>
    <w:rsid w:val="00285F70"/>
    <w:rsid w:val="002A684C"/>
    <w:rsid w:val="002B3739"/>
    <w:rsid w:val="002B75C2"/>
    <w:rsid w:val="002D4D1C"/>
    <w:rsid w:val="002E4A34"/>
    <w:rsid w:val="002E5EF0"/>
    <w:rsid w:val="002F7BFF"/>
    <w:rsid w:val="00303F20"/>
    <w:rsid w:val="003058D5"/>
    <w:rsid w:val="003127C7"/>
    <w:rsid w:val="00316444"/>
    <w:rsid w:val="00320A4F"/>
    <w:rsid w:val="00337809"/>
    <w:rsid w:val="003404A2"/>
    <w:rsid w:val="00346776"/>
    <w:rsid w:val="00361ACB"/>
    <w:rsid w:val="00385314"/>
    <w:rsid w:val="0039681B"/>
    <w:rsid w:val="003A045F"/>
    <w:rsid w:val="003A1B08"/>
    <w:rsid w:val="003A22B2"/>
    <w:rsid w:val="003B2487"/>
    <w:rsid w:val="003E14F0"/>
    <w:rsid w:val="003E174B"/>
    <w:rsid w:val="00403FD0"/>
    <w:rsid w:val="00416EDE"/>
    <w:rsid w:val="00430321"/>
    <w:rsid w:val="00434511"/>
    <w:rsid w:val="00441449"/>
    <w:rsid w:val="00446DE6"/>
    <w:rsid w:val="00446F2A"/>
    <w:rsid w:val="00447B09"/>
    <w:rsid w:val="0045518C"/>
    <w:rsid w:val="0045695C"/>
    <w:rsid w:val="00457855"/>
    <w:rsid w:val="00463C39"/>
    <w:rsid w:val="00465212"/>
    <w:rsid w:val="004655B7"/>
    <w:rsid w:val="00465810"/>
    <w:rsid w:val="004731C5"/>
    <w:rsid w:val="0049160D"/>
    <w:rsid w:val="004A73FE"/>
    <w:rsid w:val="004B1AE6"/>
    <w:rsid w:val="004B26CD"/>
    <w:rsid w:val="004B2FE7"/>
    <w:rsid w:val="004D5941"/>
    <w:rsid w:val="004D7ED7"/>
    <w:rsid w:val="004E1CB3"/>
    <w:rsid w:val="004E6303"/>
    <w:rsid w:val="004E63B1"/>
    <w:rsid w:val="004E6A28"/>
    <w:rsid w:val="004F17D0"/>
    <w:rsid w:val="004F53A7"/>
    <w:rsid w:val="004F54F6"/>
    <w:rsid w:val="004F68BC"/>
    <w:rsid w:val="004F759B"/>
    <w:rsid w:val="00503456"/>
    <w:rsid w:val="00503A13"/>
    <w:rsid w:val="00510B8C"/>
    <w:rsid w:val="00511E65"/>
    <w:rsid w:val="005210EA"/>
    <w:rsid w:val="005233DA"/>
    <w:rsid w:val="00531CD5"/>
    <w:rsid w:val="00537A77"/>
    <w:rsid w:val="00543C55"/>
    <w:rsid w:val="00543C9C"/>
    <w:rsid w:val="00547186"/>
    <w:rsid w:val="00547F43"/>
    <w:rsid w:val="00561E5E"/>
    <w:rsid w:val="00561F00"/>
    <w:rsid w:val="0056217F"/>
    <w:rsid w:val="00565FD1"/>
    <w:rsid w:val="00567F36"/>
    <w:rsid w:val="00573068"/>
    <w:rsid w:val="005833B4"/>
    <w:rsid w:val="00590D2E"/>
    <w:rsid w:val="00591859"/>
    <w:rsid w:val="005A46FA"/>
    <w:rsid w:val="005A7E99"/>
    <w:rsid w:val="005B0FD1"/>
    <w:rsid w:val="005C1A9B"/>
    <w:rsid w:val="005C5FDE"/>
    <w:rsid w:val="005D4DF6"/>
    <w:rsid w:val="005E0650"/>
    <w:rsid w:val="005F75F1"/>
    <w:rsid w:val="0061590D"/>
    <w:rsid w:val="00620707"/>
    <w:rsid w:val="00622712"/>
    <w:rsid w:val="00636541"/>
    <w:rsid w:val="0064650A"/>
    <w:rsid w:val="00650429"/>
    <w:rsid w:val="006576F0"/>
    <w:rsid w:val="00665C84"/>
    <w:rsid w:val="00670E60"/>
    <w:rsid w:val="0067317B"/>
    <w:rsid w:val="0068609C"/>
    <w:rsid w:val="00690122"/>
    <w:rsid w:val="006952EE"/>
    <w:rsid w:val="006A183E"/>
    <w:rsid w:val="006B3ED7"/>
    <w:rsid w:val="006B5C14"/>
    <w:rsid w:val="006C58B8"/>
    <w:rsid w:val="006D2859"/>
    <w:rsid w:val="006D7CFA"/>
    <w:rsid w:val="00706F78"/>
    <w:rsid w:val="00714B39"/>
    <w:rsid w:val="0072498A"/>
    <w:rsid w:val="0073526F"/>
    <w:rsid w:val="00737684"/>
    <w:rsid w:val="00737ABB"/>
    <w:rsid w:val="007433D6"/>
    <w:rsid w:val="00745ED1"/>
    <w:rsid w:val="0074621D"/>
    <w:rsid w:val="00761CD7"/>
    <w:rsid w:val="007703A4"/>
    <w:rsid w:val="00770D15"/>
    <w:rsid w:val="00784A77"/>
    <w:rsid w:val="007C75B2"/>
    <w:rsid w:val="007D4A0D"/>
    <w:rsid w:val="007E6F3D"/>
    <w:rsid w:val="007F5863"/>
    <w:rsid w:val="0080118D"/>
    <w:rsid w:val="008054B9"/>
    <w:rsid w:val="008109B4"/>
    <w:rsid w:val="00822301"/>
    <w:rsid w:val="0082259C"/>
    <w:rsid w:val="00837742"/>
    <w:rsid w:val="00842E9B"/>
    <w:rsid w:val="00843332"/>
    <w:rsid w:val="008452EE"/>
    <w:rsid w:val="00847199"/>
    <w:rsid w:val="00850616"/>
    <w:rsid w:val="00850834"/>
    <w:rsid w:val="008607AE"/>
    <w:rsid w:val="00863293"/>
    <w:rsid w:val="00865718"/>
    <w:rsid w:val="00870341"/>
    <w:rsid w:val="00877B9C"/>
    <w:rsid w:val="0088220B"/>
    <w:rsid w:val="00890700"/>
    <w:rsid w:val="00892E12"/>
    <w:rsid w:val="008A4DD4"/>
    <w:rsid w:val="008A77E9"/>
    <w:rsid w:val="008B5EA5"/>
    <w:rsid w:val="008B63D9"/>
    <w:rsid w:val="008C436E"/>
    <w:rsid w:val="008C72F8"/>
    <w:rsid w:val="008D2A9F"/>
    <w:rsid w:val="008E6381"/>
    <w:rsid w:val="008F467C"/>
    <w:rsid w:val="008F6C81"/>
    <w:rsid w:val="008F7FA0"/>
    <w:rsid w:val="00900628"/>
    <w:rsid w:val="009062FF"/>
    <w:rsid w:val="00911035"/>
    <w:rsid w:val="00924B06"/>
    <w:rsid w:val="00932F43"/>
    <w:rsid w:val="009344E2"/>
    <w:rsid w:val="00934D79"/>
    <w:rsid w:val="00950336"/>
    <w:rsid w:val="009606A3"/>
    <w:rsid w:val="00960A36"/>
    <w:rsid w:val="00966FC9"/>
    <w:rsid w:val="00967AF0"/>
    <w:rsid w:val="00970C0D"/>
    <w:rsid w:val="00972DB0"/>
    <w:rsid w:val="00974B34"/>
    <w:rsid w:val="0099383E"/>
    <w:rsid w:val="0099495B"/>
    <w:rsid w:val="00996950"/>
    <w:rsid w:val="009B0057"/>
    <w:rsid w:val="009B1ECD"/>
    <w:rsid w:val="009B7175"/>
    <w:rsid w:val="009B748E"/>
    <w:rsid w:val="009C276F"/>
    <w:rsid w:val="009C7217"/>
    <w:rsid w:val="009E373F"/>
    <w:rsid w:val="009F5AB5"/>
    <w:rsid w:val="009F7FF9"/>
    <w:rsid w:val="00A0487F"/>
    <w:rsid w:val="00A0495F"/>
    <w:rsid w:val="00A06019"/>
    <w:rsid w:val="00A14088"/>
    <w:rsid w:val="00A25980"/>
    <w:rsid w:val="00A450EA"/>
    <w:rsid w:val="00A47FC6"/>
    <w:rsid w:val="00A50AE0"/>
    <w:rsid w:val="00A51E0C"/>
    <w:rsid w:val="00A53ED8"/>
    <w:rsid w:val="00A60587"/>
    <w:rsid w:val="00A65FB4"/>
    <w:rsid w:val="00A73906"/>
    <w:rsid w:val="00A8349D"/>
    <w:rsid w:val="00A90E77"/>
    <w:rsid w:val="00A928C1"/>
    <w:rsid w:val="00A94ACE"/>
    <w:rsid w:val="00AA05A6"/>
    <w:rsid w:val="00AA0EAF"/>
    <w:rsid w:val="00AA0FE3"/>
    <w:rsid w:val="00AA21C5"/>
    <w:rsid w:val="00AA2726"/>
    <w:rsid w:val="00AA5CD9"/>
    <w:rsid w:val="00AC233F"/>
    <w:rsid w:val="00AE0052"/>
    <w:rsid w:val="00AF255F"/>
    <w:rsid w:val="00AF50F1"/>
    <w:rsid w:val="00B015EA"/>
    <w:rsid w:val="00B34556"/>
    <w:rsid w:val="00B34D4E"/>
    <w:rsid w:val="00B41495"/>
    <w:rsid w:val="00B61FB2"/>
    <w:rsid w:val="00B80A32"/>
    <w:rsid w:val="00B80D07"/>
    <w:rsid w:val="00B90234"/>
    <w:rsid w:val="00B93171"/>
    <w:rsid w:val="00B947C2"/>
    <w:rsid w:val="00BA6071"/>
    <w:rsid w:val="00BB4028"/>
    <w:rsid w:val="00BC3520"/>
    <w:rsid w:val="00BD6724"/>
    <w:rsid w:val="00BD6D90"/>
    <w:rsid w:val="00BD7DF5"/>
    <w:rsid w:val="00BE2FCD"/>
    <w:rsid w:val="00BE7B9C"/>
    <w:rsid w:val="00BF2030"/>
    <w:rsid w:val="00BF6B5E"/>
    <w:rsid w:val="00BF7513"/>
    <w:rsid w:val="00C13091"/>
    <w:rsid w:val="00C16EA1"/>
    <w:rsid w:val="00C221BC"/>
    <w:rsid w:val="00C23EA3"/>
    <w:rsid w:val="00C344C2"/>
    <w:rsid w:val="00C35D51"/>
    <w:rsid w:val="00C41894"/>
    <w:rsid w:val="00C602EA"/>
    <w:rsid w:val="00C72BC4"/>
    <w:rsid w:val="00C73B26"/>
    <w:rsid w:val="00C80D45"/>
    <w:rsid w:val="00C961AB"/>
    <w:rsid w:val="00C9638D"/>
    <w:rsid w:val="00CA0A47"/>
    <w:rsid w:val="00CA2C61"/>
    <w:rsid w:val="00CA66FD"/>
    <w:rsid w:val="00CC2546"/>
    <w:rsid w:val="00CD0709"/>
    <w:rsid w:val="00CF7ABB"/>
    <w:rsid w:val="00D101AA"/>
    <w:rsid w:val="00D107FB"/>
    <w:rsid w:val="00D12ABD"/>
    <w:rsid w:val="00D142FD"/>
    <w:rsid w:val="00D21204"/>
    <w:rsid w:val="00D21AA3"/>
    <w:rsid w:val="00D25753"/>
    <w:rsid w:val="00D34D4F"/>
    <w:rsid w:val="00D4323F"/>
    <w:rsid w:val="00D55C0A"/>
    <w:rsid w:val="00D56561"/>
    <w:rsid w:val="00D62AE0"/>
    <w:rsid w:val="00D6440C"/>
    <w:rsid w:val="00D67A93"/>
    <w:rsid w:val="00D77D9B"/>
    <w:rsid w:val="00D8019B"/>
    <w:rsid w:val="00D80A93"/>
    <w:rsid w:val="00D82BA6"/>
    <w:rsid w:val="00D86ECC"/>
    <w:rsid w:val="00D91793"/>
    <w:rsid w:val="00DA7888"/>
    <w:rsid w:val="00DC0A5D"/>
    <w:rsid w:val="00DE3EAA"/>
    <w:rsid w:val="00DE7823"/>
    <w:rsid w:val="00DF1A06"/>
    <w:rsid w:val="00DF3D27"/>
    <w:rsid w:val="00E02BD2"/>
    <w:rsid w:val="00E1018C"/>
    <w:rsid w:val="00E206BE"/>
    <w:rsid w:val="00E268F1"/>
    <w:rsid w:val="00E34A9A"/>
    <w:rsid w:val="00E37433"/>
    <w:rsid w:val="00E37C9E"/>
    <w:rsid w:val="00E40174"/>
    <w:rsid w:val="00E407FA"/>
    <w:rsid w:val="00E40DC8"/>
    <w:rsid w:val="00E45699"/>
    <w:rsid w:val="00E46964"/>
    <w:rsid w:val="00E535B4"/>
    <w:rsid w:val="00E57CB1"/>
    <w:rsid w:val="00E7211B"/>
    <w:rsid w:val="00E815FA"/>
    <w:rsid w:val="00E816CB"/>
    <w:rsid w:val="00EA6936"/>
    <w:rsid w:val="00EC1E86"/>
    <w:rsid w:val="00EE1A1A"/>
    <w:rsid w:val="00EE35FC"/>
    <w:rsid w:val="00EF3CDF"/>
    <w:rsid w:val="00EF4E29"/>
    <w:rsid w:val="00F278EB"/>
    <w:rsid w:val="00F303E2"/>
    <w:rsid w:val="00F4478D"/>
    <w:rsid w:val="00F45F4D"/>
    <w:rsid w:val="00F46029"/>
    <w:rsid w:val="00F50E7B"/>
    <w:rsid w:val="00F637C2"/>
    <w:rsid w:val="00F66B10"/>
    <w:rsid w:val="00F70022"/>
    <w:rsid w:val="00F73B6A"/>
    <w:rsid w:val="00F75FDF"/>
    <w:rsid w:val="00F7629B"/>
    <w:rsid w:val="00F83ECA"/>
    <w:rsid w:val="00F9226B"/>
    <w:rsid w:val="00F92C3D"/>
    <w:rsid w:val="00FA1379"/>
    <w:rsid w:val="00FA6CE0"/>
    <w:rsid w:val="00FB1F75"/>
    <w:rsid w:val="00FB52A7"/>
    <w:rsid w:val="00FC2971"/>
    <w:rsid w:val="00FC782E"/>
    <w:rsid w:val="00FD7A9B"/>
    <w:rsid w:val="00FE3D64"/>
    <w:rsid w:val="00FE413B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37A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6303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045F"/>
    <w:pPr>
      <w:ind w:left="720"/>
      <w:contextualSpacing/>
    </w:pPr>
  </w:style>
  <w:style w:type="character" w:styleId="Hypertextovodkaz">
    <w:name w:val="Hyperlink"/>
    <w:uiPriority w:val="99"/>
    <w:unhideWhenUsed/>
    <w:rsid w:val="003A045F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54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7186"/>
  </w:style>
  <w:style w:type="paragraph" w:styleId="Zpat">
    <w:name w:val="footer"/>
    <w:basedOn w:val="Normln"/>
    <w:link w:val="ZpatChar"/>
    <w:uiPriority w:val="99"/>
    <w:unhideWhenUsed/>
    <w:rsid w:val="0054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7186"/>
  </w:style>
  <w:style w:type="paragraph" w:styleId="Textbubliny">
    <w:name w:val="Balloon Text"/>
    <w:basedOn w:val="Normln"/>
    <w:link w:val="TextbublinyChar"/>
    <w:uiPriority w:val="99"/>
    <w:semiHidden/>
    <w:unhideWhenUsed/>
    <w:rsid w:val="00561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61F00"/>
    <w:rPr>
      <w:rFonts w:ascii="Segoe UI" w:hAnsi="Segoe UI" w:cs="Segoe UI"/>
      <w:sz w:val="18"/>
      <w:szCs w:val="18"/>
    </w:rPr>
  </w:style>
  <w:style w:type="paragraph" w:customStyle="1" w:styleId="Numm1">
    <w:name w:val="Numm§ 1"/>
    <w:basedOn w:val="Normln"/>
    <w:next w:val="Normln"/>
    <w:rsid w:val="00960A36"/>
    <w:pPr>
      <w:numPr>
        <w:numId w:val="6"/>
      </w:num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customStyle="1" w:styleId="Numm2">
    <w:name w:val="Numm§ 2"/>
    <w:basedOn w:val="Normln"/>
    <w:next w:val="Normln"/>
    <w:rsid w:val="00960A36"/>
    <w:pPr>
      <w:numPr>
        <w:ilvl w:val="1"/>
        <w:numId w:val="6"/>
      </w:numPr>
      <w:spacing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paragraph" w:customStyle="1" w:styleId="Numm3">
    <w:name w:val="Numm§ 3"/>
    <w:basedOn w:val="Normln"/>
    <w:next w:val="Normln"/>
    <w:rsid w:val="00960A36"/>
    <w:pPr>
      <w:numPr>
        <w:ilvl w:val="2"/>
        <w:numId w:val="6"/>
      </w:numPr>
      <w:spacing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platne1">
    <w:name w:val="platne1"/>
    <w:basedOn w:val="Standardnpsmoodstavce"/>
    <w:rsid w:val="00960A36"/>
  </w:style>
  <w:style w:type="character" w:styleId="Odkaznakoment">
    <w:name w:val="annotation reference"/>
    <w:uiPriority w:val="99"/>
    <w:semiHidden/>
    <w:unhideWhenUsed/>
    <w:rsid w:val="004B1A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1A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B1A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1AE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1AE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A5FC9"/>
    <w:rPr>
      <w:sz w:val="22"/>
      <w:szCs w:val="22"/>
      <w:lang w:eastAsia="en-US"/>
    </w:rPr>
  </w:style>
  <w:style w:type="paragraph" w:customStyle="1" w:styleId="Default">
    <w:name w:val="Default"/>
    <w:rsid w:val="00B947C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6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2024-08-14T09:40:00Z</dcterms:created>
  <dcterms:modified xsi:type="dcterms:W3CDTF">2024-08-14T09:40:00Z</dcterms:modified>
</cp:coreProperties>
</file>