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DE0F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7616BA0A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60EC149B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5BDF6BA1" w14:textId="61DC5846" w:rsidR="00C4349A" w:rsidRPr="00C4349A" w:rsidRDefault="00562DA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Domov Na zámku,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14:paraId="2530D9DB" w14:textId="2E79484A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562DAF">
        <w:rPr>
          <w:rFonts w:ascii="Tahoma" w:eastAsia="Times New Roman" w:hAnsi="Tahoma" w:cs="Tahoma"/>
          <w:lang w:eastAsia="cs-CZ"/>
        </w:rPr>
        <w:t xml:space="preserve"> Kyjovice č. p. 1, 747 </w:t>
      </w:r>
      <w:proofErr w:type="gramStart"/>
      <w:r w:rsidR="00562DAF">
        <w:rPr>
          <w:rFonts w:ascii="Tahoma" w:eastAsia="Times New Roman" w:hAnsi="Tahoma" w:cs="Tahoma"/>
          <w:lang w:eastAsia="cs-CZ"/>
        </w:rPr>
        <w:t>68  Kyjovice</w:t>
      </w:r>
      <w:proofErr w:type="gram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5E225C48" w14:textId="563D5F82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562DAF">
        <w:rPr>
          <w:rFonts w:ascii="Tahoma" w:eastAsia="Times New Roman" w:hAnsi="Tahoma" w:cs="Tahoma"/>
          <w:lang w:eastAsia="cs-CZ"/>
        </w:rPr>
        <w:t xml:space="preserve"> Mgr. Ing. Ivana Martiníková</w:t>
      </w:r>
      <w:r w:rsidR="00E32A3F">
        <w:rPr>
          <w:rFonts w:ascii="Tahoma" w:eastAsia="Times New Roman" w:hAnsi="Tahoma" w:cs="Tahoma"/>
          <w:lang w:eastAsia="cs-CZ"/>
        </w:rPr>
        <w:t>, ředitelka</w:t>
      </w:r>
      <w:r w:rsidR="00562DAF">
        <w:rPr>
          <w:rFonts w:ascii="Tahoma" w:eastAsia="Times New Roman" w:hAnsi="Tahoma" w:cs="Tahoma"/>
          <w:lang w:eastAsia="cs-CZ"/>
        </w:rPr>
        <w:t xml:space="preserve"> 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613D4BA9" w14:textId="247F17FD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proofErr w:type="gramStart"/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62DAF">
        <w:rPr>
          <w:rFonts w:ascii="Tahoma" w:eastAsia="Times New Roman" w:hAnsi="Tahoma" w:cs="Tahoma"/>
          <w:lang w:eastAsia="cs-CZ"/>
        </w:rPr>
        <w:t xml:space="preserve">  71197001</w:t>
      </w:r>
      <w:proofErr w:type="gramEnd"/>
      <w:r w:rsidRPr="00C4349A">
        <w:rPr>
          <w:rFonts w:ascii="Tahoma" w:eastAsia="Times New Roman" w:hAnsi="Tahoma" w:cs="Tahoma"/>
          <w:lang w:eastAsia="cs-CZ"/>
        </w:rPr>
        <w:tab/>
      </w:r>
    </w:p>
    <w:p w14:paraId="078C6BDD" w14:textId="016602D3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562DAF">
        <w:rPr>
          <w:rFonts w:ascii="Tahoma" w:eastAsia="Times New Roman" w:hAnsi="Tahoma" w:cs="Tahoma"/>
          <w:lang w:eastAsia="cs-CZ"/>
        </w:rPr>
        <w:t xml:space="preserve"> CZ71197001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3112AC1E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3461C288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2570A7C3" w14:textId="1A039A94" w:rsidR="001B437D" w:rsidRPr="001B437D" w:rsidRDefault="00562DAF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GORDIC spol. s</w:t>
      </w:r>
      <w:r w:rsidR="009E6FE4">
        <w:rPr>
          <w:rFonts w:ascii="Tahoma" w:eastAsia="Times New Roman" w:hAnsi="Tahoma" w:cs="Tahoma"/>
          <w:b/>
          <w:bCs/>
          <w:lang w:eastAsia="cs-CZ"/>
        </w:rPr>
        <w:t xml:space="preserve"> </w:t>
      </w:r>
      <w:r>
        <w:rPr>
          <w:rFonts w:ascii="Tahoma" w:eastAsia="Times New Roman" w:hAnsi="Tahoma" w:cs="Tahoma"/>
          <w:b/>
          <w:bCs/>
          <w:lang w:eastAsia="cs-CZ"/>
        </w:rPr>
        <w:t xml:space="preserve">r.o. </w:t>
      </w:r>
    </w:p>
    <w:p w14:paraId="6DE09AD6" w14:textId="0E51AAFD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562DAF">
        <w:rPr>
          <w:rFonts w:ascii="Tahoma" w:eastAsia="Times New Roman" w:hAnsi="Tahoma" w:cs="Tahoma"/>
          <w:lang w:eastAsia="cs-CZ"/>
        </w:rPr>
        <w:t xml:space="preserve"> Erbenova </w:t>
      </w:r>
      <w:r w:rsidR="009E6FE4">
        <w:rPr>
          <w:rFonts w:ascii="Tahoma" w:eastAsia="Times New Roman" w:hAnsi="Tahoma" w:cs="Tahoma"/>
          <w:lang w:eastAsia="cs-CZ"/>
        </w:rPr>
        <w:t>2108/</w:t>
      </w:r>
      <w:r w:rsidR="00562DAF">
        <w:rPr>
          <w:rFonts w:ascii="Tahoma" w:eastAsia="Times New Roman" w:hAnsi="Tahoma" w:cs="Tahoma"/>
          <w:lang w:eastAsia="cs-CZ"/>
        </w:rPr>
        <w:t>4</w:t>
      </w:r>
      <w:r w:rsidR="00E32A3F">
        <w:rPr>
          <w:rFonts w:ascii="Tahoma" w:eastAsia="Times New Roman" w:hAnsi="Tahoma" w:cs="Tahoma"/>
          <w:lang w:eastAsia="cs-CZ"/>
        </w:rPr>
        <w:t xml:space="preserve">, </w:t>
      </w:r>
      <w:r w:rsidR="00E32A3F" w:rsidRPr="00E32A3F">
        <w:rPr>
          <w:rFonts w:ascii="Tahoma" w:eastAsia="Times New Roman" w:hAnsi="Tahoma" w:cs="Tahoma"/>
          <w:lang w:eastAsia="cs-CZ"/>
        </w:rPr>
        <w:t>586</w:t>
      </w:r>
      <w:r w:rsidR="00E32A3F">
        <w:rPr>
          <w:rFonts w:ascii="Tahoma" w:eastAsia="Times New Roman" w:hAnsi="Tahoma" w:cs="Tahoma"/>
          <w:lang w:eastAsia="cs-CZ"/>
        </w:rPr>
        <w:t xml:space="preserve"> </w:t>
      </w:r>
      <w:r w:rsidR="00E32A3F" w:rsidRPr="00E32A3F">
        <w:rPr>
          <w:rFonts w:ascii="Tahoma" w:eastAsia="Times New Roman" w:hAnsi="Tahoma" w:cs="Tahoma"/>
          <w:lang w:eastAsia="cs-CZ"/>
        </w:rPr>
        <w:t>01</w:t>
      </w:r>
      <w:r w:rsidR="00E32A3F">
        <w:rPr>
          <w:rFonts w:ascii="Tahoma" w:eastAsia="Times New Roman" w:hAnsi="Tahoma" w:cs="Tahoma"/>
          <w:lang w:eastAsia="cs-CZ"/>
        </w:rPr>
        <w:t xml:space="preserve"> Jihlava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5CA0EA05" w14:textId="7656B8EE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A17ED6">
        <w:rPr>
          <w:rFonts w:ascii="Tahoma" w:eastAsia="Times New Roman" w:hAnsi="Tahoma" w:cs="Tahoma"/>
          <w:lang w:eastAsia="cs-CZ"/>
        </w:rPr>
        <w:t xml:space="preserve"> </w:t>
      </w:r>
      <w:r w:rsidR="00E32A3F" w:rsidRPr="00E32A3F">
        <w:rPr>
          <w:rFonts w:ascii="Tahoma" w:eastAsia="Times New Roman" w:hAnsi="Tahoma" w:cs="Tahoma"/>
          <w:lang w:eastAsia="cs-CZ"/>
        </w:rPr>
        <w:t>Ing. Jaromírem Řezáčem,</w:t>
      </w:r>
      <w:r w:rsidR="009E6FE4">
        <w:rPr>
          <w:rFonts w:ascii="Tahoma" w:eastAsia="Times New Roman" w:hAnsi="Tahoma" w:cs="Tahoma"/>
          <w:lang w:eastAsia="cs-CZ"/>
        </w:rPr>
        <w:t xml:space="preserve"> DBA,</w:t>
      </w:r>
      <w:r w:rsidR="00E32A3F" w:rsidRPr="00E32A3F">
        <w:rPr>
          <w:rFonts w:ascii="Tahoma" w:eastAsia="Times New Roman" w:hAnsi="Tahoma" w:cs="Tahoma"/>
          <w:lang w:eastAsia="cs-CZ"/>
        </w:rPr>
        <w:t xml:space="preserve"> jednatelem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243E9969" w14:textId="4C8AD9F3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9E6FE4">
        <w:rPr>
          <w:rFonts w:ascii="Tahoma" w:eastAsia="Times New Roman" w:hAnsi="Tahoma" w:cs="Tahoma"/>
          <w:lang w:eastAsia="cs-CZ"/>
        </w:rPr>
        <w:t xml:space="preserve"> </w:t>
      </w:r>
      <w:r w:rsidR="00562DAF">
        <w:rPr>
          <w:rFonts w:ascii="Tahoma" w:eastAsia="Times New Roman" w:hAnsi="Tahoma" w:cs="Tahoma"/>
          <w:lang w:eastAsia="cs-CZ"/>
        </w:rPr>
        <w:t>47903783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10901196" w14:textId="00BCE66F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562DAF">
        <w:rPr>
          <w:rFonts w:ascii="Tahoma" w:eastAsia="Times New Roman" w:hAnsi="Tahoma" w:cs="Tahoma"/>
          <w:lang w:eastAsia="cs-CZ"/>
        </w:rPr>
        <w:t xml:space="preserve"> CZ47903783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3D881FCD" w14:textId="1C5EAB50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 obchodním rejstříku vedeném</w:t>
      </w:r>
      <w:r w:rsidR="00EB6FC1">
        <w:rPr>
          <w:rFonts w:ascii="Tahoma" w:eastAsia="Times New Roman" w:hAnsi="Tahoma" w:cs="Tahoma"/>
          <w:iCs/>
          <w:lang w:eastAsia="cs-CZ"/>
        </w:rPr>
        <w:t xml:space="preserve"> u Krajského soudu v Brně, </w:t>
      </w:r>
      <w:r w:rsidRPr="001B437D">
        <w:rPr>
          <w:rFonts w:ascii="Tahoma" w:eastAsia="Times New Roman" w:hAnsi="Tahoma" w:cs="Tahoma"/>
          <w:iCs/>
          <w:lang w:eastAsia="cs-CZ"/>
        </w:rPr>
        <w:t>oddíl </w:t>
      </w:r>
      <w:r w:rsidR="00EB6FC1">
        <w:rPr>
          <w:rFonts w:ascii="Tahoma" w:eastAsia="Times New Roman" w:hAnsi="Tahoma" w:cs="Tahoma"/>
          <w:iCs/>
          <w:lang w:eastAsia="cs-CZ"/>
        </w:rPr>
        <w:t>C,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 </w:t>
      </w:r>
      <w:r w:rsidR="00EB6FC1">
        <w:rPr>
          <w:rFonts w:ascii="Tahoma" w:eastAsia="Times New Roman" w:hAnsi="Tahoma" w:cs="Tahoma"/>
          <w:iCs/>
          <w:lang w:eastAsia="cs-CZ"/>
        </w:rPr>
        <w:t xml:space="preserve">9313 </w:t>
      </w: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5B15B288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06755259" w14:textId="37F64D73" w:rsidR="00474D1B" w:rsidRPr="00474D1B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474D1B">
        <w:rPr>
          <w:rFonts w:ascii="Tahoma" w:hAnsi="Tahoma" w:cs="Tahoma"/>
        </w:rPr>
        <w:t>Smluvní strany uzavřely</w:t>
      </w:r>
      <w:r w:rsidR="005826C5" w:rsidRPr="00474D1B">
        <w:rPr>
          <w:rFonts w:ascii="Tahoma" w:hAnsi="Tahoma" w:cs="Tahoma"/>
        </w:rPr>
        <w:t xml:space="preserve"> dne </w:t>
      </w:r>
      <w:r w:rsidR="00562DAF" w:rsidRPr="00474D1B">
        <w:rPr>
          <w:rFonts w:ascii="Tahoma" w:hAnsi="Tahoma" w:cs="Tahoma"/>
        </w:rPr>
        <w:t>9.7.2024</w:t>
      </w:r>
      <w:r w:rsidR="005826C5" w:rsidRPr="00474D1B">
        <w:rPr>
          <w:rFonts w:ascii="Tahoma" w:hAnsi="Tahoma" w:cs="Tahoma"/>
        </w:rPr>
        <w:t xml:space="preserve"> </w:t>
      </w:r>
      <w:r w:rsidR="00562DAF" w:rsidRPr="00474D1B">
        <w:rPr>
          <w:rFonts w:ascii="Tahoma" w:hAnsi="Tahoma" w:cs="Tahoma"/>
        </w:rPr>
        <w:t>objednávku ke Smlouvě</w:t>
      </w:r>
      <w:r w:rsidR="00EF1305" w:rsidRPr="00474D1B">
        <w:rPr>
          <w:rFonts w:ascii="Tahoma" w:hAnsi="Tahoma" w:cs="Tahoma"/>
        </w:rPr>
        <w:t xml:space="preserve"> </w:t>
      </w:r>
      <w:r w:rsidR="005826C5" w:rsidRPr="00474D1B">
        <w:rPr>
          <w:rFonts w:ascii="Tahoma" w:hAnsi="Tahoma" w:cs="Tahoma"/>
        </w:rPr>
        <w:t>č</w:t>
      </w:r>
      <w:r w:rsidR="00EF1305" w:rsidRPr="00474D1B">
        <w:rPr>
          <w:rFonts w:ascii="Tahoma" w:hAnsi="Tahoma" w:cs="Tahoma"/>
        </w:rPr>
        <w:t>.</w:t>
      </w:r>
      <w:r w:rsidR="00562DAF" w:rsidRPr="00474D1B">
        <w:rPr>
          <w:rFonts w:ascii="Tahoma" w:hAnsi="Tahoma" w:cs="Tahoma"/>
        </w:rPr>
        <w:t xml:space="preserve"> 45/2004</w:t>
      </w:r>
      <w:r w:rsidR="00F92D06">
        <w:rPr>
          <w:rFonts w:ascii="Tahoma" w:hAnsi="Tahoma" w:cs="Tahoma"/>
        </w:rPr>
        <w:t xml:space="preserve"> (dále jen „objednávka“)</w:t>
      </w:r>
      <w:r w:rsidR="005826C5" w:rsidRPr="00474D1B">
        <w:rPr>
          <w:rFonts w:ascii="Tahoma" w:hAnsi="Tahoma" w:cs="Tahoma"/>
        </w:rPr>
        <w:t>, jejímž předmětem byl</w:t>
      </w:r>
      <w:r w:rsidR="00562DAF" w:rsidRPr="00474D1B">
        <w:rPr>
          <w:rFonts w:ascii="Tahoma" w:hAnsi="Tahoma" w:cs="Tahoma"/>
        </w:rPr>
        <w:t xml:space="preserve"> upgrade systému GINIS Express na GINIS Express SQL</w:t>
      </w:r>
      <w:r w:rsidR="00474D1B" w:rsidRPr="00474D1B">
        <w:rPr>
          <w:rFonts w:ascii="Tahoma" w:hAnsi="Tahoma" w:cs="Tahoma"/>
        </w:rPr>
        <w:t>,</w:t>
      </w:r>
      <w:r w:rsidR="00562DAF" w:rsidRPr="00474D1B">
        <w:rPr>
          <w:rFonts w:ascii="Tahoma" w:hAnsi="Tahoma" w:cs="Tahoma"/>
        </w:rPr>
        <w:t xml:space="preserve"> </w:t>
      </w:r>
      <w:r w:rsidR="00474D1B" w:rsidRPr="00474D1B">
        <w:rPr>
          <w:rFonts w:ascii="Tahoma" w:hAnsi="Tahoma" w:cs="Tahoma"/>
        </w:rPr>
        <w:t>převod ekonomických modulů GINIS Express WIN na GINIS express SQL, převod dat do databázového prostředí, administrace systému a zaškolení pracovníků.</w:t>
      </w:r>
    </w:p>
    <w:p w14:paraId="6388C2AB" w14:textId="77777777"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10A1172E" w14:textId="1F7FC544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</w:t>
      </w:r>
      <w:r w:rsidR="003A3A34">
        <w:rPr>
          <w:rFonts w:ascii="Tahoma" w:hAnsi="Tahoma" w:cs="Tahoma"/>
        </w:rPr>
        <w:t>objednávky</w:t>
      </w:r>
      <w:r w:rsidR="00B5521F">
        <w:rPr>
          <w:rFonts w:ascii="Tahoma" w:hAnsi="Tahoma" w:cs="Tahoma"/>
        </w:rPr>
        <w:t xml:space="preserve"> </w:t>
      </w:r>
      <w:r w:rsidR="00F50A1B">
        <w:rPr>
          <w:rFonts w:ascii="Tahoma" w:hAnsi="Tahoma" w:cs="Tahoma"/>
        </w:rPr>
        <w:t>uvedené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14:paraId="0F02F942" w14:textId="41356E22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474D1B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00211FA3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11C76EB5" w14:textId="2C9B81D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474D1B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</w:t>
      </w:r>
      <w:proofErr w:type="gramStart"/>
      <w:r w:rsidRPr="00C4349A">
        <w:rPr>
          <w:rFonts w:ascii="Tahoma" w:hAnsi="Tahoma" w:cs="Tahoma"/>
        </w:rPr>
        <w:t>tvoří</w:t>
      </w:r>
      <w:proofErr w:type="gramEnd"/>
      <w:r w:rsidRPr="00C4349A">
        <w:rPr>
          <w:rFonts w:ascii="Tahoma" w:hAnsi="Tahoma" w:cs="Tahoma"/>
        </w:rPr>
        <w:t xml:space="preserve">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2AEEDBF7" w14:textId="670FC891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</w:t>
      </w:r>
      <w:r w:rsidR="00F92D06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14:paraId="28795C25" w14:textId="638E4069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474D1B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1A308A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52D0B315" w14:textId="77777777"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14:paraId="2B731CF3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7A2A5477" w14:textId="77777777"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44F7504B" w14:textId="6B93A78D"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474D1B">
        <w:rPr>
          <w:rFonts w:ascii="Tahoma" w:hAnsi="Tahoma" w:cs="Tahoma"/>
        </w:rPr>
        <w:t>dvou stejnopisech</w:t>
      </w:r>
      <w:r w:rsidRPr="00C4349A">
        <w:rPr>
          <w:rFonts w:ascii="Tahoma" w:hAnsi="Tahoma" w:cs="Tahoma"/>
        </w:rPr>
        <w:t xml:space="preserve">, </w:t>
      </w:r>
      <w:r w:rsidR="00EF1305" w:rsidRPr="00AD7AC0">
        <w:rPr>
          <w:rFonts w:ascii="Tahoma" w:hAnsi="Tahoma" w:cs="Tahoma"/>
        </w:rPr>
        <w:t xml:space="preserve">přičemž </w:t>
      </w:r>
      <w:r w:rsidR="00474D1B">
        <w:rPr>
          <w:rFonts w:ascii="Tahoma" w:hAnsi="Tahoma" w:cs="Tahoma"/>
        </w:rPr>
        <w:t xml:space="preserve">každá ze smluvních stran </w:t>
      </w:r>
      <w:proofErr w:type="gramStart"/>
      <w:r w:rsidR="00474D1B">
        <w:rPr>
          <w:rFonts w:ascii="Tahoma" w:hAnsi="Tahoma" w:cs="Tahoma"/>
        </w:rPr>
        <w:t>obdrží</w:t>
      </w:r>
      <w:proofErr w:type="gramEnd"/>
      <w:r w:rsidR="00474D1B">
        <w:rPr>
          <w:rFonts w:ascii="Tahoma" w:hAnsi="Tahoma" w:cs="Tahoma"/>
        </w:rPr>
        <w:t xml:space="preserve"> jeden stejnopis. </w:t>
      </w:r>
      <w:r w:rsidR="00D1604E">
        <w:rPr>
          <w:rFonts w:ascii="Tahoma" w:hAnsi="Tahoma" w:cs="Tahoma"/>
        </w:rPr>
        <w:t>Toto ujednání neplatí v případě elektronického vyhotovení smlouvy.</w:t>
      </w:r>
    </w:p>
    <w:p w14:paraId="7056213C" w14:textId="48EA5109"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474D1B">
        <w:rPr>
          <w:rFonts w:ascii="Tahoma" w:hAnsi="Tahoma" w:cs="Tahoma"/>
        </w:rPr>
        <w:t>objednávka</w:t>
      </w:r>
      <w:r w:rsidR="001B437D">
        <w:rPr>
          <w:rFonts w:ascii="Tahoma" w:hAnsi="Tahoma" w:cs="Tahoma"/>
        </w:rPr>
        <w:t xml:space="preserve"> ze dne </w:t>
      </w:r>
      <w:r w:rsidR="00474D1B">
        <w:rPr>
          <w:rFonts w:ascii="Tahoma" w:hAnsi="Tahoma" w:cs="Tahoma"/>
        </w:rPr>
        <w:t>9.7.2024.</w:t>
      </w:r>
    </w:p>
    <w:p w14:paraId="36DA2C1F" w14:textId="77777777" w:rsidR="00474D1B" w:rsidRDefault="00474D1B" w:rsidP="00474D1B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5A190E0A" w14:textId="77777777" w:rsidTr="00D00FD5">
        <w:trPr>
          <w:trHeight w:val="357"/>
        </w:trPr>
        <w:tc>
          <w:tcPr>
            <w:tcW w:w="3544" w:type="dxa"/>
          </w:tcPr>
          <w:p w14:paraId="3345E3EC" w14:textId="3EF92E3A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474D1B">
              <w:rPr>
                <w:rFonts w:ascii="Tahoma" w:hAnsi="Tahoma" w:cs="Tahoma"/>
              </w:rPr>
              <w:t>Kyjovicích</w:t>
            </w:r>
            <w:r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14:paraId="1B45A895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5A61196B" w14:textId="295F9078"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E32A3F">
              <w:rPr>
                <w:rFonts w:ascii="Tahoma" w:hAnsi="Tahoma" w:cs="Tahoma"/>
              </w:rPr>
              <w:t>Jihlavě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14:paraId="535B783E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5FFFF1F8" w14:textId="77777777"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EF9581E" w14:textId="77777777" w:rsidR="00474D1B" w:rsidRDefault="00474D1B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F7715F" w14:textId="77777777" w:rsidR="00474D1B" w:rsidRDefault="00474D1B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E3C6C41" w14:textId="77777777" w:rsidR="00474D1B" w:rsidRPr="00AD7AC0" w:rsidRDefault="00474D1B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3F11AC31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24079E95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14:paraId="2AD6351B" w14:textId="77777777" w:rsidTr="00D00FD5">
        <w:trPr>
          <w:trHeight w:val="549"/>
        </w:trPr>
        <w:tc>
          <w:tcPr>
            <w:tcW w:w="3544" w:type="dxa"/>
          </w:tcPr>
          <w:p w14:paraId="7720D29D" w14:textId="77777777"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14:paraId="3191C3E2" w14:textId="77777777" w:rsidR="0039277D" w:rsidRDefault="003927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Ing. Ivana Martiníková</w:t>
            </w:r>
          </w:p>
          <w:p w14:paraId="413CC70C" w14:textId="6349DEE6" w:rsidR="001B437D" w:rsidRPr="00AD7AC0" w:rsidRDefault="003927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ředitelka</w:t>
            </w:r>
          </w:p>
          <w:p w14:paraId="53ACF47F" w14:textId="77777777"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2D2C7D83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ED7C81C" w14:textId="77777777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1A56B731" w14:textId="77777777" w:rsidR="00D1604E" w:rsidRDefault="00D1604E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Jaromír Řezáč, DBA</w:t>
            </w:r>
          </w:p>
          <w:p w14:paraId="57249284" w14:textId="23F906D5" w:rsidR="001906FA" w:rsidRDefault="00D1604E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  <w:p w14:paraId="3115C292" w14:textId="77777777"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76C00D05" w14:textId="77777777" w:rsidR="00CD506A" w:rsidRDefault="00CD506A" w:rsidP="00053702">
      <w:pPr>
        <w:pStyle w:val="Odstavecseseznamem"/>
        <w:spacing w:after="0"/>
        <w:rPr>
          <w:rFonts w:ascii="Tahoma" w:hAnsi="Tahoma" w:cs="Tahoma"/>
        </w:rPr>
      </w:pPr>
    </w:p>
    <w:p w14:paraId="572B5B53" w14:textId="77777777" w:rsidR="00D65D85" w:rsidRDefault="00D65D85" w:rsidP="00053702">
      <w:pPr>
        <w:pStyle w:val="Odstavecseseznamem"/>
        <w:spacing w:after="0"/>
        <w:rPr>
          <w:rFonts w:ascii="Tahoma" w:hAnsi="Tahoma" w:cs="Tahoma"/>
        </w:rPr>
      </w:pPr>
    </w:p>
    <w:p w14:paraId="0D21320F" w14:textId="77777777" w:rsidR="00D65D85" w:rsidRDefault="00D65D85" w:rsidP="00053702">
      <w:pPr>
        <w:pStyle w:val="Odstavecseseznamem"/>
        <w:spacing w:after="0"/>
        <w:rPr>
          <w:rFonts w:ascii="Tahoma" w:hAnsi="Tahoma" w:cs="Tahoma"/>
        </w:rPr>
      </w:pPr>
    </w:p>
    <w:p w14:paraId="490584EE" w14:textId="77777777" w:rsidR="00D65D85" w:rsidRDefault="00D65D85" w:rsidP="00053702">
      <w:pPr>
        <w:pStyle w:val="Odstavecseseznamem"/>
        <w:spacing w:after="0"/>
        <w:rPr>
          <w:rFonts w:ascii="Tahoma" w:hAnsi="Tahoma" w:cs="Tahoma"/>
        </w:rPr>
      </w:pPr>
    </w:p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D65D85" w:rsidRPr="00E675E1" w14:paraId="7E4B37B9" w14:textId="77777777" w:rsidTr="001A1357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11F4E28D" w14:textId="77777777" w:rsidR="00D65D85" w:rsidRPr="00351499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3F06B" w14:textId="77777777" w:rsidR="00D65D85" w:rsidRPr="00351499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>
              <w:rPr>
                <w:rFonts w:cstheme="minorHAnsi"/>
                <w:b/>
                <w:sz w:val="24"/>
                <w:szCs w:val="24"/>
              </w:rPr>
              <w:t>ke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smlouvě 45/2004</w:t>
            </w:r>
          </w:p>
        </w:tc>
      </w:tr>
      <w:tr w:rsidR="00D65D85" w:rsidRPr="00E675E1" w14:paraId="7D9F5326" w14:textId="77777777" w:rsidTr="001A1357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6A5A1FB" w14:textId="77777777" w:rsidR="00D65D85" w:rsidRPr="00351499" w:rsidRDefault="00D65D85" w:rsidP="001A1357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3B43D1B5" w14:textId="77777777" w:rsidR="00D65D85" w:rsidRPr="00351499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č. p. 1</w:t>
            </w:r>
          </w:p>
          <w:p w14:paraId="33D0D715" w14:textId="77777777" w:rsidR="00D65D85" w:rsidRPr="00351499" w:rsidRDefault="00D65D85" w:rsidP="001A135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>
              <w:rPr>
                <w:rFonts w:cstheme="minorHAnsi"/>
                <w:sz w:val="24"/>
                <w:szCs w:val="24"/>
              </w:rPr>
              <w:t>553 778 026</w:t>
            </w:r>
          </w:p>
          <w:p w14:paraId="6DD821A9" w14:textId="77777777" w:rsidR="00D65D85" w:rsidRPr="00351499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179032DA" w14:textId="77777777" w:rsidR="00D65D85" w:rsidRPr="00351499" w:rsidRDefault="00D65D85" w:rsidP="001A1357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>
              <w:rPr>
                <w:rFonts w:cstheme="minorHAnsi"/>
                <w:sz w:val="24"/>
                <w:szCs w:val="24"/>
              </w:rPr>
              <w:t>09. 07. 2024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11FBA2C0" w14:textId="77777777" w:rsidR="00D65D85" w:rsidRPr="00351499" w:rsidRDefault="00D65D85" w:rsidP="001A1357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D65D85" w:rsidRPr="00E675E1" w14:paraId="37077D26" w14:textId="77777777" w:rsidTr="001A1357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6445C9DF" w14:textId="77777777" w:rsidR="00D65D85" w:rsidRPr="00351499" w:rsidRDefault="00D65D85" w:rsidP="001A13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645E4D98" w14:textId="77777777" w:rsidR="00D65D85" w:rsidRPr="00F147E1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GORDIC spol. s.r.o. </w:t>
            </w:r>
          </w:p>
          <w:p w14:paraId="10D3BB67" w14:textId="77777777" w:rsidR="00D65D85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Erbenova 4</w:t>
            </w:r>
          </w:p>
          <w:p w14:paraId="25C92993" w14:textId="77777777" w:rsidR="00D65D85" w:rsidRPr="00F147E1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586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01  Jihlava</w:t>
            </w:r>
            <w:proofErr w:type="gramEnd"/>
          </w:p>
          <w:p w14:paraId="314CA6FF" w14:textId="77777777" w:rsidR="00D65D85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>IČ</w:t>
            </w: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003FF7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sz w:val="24"/>
                <w:szCs w:val="24"/>
              </w:rPr>
              <w:t xml:space="preserve">47903783 </w:t>
            </w:r>
            <w:r w:rsidRPr="00003FF7">
              <w:rPr>
                <w:rFonts w:cstheme="minorHAnsi"/>
                <w:b/>
                <w:sz w:val="24"/>
                <w:szCs w:val="24"/>
              </w:rPr>
              <w:t>DIČ: CZ</w:t>
            </w:r>
            <w:r>
              <w:rPr>
                <w:rFonts w:cstheme="minorHAnsi"/>
                <w:b/>
                <w:sz w:val="24"/>
                <w:szCs w:val="24"/>
              </w:rPr>
              <w:t>47903783</w:t>
            </w:r>
          </w:p>
          <w:p w14:paraId="64AF601F" w14:textId="77777777" w:rsidR="00D65D85" w:rsidRPr="00351499" w:rsidRDefault="00D65D85" w:rsidP="001A13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Tel.: 596411090 email: gordicov</w:t>
            </w:r>
            <w:r w:rsidRPr="00F147E1">
              <w:rPr>
                <w:rFonts w:cstheme="minorHAnsi"/>
                <w:b/>
                <w:sz w:val="24"/>
                <w:szCs w:val="24"/>
              </w:rPr>
              <w:t>@</w:t>
            </w:r>
            <w:r>
              <w:rPr>
                <w:rFonts w:cstheme="minorHAnsi"/>
                <w:b/>
                <w:sz w:val="24"/>
                <w:szCs w:val="24"/>
              </w:rPr>
              <w:t>gordic.</w:t>
            </w:r>
            <w:r w:rsidRPr="00F147E1">
              <w:rPr>
                <w:rFonts w:cstheme="minorHAnsi"/>
                <w:b/>
                <w:sz w:val="24"/>
                <w:szCs w:val="24"/>
              </w:rPr>
              <w:t>cz</w:t>
            </w:r>
          </w:p>
        </w:tc>
      </w:tr>
      <w:tr w:rsidR="00D65D85" w:rsidRPr="00E675E1" w14:paraId="470DB820" w14:textId="77777777" w:rsidTr="001A1357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3558E642" w14:textId="77777777" w:rsidR="00D65D85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Vás přechod a rozšíření IS GINIS Expres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SQL  v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 organizaci Domov Na zámku , příspěvková organizace dle cenové nabídky.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1"/>
              <w:gridCol w:w="2835"/>
            </w:tblGrid>
            <w:tr w:rsidR="00D65D85" w14:paraId="46CDC3E4" w14:textId="77777777" w:rsidTr="001A1357">
              <w:trPr>
                <w:trHeight w:val="89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E864872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CR (Účetnictví a rozpočet)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096086A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             </w:t>
                  </w:r>
                </w:p>
              </w:tc>
            </w:tr>
            <w:tr w:rsidR="00D65D85" w14:paraId="6E71DEB3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EE0E58E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UCR automatizované </w:t>
                  </w:r>
                  <w:proofErr w:type="spellStart"/>
                  <w:r>
                    <w:rPr>
                      <w:sz w:val="16"/>
                      <w:szCs w:val="16"/>
                    </w:rPr>
                    <w:t>poř.PAP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74D36FB8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5116AFB9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17978C8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UCR dokladové kontroly PAP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C1B5EF5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452DCAB5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E603A6D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UCR předkontace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7CAE48DA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71FE1EF6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8C650CF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UCR doplatek síť 5 klientů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3B16BA84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480CBE32" w14:textId="77777777" w:rsidTr="001A1357">
              <w:trPr>
                <w:trHeight w:val="228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CF6A85F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KDF (Kniha došlých faktur)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DA618A8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5BA95C21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BE963D9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KDF rozšíření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el.písemnosti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3A853F3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1A471AA3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B404970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KXF (Komunikace s bankou)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C4E134C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2CC6BF49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4D59264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KXF (účtování bankovních výpisů)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05DE27E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24AB9A6A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FA5203F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ESU (Externí subjekty)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CD2F91C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61D84D65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64F95EB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PED (Podání elektronických dat)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637482B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006E85E7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21E093D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PED všechny typy dat CSÚIS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15553211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5EE6EBCE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B13AC96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POK (Pokladna)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CD0BCC7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6005AAF9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BF1274C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EMA (Evidence majetku)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D7D6E84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0180FE7A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47CF74F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EMA Automatizace inventur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59287E45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  <w:tr w:rsidR="00D65D85" w14:paraId="4CEAFE13" w14:textId="77777777" w:rsidTr="001A1357">
              <w:trPr>
                <w:trHeight w:val="80"/>
              </w:trPr>
              <w:tc>
                <w:tcPr>
                  <w:tcW w:w="308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CAF46E4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EMA doplatek síť 5 klientů </w:t>
                  </w:r>
                </w:p>
              </w:tc>
              <w:tc>
                <w:tcPr>
                  <w:tcW w:w="28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7B3F77FC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 Kč </w:t>
                  </w:r>
                </w:p>
              </w:tc>
            </w:tr>
          </w:tbl>
          <w:p w14:paraId="6E21FEBC" w14:textId="77777777" w:rsidR="00D65D85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bCs/>
              </w:rPr>
              <w:t>Předpoklad ceny prací spojených s převodem na verzi SQL a zaškolení pracovníků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8"/>
              <w:gridCol w:w="230"/>
              <w:gridCol w:w="230"/>
              <w:gridCol w:w="3459"/>
              <w:gridCol w:w="995"/>
              <w:gridCol w:w="1026"/>
            </w:tblGrid>
            <w:tr w:rsidR="00D65D85" w14:paraId="3B2C4DE6" w14:textId="77777777" w:rsidTr="001A1357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936585A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popis práce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4E83775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Hodin/Km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BA45745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Kč/hod./Km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AB4F51D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Cena </w:t>
                  </w:r>
                </w:p>
              </w:tc>
            </w:tr>
            <w:tr w:rsidR="00D65D85" w14:paraId="4076A33F" w14:textId="77777777" w:rsidTr="001A1357">
              <w:trPr>
                <w:trHeight w:val="103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DB54DC4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00XX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F75308C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710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DD42441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instalace SQL serveru a klientů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E7FB0B2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102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3AA89D7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XXXXX </w:t>
                  </w:r>
                </w:p>
              </w:tc>
            </w:tr>
            <w:tr w:rsidR="00D65D85" w14:paraId="4BDEBB4D" w14:textId="77777777" w:rsidTr="001A1357">
              <w:trPr>
                <w:trHeight w:val="104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2616CD3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00XX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E989254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670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E32526C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zaškolení stávajících modulů po převodu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B90ABA9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102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3816559A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XXXXX</w:t>
                  </w:r>
                </w:p>
              </w:tc>
            </w:tr>
            <w:tr w:rsidR="00D65D85" w14:paraId="35F261B7" w14:textId="77777777" w:rsidTr="001A1357">
              <w:trPr>
                <w:trHeight w:val="104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AC46851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00XX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BE2C21F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776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53DD8CE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převod dat stávajících programů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0B343DC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9 </w:t>
                  </w:r>
                </w:p>
              </w:tc>
              <w:tc>
                <w:tcPr>
                  <w:tcW w:w="102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83F0D69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XXXXX </w:t>
                  </w:r>
                </w:p>
              </w:tc>
            </w:tr>
            <w:tr w:rsidR="00D65D85" w14:paraId="5BD92578" w14:textId="77777777" w:rsidTr="001A1357">
              <w:trPr>
                <w:trHeight w:val="103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E9B8AE3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00XX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02C0567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740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3D7F936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úprava sestav dle potřeby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F8080AF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102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1FD57AEA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XXXXX </w:t>
                  </w:r>
                </w:p>
              </w:tc>
            </w:tr>
            <w:tr w:rsidR="00D65D85" w14:paraId="2CED193F" w14:textId="77777777" w:rsidTr="001A1357">
              <w:trPr>
                <w:trHeight w:val="103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47F4ADB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00XX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2677A5E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740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6CE3494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administrace, konfigurační nastavení dle uživatele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FC3CFBB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102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26051B17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XXXXX </w:t>
                  </w:r>
                </w:p>
              </w:tc>
            </w:tr>
            <w:tr w:rsidR="00D65D85" w14:paraId="2DF1CC1D" w14:textId="77777777" w:rsidTr="001A1357">
              <w:trPr>
                <w:trHeight w:val="106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EEE6233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00XX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A3A0FFA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791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083AE4E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cestovné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6C2C0ED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100 </w:t>
                  </w:r>
                </w:p>
              </w:tc>
              <w:tc>
                <w:tcPr>
                  <w:tcW w:w="102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8700EB9" w14:textId="77777777" w:rsidR="00D65D85" w:rsidRDefault="00D65D85" w:rsidP="001A135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XXXXX </w:t>
                  </w:r>
                </w:p>
              </w:tc>
            </w:tr>
          </w:tbl>
          <w:p w14:paraId="30304682" w14:textId="77777777" w:rsidR="00D65D85" w:rsidRPr="00E675E1" w:rsidRDefault="00D65D85" w:rsidP="001A1357">
            <w:pPr>
              <w:rPr>
                <w:rFonts w:cstheme="minorHAnsi"/>
              </w:rPr>
            </w:pPr>
          </w:p>
        </w:tc>
      </w:tr>
      <w:tr w:rsidR="00D65D85" w:rsidRPr="00E675E1" w14:paraId="66F47292" w14:textId="77777777" w:rsidTr="001A1357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D87BA" w14:textId="77777777" w:rsidR="00D65D85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Předpokládaná cena </w:t>
            </w:r>
            <w:r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bez  74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 410,50Kč </w:t>
            </w:r>
          </w:p>
          <w:p w14:paraId="432CDE2F" w14:textId="77777777" w:rsidR="00D65D85" w:rsidRDefault="00D65D85" w:rsidP="001A13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21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%  15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 626,20 Kč</w:t>
            </w:r>
          </w:p>
          <w:p w14:paraId="2B549568" w14:textId="77777777" w:rsidR="00D65D85" w:rsidRPr="00E675E1" w:rsidRDefault="00D65D85" w:rsidP="001A135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90 036,70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Kč </w:t>
            </w:r>
            <w:r w:rsidRPr="001C614F">
              <w:rPr>
                <w:rFonts w:cstheme="minorHAnsi"/>
                <w:sz w:val="24"/>
                <w:szCs w:val="24"/>
              </w:rPr>
              <w:t xml:space="preserve"> (</w:t>
            </w:r>
            <w:proofErr w:type="gramEnd"/>
            <w:r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E675E1">
              <w:rPr>
                <w:rFonts w:cstheme="minorHAnsi"/>
              </w:rPr>
              <w:t xml:space="preserve"> </w:t>
            </w:r>
          </w:p>
        </w:tc>
      </w:tr>
      <w:tr w:rsidR="00D65D85" w:rsidRPr="00E675E1" w14:paraId="7D9CFE9C" w14:textId="77777777" w:rsidTr="001A1357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4ADC494B" w14:textId="77777777" w:rsidR="00D65D85" w:rsidRPr="00E675E1" w:rsidRDefault="00D65D85" w:rsidP="001A13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FF49E8E" w14:textId="77777777" w:rsidR="00D65D85" w:rsidRPr="00351499" w:rsidRDefault="00D65D85" w:rsidP="001A1357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6673A565" w14:textId="77777777" w:rsidR="00D65D85" w:rsidRPr="00E675E1" w:rsidRDefault="00D65D85" w:rsidP="001A1357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>Domov Na zámku, příspěvková organizace, Kyjovice č.</w:t>
            </w:r>
            <w:r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p. 1</w:t>
            </w:r>
          </w:p>
        </w:tc>
      </w:tr>
      <w:tr w:rsidR="00D65D85" w:rsidRPr="00E675E1" w14:paraId="622FF30F" w14:textId="77777777" w:rsidTr="001A1357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0AE0AE98" w14:textId="77777777" w:rsidR="00D65D85" w:rsidRPr="00E675E1" w:rsidRDefault="00D65D85" w:rsidP="001A1357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6896C3E0" w14:textId="77777777" w:rsidR="00D65D85" w:rsidRPr="00E675E1" w:rsidRDefault="00D65D85" w:rsidP="001A1357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7AE54D3A" w14:textId="77777777" w:rsidR="00D65D85" w:rsidRPr="00E675E1" w:rsidRDefault="00D65D85" w:rsidP="001A1357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>
              <w:rPr>
                <w:rFonts w:cstheme="minorHAnsi"/>
              </w:rPr>
              <w:t xml:space="preserve">ky.  </w:t>
            </w:r>
          </w:p>
          <w:p w14:paraId="49D096A4" w14:textId="77777777" w:rsidR="00D65D85" w:rsidRPr="00E675E1" w:rsidRDefault="00D65D85" w:rsidP="001A1357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D65D85" w:rsidRPr="00E675E1" w14:paraId="7A2593BB" w14:textId="77777777" w:rsidTr="001A1357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648C6C5A" w14:textId="77777777" w:rsidR="00D65D85" w:rsidRPr="00E675E1" w:rsidRDefault="00D65D85" w:rsidP="001A1357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31. 08. 2024</w:t>
            </w:r>
          </w:p>
        </w:tc>
      </w:tr>
      <w:tr w:rsidR="00D65D85" w:rsidRPr="00E675E1" w14:paraId="2B30593B" w14:textId="77777777" w:rsidTr="001A1357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0EA16160" w14:textId="77777777" w:rsidR="00D65D85" w:rsidRPr="00351499" w:rsidRDefault="00D65D85" w:rsidP="001A1357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>
              <w:rPr>
                <w:rFonts w:eastAsia="Times New Roman" w:cstheme="minorHAnsi"/>
                <w:lang w:eastAsia="cs-CZ"/>
              </w:rPr>
              <w:t xml:space="preserve"> Mgr. Ing. Ivana Martiníková </w:t>
            </w:r>
          </w:p>
        </w:tc>
        <w:tc>
          <w:tcPr>
            <w:tcW w:w="5244" w:type="dxa"/>
          </w:tcPr>
          <w:p w14:paraId="60215DD7" w14:textId="77777777" w:rsidR="00D65D85" w:rsidRDefault="00D65D85" w:rsidP="001A1357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e-mail: </w:t>
            </w:r>
            <w:hyperlink r:id="rId5" w:history="1">
              <w:r w:rsidRPr="002E74EA">
                <w:rPr>
                  <w:rStyle w:val="Hypertextovodkaz"/>
                  <w:rFonts w:eastAsia="Times New Roman" w:cstheme="minorHAnsi"/>
                  <w:lang w:eastAsia="cs-CZ"/>
                </w:rPr>
                <w:t>martinikova@domov-kyjovice.cz</w:t>
              </w:r>
            </w:hyperlink>
          </w:p>
          <w:p w14:paraId="7B19E342" w14:textId="77777777" w:rsidR="00D65D85" w:rsidRPr="00351499" w:rsidRDefault="00D65D85" w:rsidP="001A1357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gramStart"/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>
              <w:rPr>
                <w:rFonts w:eastAsia="Times New Roman" w:cstheme="minorHAnsi"/>
                <w:lang w:eastAsia="cs-CZ"/>
              </w:rPr>
              <w:t xml:space="preserve"> 739</w:t>
            </w:r>
            <w:proofErr w:type="gramEnd"/>
            <w:r>
              <w:rPr>
                <w:rFonts w:eastAsia="Times New Roman" w:cstheme="minorHAnsi"/>
                <w:lang w:eastAsia="cs-CZ"/>
              </w:rPr>
              <w:t> 653 438</w:t>
            </w:r>
          </w:p>
        </w:tc>
      </w:tr>
      <w:tr w:rsidR="00D65D85" w:rsidRPr="00E675E1" w14:paraId="2F983265" w14:textId="77777777" w:rsidTr="001A1357">
        <w:tblPrEx>
          <w:shd w:val="clear" w:color="auto" w:fill="auto"/>
        </w:tblPrEx>
        <w:tc>
          <w:tcPr>
            <w:tcW w:w="9937" w:type="dxa"/>
            <w:gridSpan w:val="4"/>
          </w:tcPr>
          <w:p w14:paraId="78DC08D1" w14:textId="77777777" w:rsidR="00D65D85" w:rsidRDefault="00D65D85" w:rsidP="001A1357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>Ing. Ivana Martiníková, ředitelka organizace</w:t>
            </w:r>
          </w:p>
          <w:p w14:paraId="2C4B38B5" w14:textId="77777777" w:rsidR="00D65D85" w:rsidRDefault="00D65D85" w:rsidP="001A1357">
            <w:pPr>
              <w:shd w:val="clear" w:color="auto" w:fill="FFFFFF"/>
              <w:rPr>
                <w:rFonts w:cstheme="minorHAnsi"/>
              </w:rPr>
            </w:pPr>
          </w:p>
          <w:p w14:paraId="5CCB381E" w14:textId="77777777" w:rsidR="00D65D85" w:rsidRDefault="00D65D85" w:rsidP="001A1357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dne:</w:t>
            </w:r>
          </w:p>
          <w:p w14:paraId="7B34B1DC" w14:textId="77777777" w:rsidR="00D65D85" w:rsidRPr="00351499" w:rsidRDefault="00D65D85" w:rsidP="001A1357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7CD20EB3" w14:textId="77777777" w:rsidR="00D65D85" w:rsidRPr="00E675E1" w:rsidRDefault="00D65D85" w:rsidP="00D65D85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p w14:paraId="1349D173" w14:textId="77777777" w:rsidR="00D65D85" w:rsidRPr="00C4349A" w:rsidRDefault="00D65D85" w:rsidP="00053702">
      <w:pPr>
        <w:pStyle w:val="Odstavecseseznamem"/>
        <w:spacing w:after="0"/>
        <w:rPr>
          <w:rFonts w:ascii="Tahoma" w:hAnsi="Tahoma" w:cs="Tahoma"/>
        </w:rPr>
      </w:pPr>
    </w:p>
    <w:sectPr w:rsidR="00D65D85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406519">
    <w:abstractNumId w:val="8"/>
  </w:num>
  <w:num w:numId="2" w16cid:durableId="888878914">
    <w:abstractNumId w:val="7"/>
  </w:num>
  <w:num w:numId="3" w16cid:durableId="1146167038">
    <w:abstractNumId w:val="4"/>
  </w:num>
  <w:num w:numId="4" w16cid:durableId="1538739833">
    <w:abstractNumId w:val="9"/>
  </w:num>
  <w:num w:numId="5" w16cid:durableId="17243643">
    <w:abstractNumId w:val="6"/>
  </w:num>
  <w:num w:numId="6" w16cid:durableId="889153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9892076">
    <w:abstractNumId w:val="5"/>
  </w:num>
  <w:num w:numId="8" w16cid:durableId="1450591625">
    <w:abstractNumId w:val="3"/>
  </w:num>
  <w:num w:numId="9" w16cid:durableId="2036271011">
    <w:abstractNumId w:val="10"/>
  </w:num>
  <w:num w:numId="10" w16cid:durableId="2116442971">
    <w:abstractNumId w:val="1"/>
  </w:num>
  <w:num w:numId="11" w16cid:durableId="2063358597">
    <w:abstractNumId w:val="0"/>
  </w:num>
  <w:num w:numId="12" w16cid:durableId="123469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906FA"/>
    <w:rsid w:val="001A308A"/>
    <w:rsid w:val="001B437D"/>
    <w:rsid w:val="00254AC8"/>
    <w:rsid w:val="0028688B"/>
    <w:rsid w:val="00374C41"/>
    <w:rsid w:val="0039277D"/>
    <w:rsid w:val="003A3A34"/>
    <w:rsid w:val="0042172D"/>
    <w:rsid w:val="00424DFB"/>
    <w:rsid w:val="00474D1B"/>
    <w:rsid w:val="004D7D90"/>
    <w:rsid w:val="00562DAF"/>
    <w:rsid w:val="005826C5"/>
    <w:rsid w:val="00702256"/>
    <w:rsid w:val="00764D6E"/>
    <w:rsid w:val="00872CF8"/>
    <w:rsid w:val="008E5C00"/>
    <w:rsid w:val="0093383A"/>
    <w:rsid w:val="009C2506"/>
    <w:rsid w:val="009E6FE4"/>
    <w:rsid w:val="00A17ED6"/>
    <w:rsid w:val="00A5257B"/>
    <w:rsid w:val="00B20557"/>
    <w:rsid w:val="00B51275"/>
    <w:rsid w:val="00B5521F"/>
    <w:rsid w:val="00B70083"/>
    <w:rsid w:val="00BD5B7B"/>
    <w:rsid w:val="00C4349A"/>
    <w:rsid w:val="00CD506A"/>
    <w:rsid w:val="00CF389D"/>
    <w:rsid w:val="00CF5BE9"/>
    <w:rsid w:val="00D00FD5"/>
    <w:rsid w:val="00D1604E"/>
    <w:rsid w:val="00D56092"/>
    <w:rsid w:val="00D65D85"/>
    <w:rsid w:val="00D942FF"/>
    <w:rsid w:val="00E13227"/>
    <w:rsid w:val="00E32A3F"/>
    <w:rsid w:val="00EB63FD"/>
    <w:rsid w:val="00EB6FC1"/>
    <w:rsid w:val="00EF1305"/>
    <w:rsid w:val="00F50A1B"/>
    <w:rsid w:val="00F61FB4"/>
    <w:rsid w:val="00F6657D"/>
    <w:rsid w:val="00F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8780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6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65D85"/>
    <w:rPr>
      <w:color w:val="0000FF" w:themeColor="hyperlink"/>
      <w:u w:val="single"/>
    </w:rPr>
  </w:style>
  <w:style w:type="paragraph" w:customStyle="1" w:styleId="Default">
    <w:name w:val="Default"/>
    <w:rsid w:val="00D6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ikova@domov-ky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@Licence Ekonomicke</cp:lastModifiedBy>
  <cp:revision>2</cp:revision>
  <cp:lastPrinted>2024-08-06T09:20:00Z</cp:lastPrinted>
  <dcterms:created xsi:type="dcterms:W3CDTF">2024-08-14T07:54:00Z</dcterms:created>
  <dcterms:modified xsi:type="dcterms:W3CDTF">2024-08-14T07:54:00Z</dcterms:modified>
</cp:coreProperties>
</file>