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3E58" w14:textId="77777777" w:rsidR="00963CBF" w:rsidRDefault="00316302">
      <w:pPr>
        <w:spacing w:before="68"/>
        <w:ind w:right="120"/>
        <w:jc w:val="right"/>
        <w:rPr>
          <w:sz w:val="20"/>
        </w:rPr>
      </w:pPr>
      <w:r>
        <w:rPr>
          <w:color w:val="231F20"/>
          <w:sz w:val="20"/>
        </w:rPr>
        <w:t>2024/03770/OŠM/DSM</w:t>
      </w:r>
    </w:p>
    <w:p w14:paraId="4ACDA0E4" w14:textId="77777777" w:rsidR="00963CBF" w:rsidRDefault="00963CBF">
      <w:pPr>
        <w:pStyle w:val="Zkladntext"/>
        <w:spacing w:before="0"/>
        <w:ind w:left="0"/>
        <w:jc w:val="left"/>
        <w:rPr>
          <w:sz w:val="22"/>
        </w:rPr>
      </w:pPr>
    </w:p>
    <w:p w14:paraId="4DA22C62" w14:textId="77777777" w:rsidR="00963CBF" w:rsidRDefault="00963CBF">
      <w:pPr>
        <w:pStyle w:val="Zkladntext"/>
        <w:spacing w:before="7"/>
        <w:ind w:left="0"/>
        <w:jc w:val="left"/>
        <w:rPr>
          <w:sz w:val="19"/>
        </w:rPr>
      </w:pPr>
    </w:p>
    <w:p w14:paraId="618D9878" w14:textId="77777777" w:rsidR="00963CBF" w:rsidRDefault="00316302">
      <w:pPr>
        <w:ind w:left="101" w:right="104"/>
        <w:jc w:val="center"/>
        <w:rPr>
          <w:b/>
          <w:sz w:val="28"/>
        </w:rPr>
      </w:pPr>
      <w:r>
        <w:rPr>
          <w:b/>
          <w:color w:val="231F20"/>
          <w:sz w:val="28"/>
        </w:rPr>
        <w:t>Smlouva o poskytnutí dotace</w:t>
      </w:r>
    </w:p>
    <w:p w14:paraId="101F30E1" w14:textId="77777777" w:rsidR="00963CBF" w:rsidRDefault="00316302">
      <w:pPr>
        <w:spacing w:before="120"/>
        <w:ind w:left="101" w:right="106"/>
        <w:jc w:val="center"/>
      </w:pPr>
      <w:r>
        <w:rPr>
          <w:color w:val="231F20"/>
        </w:rPr>
        <w:t>uzavřená v 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17A2CFD4" w14:textId="77777777" w:rsidR="00963CBF" w:rsidRDefault="00963CBF">
      <w:pPr>
        <w:pStyle w:val="Zkladntext"/>
        <w:spacing w:before="0"/>
        <w:ind w:left="0"/>
        <w:jc w:val="left"/>
      </w:pPr>
    </w:p>
    <w:p w14:paraId="5C0BB24F" w14:textId="77777777" w:rsidR="00963CBF" w:rsidRDefault="00963CBF">
      <w:pPr>
        <w:pStyle w:val="Zkladntext"/>
        <w:spacing w:before="0"/>
        <w:ind w:left="0"/>
        <w:jc w:val="left"/>
      </w:pPr>
    </w:p>
    <w:p w14:paraId="47C466AD" w14:textId="77777777" w:rsidR="00963CBF" w:rsidRDefault="00963CBF">
      <w:pPr>
        <w:pStyle w:val="Zkladntext"/>
        <w:spacing w:before="8"/>
        <w:ind w:left="0"/>
        <w:jc w:val="left"/>
      </w:pPr>
    </w:p>
    <w:p w14:paraId="54A3DCDA" w14:textId="77777777" w:rsidR="00963CBF" w:rsidRDefault="00316302">
      <w:pPr>
        <w:pStyle w:val="Nadpis1"/>
        <w:spacing w:before="0"/>
        <w:ind w:left="118"/>
        <w:jc w:val="left"/>
      </w:pPr>
      <w:r>
        <w:rPr>
          <w:color w:val="231F20"/>
        </w:rPr>
        <w:t>Olomoucký kraj</w:t>
      </w:r>
    </w:p>
    <w:p w14:paraId="2D5C8784" w14:textId="77777777" w:rsidR="00963CBF" w:rsidRDefault="00316302">
      <w:pPr>
        <w:pStyle w:val="Zkladntext"/>
        <w:tabs>
          <w:tab w:val="left" w:pos="1677"/>
        </w:tabs>
        <w:spacing w:before="122"/>
        <w:ind w:left="118"/>
        <w:jc w:val="left"/>
      </w:pPr>
      <w:r>
        <w:rPr>
          <w:color w:val="231F20"/>
        </w:rPr>
        <w:t>Sídlo:</w:t>
      </w:r>
      <w:r>
        <w:rPr>
          <w:color w:val="231F20"/>
        </w:rPr>
        <w:tab/>
        <w:t>Jeremenkova 1191/40a, 779 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Olomouc</w:t>
      </w:r>
    </w:p>
    <w:p w14:paraId="51C79125" w14:textId="77777777" w:rsidR="00963CBF" w:rsidRDefault="00316302">
      <w:pPr>
        <w:pStyle w:val="Zkladntext"/>
        <w:tabs>
          <w:tab w:val="left" w:pos="1677"/>
        </w:tabs>
        <w:spacing w:before="81"/>
        <w:ind w:left="118"/>
        <w:jc w:val="left"/>
      </w:pPr>
      <w:r>
        <w:rPr>
          <w:color w:val="231F20"/>
        </w:rPr>
        <w:t>IČO:</w:t>
      </w:r>
      <w:r>
        <w:rPr>
          <w:color w:val="231F20"/>
        </w:rPr>
        <w:tab/>
        <w:t>60609460</w:t>
      </w:r>
    </w:p>
    <w:p w14:paraId="70180923" w14:textId="77777777" w:rsidR="00963CBF" w:rsidRDefault="00316302">
      <w:pPr>
        <w:pStyle w:val="Zkladntext"/>
        <w:tabs>
          <w:tab w:val="left" w:pos="1677"/>
        </w:tabs>
        <w:spacing w:before="78"/>
        <w:ind w:left="118"/>
        <w:jc w:val="left"/>
      </w:pPr>
      <w:r>
        <w:rPr>
          <w:color w:val="231F20"/>
        </w:rPr>
        <w:t>DIČ:</w:t>
      </w:r>
      <w:r>
        <w:rPr>
          <w:color w:val="231F20"/>
        </w:rPr>
        <w:tab/>
        <w:t>CZ60609460</w:t>
      </w:r>
    </w:p>
    <w:p w14:paraId="6523759B" w14:textId="2ABF31EA" w:rsidR="00963CBF" w:rsidRDefault="00316302" w:rsidP="00CA2691">
      <w:pPr>
        <w:pStyle w:val="Zkladntext"/>
        <w:tabs>
          <w:tab w:val="left" w:pos="1677"/>
          <w:tab w:val="left" w:pos="2632"/>
          <w:tab w:val="left" w:pos="3720"/>
          <w:tab w:val="left" w:pos="5163"/>
          <w:tab w:val="left" w:pos="6116"/>
          <w:tab w:val="left" w:pos="7561"/>
          <w:tab w:val="left" w:pos="8620"/>
        </w:tabs>
        <w:spacing w:before="76" w:line="242" w:lineRule="auto"/>
        <w:ind w:left="118" w:right="122"/>
      </w:pPr>
      <w:r>
        <w:rPr>
          <w:color w:val="231F20"/>
        </w:rPr>
        <w:t>Zastoupený:</w:t>
      </w:r>
      <w:r>
        <w:rPr>
          <w:color w:val="231F20"/>
        </w:rPr>
        <w:tab/>
      </w:r>
      <w:r w:rsidR="00CA2691">
        <w:rPr>
          <w:color w:val="231F20"/>
        </w:rPr>
        <w:t>xxxxx</w:t>
      </w:r>
      <w:r>
        <w:rPr>
          <w:color w:val="231F20"/>
        </w:rPr>
        <w:t>,</w:t>
      </w:r>
      <w:r w:rsidR="00CA2691">
        <w:rPr>
          <w:color w:val="231F20"/>
        </w:rPr>
        <w:t xml:space="preserve"> </w:t>
      </w:r>
      <w:r>
        <w:rPr>
          <w:color w:val="231F20"/>
        </w:rPr>
        <w:t>uvolněným</w:t>
      </w:r>
      <w:r w:rsidR="00CA2691">
        <w:rPr>
          <w:color w:val="231F20"/>
        </w:rPr>
        <w:t xml:space="preserve"> </w:t>
      </w:r>
      <w:r>
        <w:rPr>
          <w:color w:val="231F20"/>
        </w:rPr>
        <w:t>členem</w:t>
      </w:r>
      <w:r w:rsidR="00CA2691">
        <w:rPr>
          <w:color w:val="231F20"/>
        </w:rPr>
        <w:t xml:space="preserve"> </w:t>
      </w:r>
      <w:r>
        <w:rPr>
          <w:color w:val="231F20"/>
        </w:rPr>
        <w:t>Rady Olomouckého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kraje</w:t>
      </w:r>
    </w:p>
    <w:p w14:paraId="1C6398BF" w14:textId="659D851C" w:rsidR="00963CBF" w:rsidRDefault="00316302">
      <w:pPr>
        <w:pStyle w:val="Zkladntext"/>
        <w:tabs>
          <w:tab w:val="left" w:pos="2243"/>
        </w:tabs>
        <w:spacing w:before="74" w:line="345" w:lineRule="auto"/>
        <w:ind w:left="118" w:right="312"/>
        <w:jc w:val="left"/>
      </w:pPr>
      <w:r>
        <w:rPr>
          <w:color w:val="231F20"/>
        </w:rPr>
        <w:t>Bankovní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spojení</w:t>
      </w:r>
      <w:r w:rsidR="009742A4">
        <w:rPr>
          <w:color w:val="231F20"/>
        </w:rPr>
        <w:t xml:space="preserve">: xxxxx                                                                                                          </w:t>
      </w:r>
      <w:r>
        <w:rPr>
          <w:color w:val="231F20"/>
        </w:rPr>
        <w:t>(dále jen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„poskytovatel")</w:t>
      </w:r>
    </w:p>
    <w:p w14:paraId="33E79E45" w14:textId="77777777" w:rsidR="00963CBF" w:rsidRDefault="00316302">
      <w:pPr>
        <w:pStyle w:val="Zkladntext"/>
        <w:spacing w:before="122"/>
        <w:ind w:left="118"/>
        <w:jc w:val="left"/>
      </w:pPr>
      <w:r>
        <w:rPr>
          <w:color w:val="231F20"/>
        </w:rPr>
        <w:t>a</w:t>
      </w:r>
    </w:p>
    <w:p w14:paraId="57AF9076" w14:textId="77777777" w:rsidR="00963CBF" w:rsidRDefault="00963CBF">
      <w:pPr>
        <w:pStyle w:val="Zkladntext"/>
        <w:spacing w:before="7"/>
        <w:ind w:left="0"/>
        <w:jc w:val="left"/>
        <w:rPr>
          <w:sz w:val="20"/>
        </w:rPr>
      </w:pPr>
    </w:p>
    <w:p w14:paraId="0545DF14" w14:textId="77777777" w:rsidR="00963CBF" w:rsidRDefault="00316302">
      <w:pPr>
        <w:pStyle w:val="Nadpis1"/>
        <w:spacing w:before="0"/>
        <w:ind w:left="118"/>
        <w:jc w:val="left"/>
      </w:pPr>
      <w:r>
        <w:rPr>
          <w:color w:val="231F20"/>
        </w:rPr>
        <w:t>Vysoká škola chemicko-technologická v Praze</w:t>
      </w:r>
    </w:p>
    <w:p w14:paraId="648BBE6E" w14:textId="77777777" w:rsidR="00963CBF" w:rsidRDefault="00316302">
      <w:pPr>
        <w:pStyle w:val="Zkladntext"/>
        <w:tabs>
          <w:tab w:val="left" w:pos="1677"/>
        </w:tabs>
        <w:spacing w:before="122"/>
        <w:ind w:left="118"/>
        <w:jc w:val="left"/>
      </w:pPr>
      <w:r>
        <w:rPr>
          <w:color w:val="231F20"/>
        </w:rPr>
        <w:t>Sídlo:</w:t>
      </w:r>
      <w:r>
        <w:rPr>
          <w:color w:val="231F20"/>
        </w:rPr>
        <w:tab/>
        <w:t>Technická 1905/5, 160 00 Praha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6</w:t>
      </w:r>
    </w:p>
    <w:p w14:paraId="60157CB1" w14:textId="77777777" w:rsidR="00963CBF" w:rsidRDefault="00316302">
      <w:pPr>
        <w:pStyle w:val="Zkladntext"/>
        <w:tabs>
          <w:tab w:val="left" w:pos="1677"/>
        </w:tabs>
        <w:spacing w:before="81"/>
        <w:ind w:left="118"/>
        <w:jc w:val="left"/>
      </w:pPr>
      <w:r>
        <w:rPr>
          <w:color w:val="231F20"/>
        </w:rPr>
        <w:t>IČO:</w:t>
      </w:r>
      <w:r>
        <w:rPr>
          <w:color w:val="231F20"/>
        </w:rPr>
        <w:tab/>
        <w:t>60461373</w:t>
      </w:r>
    </w:p>
    <w:p w14:paraId="335D805F" w14:textId="5AC7F8D0" w:rsidR="00963CBF" w:rsidRDefault="00316302">
      <w:pPr>
        <w:pStyle w:val="Zkladntext"/>
        <w:tabs>
          <w:tab w:val="left" w:pos="1677"/>
          <w:tab w:val="left" w:pos="2244"/>
        </w:tabs>
        <w:spacing w:before="78" w:line="326" w:lineRule="auto"/>
        <w:ind w:left="118" w:right="2630" w:hanging="1"/>
        <w:jc w:val="left"/>
      </w:pPr>
      <w:r>
        <w:rPr>
          <w:color w:val="231F20"/>
        </w:rPr>
        <w:t>Zastoupená:</w:t>
      </w:r>
      <w:r>
        <w:rPr>
          <w:color w:val="231F20"/>
        </w:rPr>
        <w:tab/>
      </w:r>
      <w:r w:rsidR="009742A4">
        <w:rPr>
          <w:color w:val="231F20"/>
        </w:rPr>
        <w:t>xxxxx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rektorem </w:t>
      </w:r>
      <w:r w:rsidR="009742A4">
        <w:rPr>
          <w:color w:val="231F20"/>
        </w:rPr>
        <w:t xml:space="preserve">                                                         </w:t>
      </w:r>
      <w:r>
        <w:rPr>
          <w:color w:val="231F20"/>
        </w:rPr>
        <w:t>Bankovní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spojení:</w:t>
      </w:r>
      <w:r w:rsidR="009742A4">
        <w:rPr>
          <w:color w:val="231F20"/>
        </w:rPr>
        <w:t xml:space="preserve"> xxxxx                                                                                  </w:t>
      </w:r>
      <w:r>
        <w:rPr>
          <w:color w:val="231F20"/>
          <w:w w:val="99"/>
        </w:rPr>
        <w:t xml:space="preserve"> </w:t>
      </w:r>
      <w:r>
        <w:rPr>
          <w:color w:val="231F20"/>
        </w:rPr>
        <w:t>(dále jen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„příjemce")</w:t>
      </w:r>
    </w:p>
    <w:p w14:paraId="25128FD5" w14:textId="77777777" w:rsidR="00963CBF" w:rsidRDefault="00963CBF">
      <w:pPr>
        <w:pStyle w:val="Zkladntext"/>
        <w:spacing w:before="0"/>
        <w:ind w:left="0"/>
        <w:jc w:val="left"/>
        <w:rPr>
          <w:sz w:val="26"/>
        </w:rPr>
      </w:pPr>
    </w:p>
    <w:p w14:paraId="5424B79E" w14:textId="77777777" w:rsidR="00963CBF" w:rsidRDefault="00316302">
      <w:pPr>
        <w:pStyle w:val="Nadpis1"/>
        <w:spacing w:before="203"/>
        <w:ind w:left="2124" w:right="2130"/>
      </w:pPr>
      <w:r>
        <w:rPr>
          <w:color w:val="231F20"/>
        </w:rPr>
        <w:t>uzavírají níže uvedeného dne, měsíce a roku tuto smlouvu o poskytnutí dotace:</w:t>
      </w:r>
    </w:p>
    <w:p w14:paraId="1FA50F0D" w14:textId="77777777" w:rsidR="00963CBF" w:rsidRDefault="00963CBF">
      <w:pPr>
        <w:pStyle w:val="Zkladntext"/>
        <w:spacing w:before="0"/>
        <w:ind w:left="0"/>
        <w:jc w:val="left"/>
        <w:rPr>
          <w:b/>
          <w:sz w:val="26"/>
        </w:rPr>
      </w:pPr>
    </w:p>
    <w:p w14:paraId="1A3F39B8" w14:textId="77777777" w:rsidR="00963CBF" w:rsidRDefault="00316302">
      <w:pPr>
        <w:spacing w:before="180"/>
        <w:ind w:left="101" w:right="101"/>
        <w:jc w:val="center"/>
        <w:rPr>
          <w:b/>
          <w:sz w:val="24"/>
        </w:rPr>
      </w:pPr>
      <w:r>
        <w:rPr>
          <w:b/>
          <w:color w:val="231F20"/>
          <w:sz w:val="24"/>
        </w:rPr>
        <w:t>I.</w:t>
      </w:r>
    </w:p>
    <w:p w14:paraId="06961313" w14:textId="77777777" w:rsidR="00963CBF" w:rsidRDefault="00963CBF">
      <w:pPr>
        <w:pStyle w:val="Zkladntext"/>
        <w:spacing w:before="9"/>
        <w:ind w:left="0"/>
        <w:jc w:val="left"/>
        <w:rPr>
          <w:b/>
          <w:sz w:val="20"/>
        </w:rPr>
      </w:pPr>
    </w:p>
    <w:p w14:paraId="46668177" w14:textId="77777777" w:rsidR="00963CBF" w:rsidRDefault="00316302">
      <w:pPr>
        <w:pStyle w:val="Odstavecseseznamem"/>
        <w:numPr>
          <w:ilvl w:val="0"/>
          <w:numId w:val="3"/>
        </w:numPr>
        <w:tabs>
          <w:tab w:val="left" w:pos="685"/>
        </w:tabs>
        <w:spacing w:before="1"/>
        <w:ind w:right="118" w:hanging="566"/>
        <w:jc w:val="both"/>
        <w:rPr>
          <w:sz w:val="24"/>
        </w:rPr>
      </w:pPr>
      <w:r>
        <w:rPr>
          <w:color w:val="231F20"/>
          <w:sz w:val="24"/>
        </w:rPr>
        <w:t>Poskytovatel se na základě této smlouvy zavazuje poskytnout příjemci dotaci ve výši 40 000 Kč, slovy: čtyřicet tisíc korun českých (dále jen „dotace") jako individuální dotaci z rozpočtu Olomouckého kraje 2024 v oblasti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školství.</w:t>
      </w:r>
    </w:p>
    <w:p w14:paraId="65818998" w14:textId="7404D400" w:rsidR="00963CBF" w:rsidRDefault="00316302">
      <w:pPr>
        <w:pStyle w:val="Odstavecseseznamem"/>
        <w:numPr>
          <w:ilvl w:val="0"/>
          <w:numId w:val="3"/>
        </w:numPr>
        <w:tabs>
          <w:tab w:val="left" w:pos="683"/>
          <w:tab w:val="left" w:pos="685"/>
        </w:tabs>
        <w:ind w:right="117"/>
        <w:rPr>
          <w:sz w:val="24"/>
        </w:rPr>
      </w:pPr>
      <w:r>
        <w:rPr>
          <w:color w:val="231F20"/>
          <w:sz w:val="24"/>
        </w:rPr>
        <w:t>Účelem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poskytnutí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dotace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částečná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úhrada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výdajů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činnost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příjemce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rámci projektu „Chemická centra VŠCHT Praha </w:t>
      </w:r>
      <w:r w:rsidR="005E5468">
        <w:rPr>
          <w:color w:val="231F20"/>
          <w:sz w:val="24"/>
        </w:rPr>
        <w:t>–</w:t>
      </w:r>
      <w:r>
        <w:rPr>
          <w:color w:val="231F20"/>
          <w:sz w:val="24"/>
        </w:rPr>
        <w:t xml:space="preserve"> Olomouc</w:t>
      </w:r>
      <w:r w:rsidR="005E5468">
        <w:rPr>
          <w:color w:val="231F20"/>
          <w:sz w:val="24"/>
        </w:rPr>
        <w:t>“</w:t>
      </w:r>
      <w:r>
        <w:rPr>
          <w:color w:val="231F20"/>
          <w:sz w:val="24"/>
        </w:rPr>
        <w:t xml:space="preserve"> (dále jen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z w:val="24"/>
        </w:rPr>
        <w:t>„činnost</w:t>
      </w:r>
      <w:r w:rsidR="005E5468">
        <w:rPr>
          <w:color w:val="231F20"/>
          <w:sz w:val="24"/>
        </w:rPr>
        <w:t>“</w:t>
      </w:r>
      <w:r>
        <w:rPr>
          <w:color w:val="231F20"/>
          <w:sz w:val="24"/>
        </w:rPr>
        <w:t>).</w:t>
      </w:r>
    </w:p>
    <w:p w14:paraId="3588847B" w14:textId="77777777" w:rsidR="00963CBF" w:rsidRDefault="00316302" w:rsidP="0093238C">
      <w:pPr>
        <w:pStyle w:val="Odstavecseseznamem"/>
        <w:numPr>
          <w:ilvl w:val="0"/>
          <w:numId w:val="3"/>
        </w:numPr>
        <w:tabs>
          <w:tab w:val="left" w:pos="685"/>
        </w:tabs>
        <w:ind w:right="118"/>
        <w:jc w:val="both"/>
        <w:rPr>
          <w:sz w:val="24"/>
        </w:rPr>
      </w:pPr>
      <w:r>
        <w:rPr>
          <w:color w:val="231F20"/>
          <w:sz w:val="24"/>
        </w:rPr>
        <w:t>Dotace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bude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poskytnuta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převodem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bankovní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účet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příjemce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uvedený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záhlaví této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smlouvy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21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dnů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nabytí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účinnosti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této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smlouvy</w:t>
      </w:r>
      <w:r>
        <w:rPr>
          <w:i/>
          <w:color w:val="231F20"/>
          <w:sz w:val="24"/>
        </w:rPr>
        <w:t>.</w:t>
      </w:r>
      <w:r>
        <w:rPr>
          <w:i/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poskytnutí dotace se pro účely této smlouvy považuje den odepsání finančních prostředků z účtu poskytovatele ve prospěch účtu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příjemce.</w:t>
      </w:r>
    </w:p>
    <w:p w14:paraId="514F2A9D" w14:textId="77777777" w:rsidR="00963CBF" w:rsidRDefault="00316302" w:rsidP="0093238C">
      <w:pPr>
        <w:pStyle w:val="Odstavecseseznamem"/>
        <w:numPr>
          <w:ilvl w:val="0"/>
          <w:numId w:val="3"/>
        </w:numPr>
        <w:tabs>
          <w:tab w:val="left" w:pos="683"/>
          <w:tab w:val="left" w:pos="685"/>
        </w:tabs>
        <w:spacing w:before="125" w:line="274" w:lineRule="exact"/>
        <w:ind w:right="123"/>
        <w:jc w:val="both"/>
        <w:rPr>
          <w:i/>
          <w:sz w:val="24"/>
        </w:rPr>
      </w:pPr>
      <w:r>
        <w:rPr>
          <w:color w:val="231F20"/>
          <w:sz w:val="24"/>
        </w:rPr>
        <w:t>Dotace se poskytuje na účel stanovený v čl. I odst. 2 této smlouvy jako dotace neinvestiční</w:t>
      </w:r>
      <w:r>
        <w:rPr>
          <w:i/>
          <w:color w:val="231F20"/>
          <w:sz w:val="24"/>
        </w:rPr>
        <w:t>.</w:t>
      </w:r>
    </w:p>
    <w:p w14:paraId="6522B142" w14:textId="77777777" w:rsidR="00963CBF" w:rsidRDefault="00316302" w:rsidP="0093238C">
      <w:pPr>
        <w:pStyle w:val="Zkladntext"/>
        <w:spacing w:before="117"/>
      </w:pPr>
      <w:r>
        <w:rPr>
          <w:color w:val="231F20"/>
        </w:rPr>
        <w:t>Pro účely této smlouvy se neinvestiční dotací rozumí dotace, která musí být použita na úhradu jiných výdajů než:</w:t>
      </w:r>
    </w:p>
    <w:p w14:paraId="7EF72436" w14:textId="77777777" w:rsidR="00963CBF" w:rsidRDefault="00963CBF">
      <w:pPr>
        <w:sectPr w:rsidR="00963CBF">
          <w:footerReference w:type="default" r:id="rId7"/>
          <w:type w:val="continuous"/>
          <w:pgSz w:w="11910" w:h="16840"/>
          <w:pgMar w:top="640" w:right="1300" w:bottom="920" w:left="1300" w:header="708" w:footer="738" w:gutter="0"/>
          <w:pgNumType w:start="1"/>
          <w:cols w:space="708"/>
        </w:sectPr>
      </w:pPr>
    </w:p>
    <w:p w14:paraId="6A3539C1" w14:textId="62190793" w:rsidR="00963CBF" w:rsidRDefault="00316302">
      <w:pPr>
        <w:pStyle w:val="Odstavecseseznamem"/>
        <w:numPr>
          <w:ilvl w:val="1"/>
          <w:numId w:val="3"/>
        </w:numPr>
        <w:tabs>
          <w:tab w:val="left" w:pos="1112"/>
        </w:tabs>
        <w:spacing w:before="77"/>
        <w:ind w:right="122"/>
        <w:jc w:val="both"/>
        <w:rPr>
          <w:sz w:val="24"/>
        </w:rPr>
      </w:pPr>
      <w:r>
        <w:rPr>
          <w:color w:val="231F20"/>
          <w:sz w:val="24"/>
        </w:rPr>
        <w:lastRenderedPageBreak/>
        <w:t>výdajů spojených s pořízením hmotného majetku dle § 26 odst. 2 zákona č. 586/1992 Sb., o daních z příjmů, ve znění pozdějších předpisů (dále jen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 xml:space="preserve">„cit. </w:t>
      </w:r>
      <w:r w:rsidR="000D1EE8">
        <w:rPr>
          <w:color w:val="231F20"/>
          <w:sz w:val="24"/>
        </w:rPr>
        <w:t>z</w:t>
      </w:r>
      <w:r>
        <w:rPr>
          <w:color w:val="231F20"/>
          <w:sz w:val="24"/>
        </w:rPr>
        <w:t>ákona</w:t>
      </w:r>
      <w:r w:rsidR="000D1EE8">
        <w:rPr>
          <w:color w:val="231F20"/>
          <w:sz w:val="24"/>
        </w:rPr>
        <w:t>“</w:t>
      </w:r>
      <w:r>
        <w:rPr>
          <w:color w:val="231F20"/>
          <w:sz w:val="24"/>
        </w:rPr>
        <w:t>),</w:t>
      </w:r>
    </w:p>
    <w:p w14:paraId="16F590FC" w14:textId="77777777" w:rsidR="00963CBF" w:rsidRDefault="00316302">
      <w:pPr>
        <w:pStyle w:val="Odstavecseseznamem"/>
        <w:numPr>
          <w:ilvl w:val="1"/>
          <w:numId w:val="3"/>
        </w:numPr>
        <w:tabs>
          <w:tab w:val="left" w:pos="1112"/>
        </w:tabs>
        <w:jc w:val="both"/>
        <w:rPr>
          <w:sz w:val="24"/>
        </w:rPr>
      </w:pPr>
      <w:r>
        <w:rPr>
          <w:color w:val="231F20"/>
          <w:sz w:val="24"/>
        </w:rPr>
        <w:t>výdajů spojených s pořízením nehmotného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majetku,</w:t>
      </w:r>
    </w:p>
    <w:p w14:paraId="65C7CE4A" w14:textId="77777777" w:rsidR="00963CBF" w:rsidRDefault="00316302">
      <w:pPr>
        <w:pStyle w:val="Odstavecseseznamem"/>
        <w:numPr>
          <w:ilvl w:val="1"/>
          <w:numId w:val="3"/>
        </w:numPr>
        <w:tabs>
          <w:tab w:val="left" w:pos="1111"/>
          <w:tab w:val="left" w:pos="1112"/>
        </w:tabs>
        <w:ind w:right="123"/>
        <w:rPr>
          <w:sz w:val="24"/>
        </w:rPr>
      </w:pPr>
      <w:r>
        <w:rPr>
          <w:color w:val="231F20"/>
          <w:sz w:val="24"/>
        </w:rPr>
        <w:t>výdajů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spojených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technickým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zhodnocením,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rekonstrukcí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modernizací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ve smyslu § 33 cit.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zákona.</w:t>
      </w:r>
    </w:p>
    <w:p w14:paraId="3D41D64F" w14:textId="77777777" w:rsidR="00963CBF" w:rsidRDefault="00963CBF">
      <w:pPr>
        <w:pStyle w:val="Zkladntext"/>
        <w:spacing w:before="0"/>
        <w:ind w:left="0"/>
        <w:jc w:val="left"/>
        <w:rPr>
          <w:sz w:val="26"/>
        </w:rPr>
      </w:pPr>
    </w:p>
    <w:p w14:paraId="21C75DFB" w14:textId="77777777" w:rsidR="00963CBF" w:rsidRDefault="00316302">
      <w:pPr>
        <w:pStyle w:val="Nadpis1"/>
        <w:ind w:right="100"/>
      </w:pPr>
      <w:r>
        <w:rPr>
          <w:color w:val="231F20"/>
        </w:rPr>
        <w:t>II.</w:t>
      </w:r>
    </w:p>
    <w:p w14:paraId="786D3262" w14:textId="77777777" w:rsidR="00963CBF" w:rsidRDefault="00963CBF">
      <w:pPr>
        <w:pStyle w:val="Zkladntext"/>
        <w:spacing w:before="9"/>
        <w:ind w:left="0"/>
        <w:jc w:val="left"/>
        <w:rPr>
          <w:b/>
          <w:sz w:val="20"/>
        </w:rPr>
      </w:pPr>
    </w:p>
    <w:p w14:paraId="1032CF64" w14:textId="219BD71C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spacing w:before="0"/>
        <w:ind w:right="117" w:hanging="566"/>
        <w:jc w:val="both"/>
        <w:rPr>
          <w:sz w:val="24"/>
        </w:rPr>
      </w:pPr>
      <w:r>
        <w:rPr>
          <w:color w:val="231F20"/>
          <w:sz w:val="24"/>
        </w:rPr>
        <w:t>Příjemce dotaci přijímá a zavazuje se ji použít výlučně v souladu s účelem poskytnutí dotace dle čl. I odst. 2 a 4 této smlouvy, v souladu s podmínkami stanovenými   v   této   smlouvě,   s usnesením    Rady   Olomouckého   kraje  č.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UR/113/42/2024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22.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7.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2024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souladu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Zásadami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poskytování finanční podpory z rozpočtu Olomouckého kraje dále jen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„Zásady</w:t>
      </w:r>
      <w:r w:rsidR="0080267A">
        <w:rPr>
          <w:color w:val="231F20"/>
          <w:sz w:val="24"/>
        </w:rPr>
        <w:t>“</w:t>
      </w:r>
      <w:r>
        <w:rPr>
          <w:color w:val="231F20"/>
          <w:sz w:val="24"/>
        </w:rPr>
        <w:t>).</w:t>
      </w:r>
    </w:p>
    <w:p w14:paraId="084AF77D" w14:textId="77777777" w:rsidR="00963CBF" w:rsidRDefault="00316302">
      <w:pPr>
        <w:pStyle w:val="Zkladntext"/>
        <w:ind w:right="121" w:hanging="1"/>
      </w:pPr>
      <w:r>
        <w:rPr>
          <w:color w:val="231F20"/>
        </w:rPr>
        <w:t>Příjemce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povinen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řídit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Zásadami.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odchylného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Zásad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této smlouvy mají přednost ustanovení této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smlouvy.</w:t>
      </w:r>
    </w:p>
    <w:p w14:paraId="3F0526D0" w14:textId="77777777" w:rsidR="00963CBF" w:rsidRDefault="00316302">
      <w:pPr>
        <w:pStyle w:val="Zkladntext"/>
        <w:ind w:right="115"/>
      </w:pPr>
      <w:r>
        <w:rPr>
          <w:color w:val="231F20"/>
        </w:rPr>
        <w:t>Příjemce je oprávněn dotaci použít pouze na odměnu vedoucímu centra (DPP), nákup chemikálií, laboratorních pomůcek, drobných přístrojů, vstupné na odborné exkurze, drobné občerstvení pro účastníky.</w:t>
      </w:r>
    </w:p>
    <w:p w14:paraId="43AEE070" w14:textId="23B2097D" w:rsidR="00963CBF" w:rsidRDefault="00316302">
      <w:pPr>
        <w:pStyle w:val="Zkladntext"/>
        <w:ind w:right="117"/>
      </w:pPr>
      <w:r>
        <w:rPr>
          <w:color w:val="231F20"/>
        </w:rPr>
        <w:t>Je-li příjemce plátce daně z přidané hodnoty (dále jen „DPH</w:t>
      </w:r>
      <w:r w:rsidR="003F6318">
        <w:rPr>
          <w:color w:val="231F20"/>
        </w:rPr>
        <w:t>“</w:t>
      </w:r>
      <w:r>
        <w:rPr>
          <w:color w:val="231F20"/>
        </w:rPr>
        <w:t>) a může uplatnit odpočet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vazbě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ekonomickou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činnost,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zakládá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nárok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odpočet daně podle § 72 odst. 1 zákona č. 235/2004 Sb., o dani z přidané hodnoty,        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platném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„ZDPH</w:t>
      </w:r>
      <w:r w:rsidR="003F6318">
        <w:rPr>
          <w:color w:val="231F20"/>
        </w:rPr>
        <w:t>“</w:t>
      </w:r>
      <w:r>
        <w:rPr>
          <w:color w:val="231F20"/>
        </w:rPr>
        <w:t>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částečné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výši (tj.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poměrné výši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§ 75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ZDPH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krácené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76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ZDPH,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popř.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kombinací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obou způsobů), nelze z dotace uhradit DPH ve výši tohoto odpočtu DPH, na který příjemci vznikl nárok. V případě, že si příjemce </w:t>
      </w:r>
      <w:r>
        <w:rPr>
          <w:color w:val="231F20"/>
          <w:w w:val="140"/>
        </w:rPr>
        <w:t xml:space="preserve">- </w:t>
      </w:r>
      <w:r>
        <w:rPr>
          <w:color w:val="231F20"/>
        </w:rPr>
        <w:t xml:space="preserve">plátce DPH bude uplatňovat nárok na odpočet daně z přijatých zdanitelných plnění v souvislosti s realizací činnosti, na kterou byla dotace poskytnuta, a to nárok na odpočet v plné či částečné výši, uvádí na veškerých vyúčtovacích dokladech finanční částky bez DPH odpovídající výši, která mohla být uplatněna v odpočtu daně na základě daňového přiznání k DPH. Příjemce </w:t>
      </w:r>
      <w:r>
        <w:rPr>
          <w:color w:val="231F20"/>
          <w:w w:val="140"/>
        </w:rPr>
        <w:t xml:space="preserve">- </w:t>
      </w:r>
      <w:r>
        <w:rPr>
          <w:color w:val="231F20"/>
        </w:rPr>
        <w:t>neplátce DPH uvádí na veškerých vyúčtovacích dokladech finanční částky včetně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DPH.</w:t>
      </w:r>
    </w:p>
    <w:p w14:paraId="26E51197" w14:textId="77777777" w:rsidR="00963CBF" w:rsidRDefault="00316302">
      <w:pPr>
        <w:pStyle w:val="Zkladntext"/>
        <w:ind w:right="115"/>
      </w:pPr>
      <w:r>
        <w:rPr>
          <w:color w:val="231F20"/>
        </w:rPr>
        <w:t>V případě, že se příjemce stane plátcem DPH v průběhu čerpání dotace a jeho právo uplatnit odpočet DPH při registraci podle 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14:paraId="3CE08CB9" w14:textId="77777777" w:rsidR="00963CBF" w:rsidRDefault="00316302">
      <w:pPr>
        <w:pStyle w:val="Zkladntext"/>
      </w:pPr>
      <w:r>
        <w:rPr>
          <w:color w:val="231F20"/>
        </w:rPr>
        <w:t>V případě, že dojde k registraci příjemce k DPH a příjemce při registraci    podle</w:t>
      </w:r>
    </w:p>
    <w:p w14:paraId="0D8357E6" w14:textId="77777777" w:rsidR="00963CBF" w:rsidRDefault="00316302">
      <w:pPr>
        <w:pStyle w:val="Zkladntext"/>
        <w:spacing w:before="0"/>
        <w:ind w:right="122"/>
      </w:pPr>
      <w:r>
        <w:rPr>
          <w:color w:val="231F20"/>
        </w:rPr>
        <w:t>§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ZDPH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oprávněn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vyúčtování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dotace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uplatnit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nárok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odpočet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DPH, jež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byla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uhrazena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dotace,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příjemce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povinen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vrátit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poskytovateli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výši nároku odpočtu DPH, který byl čerpán jako uznatelný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výdaj.</w:t>
      </w:r>
    </w:p>
    <w:p w14:paraId="02CFB8FF" w14:textId="77777777" w:rsidR="00963CBF" w:rsidRDefault="00316302">
      <w:pPr>
        <w:pStyle w:val="Zkladntext"/>
        <w:spacing w:before="119"/>
      </w:pPr>
      <w:r>
        <w:rPr>
          <w:color w:val="231F20"/>
        </w:rPr>
        <w:t>Pokud má příjemce (plátce daně) ve shodě s opravou odpočtu podle § 75 ZDPH,</w:t>
      </w:r>
    </w:p>
    <w:p w14:paraId="75F8C914" w14:textId="77777777" w:rsidR="00963CBF" w:rsidRDefault="00316302">
      <w:pPr>
        <w:pStyle w:val="Zkladntext"/>
        <w:spacing w:before="0"/>
      </w:pPr>
      <w:r>
        <w:rPr>
          <w:color w:val="231F20"/>
        </w:rPr>
        <w:t>vypořádáním    odpočtu    podle    § 76    ZDPH    a    úpravou    odpočtu   podle</w:t>
      </w:r>
    </w:p>
    <w:p w14:paraId="6446F82E" w14:textId="77777777" w:rsidR="00963CBF" w:rsidRDefault="00316302">
      <w:pPr>
        <w:pStyle w:val="Zkladntext"/>
        <w:spacing w:before="0"/>
        <w:ind w:right="121"/>
      </w:pPr>
      <w:r>
        <w:rPr>
          <w:color w:val="231F20"/>
        </w:rPr>
        <w:t>§ 78 až 78c ZDPH právo zvýšit ve lhůtě stanovené ZDPH svůj původně uplatněný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nárok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odpočet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DPH,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zdanitelná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hrazená</w:t>
      </w:r>
    </w:p>
    <w:p w14:paraId="11ABED7B" w14:textId="77777777" w:rsidR="00963CBF" w:rsidRDefault="00963CBF">
      <w:pPr>
        <w:sectPr w:rsidR="00963CBF">
          <w:pgSz w:w="11910" w:h="16840"/>
          <w:pgMar w:top="1340" w:right="1300" w:bottom="920" w:left="1300" w:header="0" w:footer="738" w:gutter="0"/>
          <w:cols w:space="708"/>
        </w:sectPr>
      </w:pPr>
    </w:p>
    <w:p w14:paraId="0BC24953" w14:textId="77777777" w:rsidR="00963CBF" w:rsidRDefault="00316302">
      <w:pPr>
        <w:pStyle w:val="Zkladntext"/>
        <w:spacing w:before="77"/>
        <w:ind w:right="123"/>
      </w:pPr>
      <w:r>
        <w:rPr>
          <w:color w:val="231F20"/>
        </w:rPr>
        <w:lastRenderedPageBreak/>
        <w:t>včetně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příslušné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DPH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dotace,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příjemce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povinen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upravit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vrátit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poskytovateli část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dotace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uplatněného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odpočtu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DPH,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jednoho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měsíce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dne, kdy příslušný státní orgán vrátil příjemci uhrazenou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DPH.</w:t>
      </w:r>
    </w:p>
    <w:p w14:paraId="3783AD20" w14:textId="77777777" w:rsidR="00963CBF" w:rsidRDefault="00316302">
      <w:pPr>
        <w:pStyle w:val="Zkladntext"/>
        <w:ind w:right="124"/>
      </w:pPr>
      <w:r>
        <w:rPr>
          <w:color w:val="231F20"/>
        </w:rPr>
        <w:t>Nevrátí-li příjemce takovou část dotace v této lhůtě, dopustí se porušení rozpočtové kázně ve smyslu ust. § 22 zákona č. 250/2000 Sb., o rozpočtových pravidlech územních rozpočtů, ve znění pozdějších předpisů.</w:t>
      </w:r>
    </w:p>
    <w:p w14:paraId="51957266" w14:textId="77777777" w:rsidR="00963CBF" w:rsidRDefault="00316302">
      <w:pPr>
        <w:pStyle w:val="Zkladntext"/>
        <w:ind w:right="114"/>
      </w:pPr>
      <w:r>
        <w:rPr>
          <w:color w:val="231F20"/>
        </w:rPr>
        <w:t>V případě, že  příjemce  je  povinen  přiznat  a  zaplatit  daň  z přijatého  plnění 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režimu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přenesení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daňové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povinnosti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92a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ZDPH,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dni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uskutečnění zdanitelného plnění, a současně neuplatňuje nárok na odpočet, je příjemce povinen do 10 dnů po uplynutí lhůty pro podání daňového přiznání k DPH předložit poskytovateli dodatečně daňové přiznání, daňovou doloženost a bankovní výpis. V případě, že příjemce dotace nepředloží tyto podklady, </w:t>
      </w:r>
      <w:r>
        <w:rPr>
          <w:color w:val="231F20"/>
          <w:u w:val="single" w:color="231F20"/>
        </w:rPr>
        <w:t>bude DPH neuznatelným výdajem čerpané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dotace</w:t>
      </w:r>
      <w:r>
        <w:rPr>
          <w:color w:val="231F20"/>
        </w:rPr>
        <w:t>.</w:t>
      </w:r>
    </w:p>
    <w:p w14:paraId="6D52A1B9" w14:textId="77777777" w:rsidR="00963CBF" w:rsidRDefault="00316302">
      <w:pPr>
        <w:pStyle w:val="Zkladntext"/>
      </w:pPr>
      <w:r>
        <w:rPr>
          <w:color w:val="231F20"/>
        </w:rPr>
        <w:t>Dotaci nelze rovněž použít na úhradu ostatních daní.</w:t>
      </w:r>
    </w:p>
    <w:p w14:paraId="16131AEA" w14:textId="77777777" w:rsidR="00963CBF" w:rsidRDefault="00316302">
      <w:pPr>
        <w:pStyle w:val="Zkladntext"/>
        <w:spacing w:before="119" w:line="343" w:lineRule="auto"/>
        <w:ind w:right="187"/>
      </w:pPr>
      <w:r>
        <w:rPr>
          <w:color w:val="231F20"/>
        </w:rPr>
        <w:t>Příjemce nesmí dotaci použít zejména na výdaje uvedené v čl. 1 odst. 5 Zásad. Dotace musí být použita hospodárně.</w:t>
      </w:r>
    </w:p>
    <w:p w14:paraId="75FC3B47" w14:textId="77777777" w:rsidR="00963CBF" w:rsidRDefault="00316302">
      <w:pPr>
        <w:pStyle w:val="Zkladntext"/>
        <w:spacing w:before="4"/>
      </w:pPr>
      <w:r>
        <w:rPr>
          <w:color w:val="231F20"/>
        </w:rPr>
        <w:t>Příjemce je povinen vést dotaci ve svém účetnictví odděleně.</w:t>
      </w:r>
    </w:p>
    <w:p w14:paraId="687AFC71" w14:textId="77777777" w:rsidR="00963CBF" w:rsidRDefault="00316302">
      <w:pPr>
        <w:pStyle w:val="Zkladntext"/>
        <w:spacing w:before="119"/>
        <w:ind w:right="115"/>
      </w:pPr>
      <w:r>
        <w:rPr>
          <w:color w:val="231F20"/>
        </w:rPr>
        <w:t>Příjemce není oprávněn převést dotaci nebo její část na jiného nositele projektu nebo jinou osobu. Toto se netýká úhrady výdajů na činnost příjemcem. Změna příjemce je možná pouze v případě právního nástupnictví.</w:t>
      </w:r>
    </w:p>
    <w:p w14:paraId="51335963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4"/>
          <w:tab w:val="left" w:pos="685"/>
        </w:tabs>
        <w:spacing w:before="119"/>
        <w:ind w:hanging="566"/>
        <w:rPr>
          <w:sz w:val="24"/>
        </w:rPr>
      </w:pPr>
      <w:r>
        <w:rPr>
          <w:color w:val="231F20"/>
          <w:sz w:val="24"/>
        </w:rPr>
        <w:t>Příjemce je povinen použít poskytnutou dotaci nejpozději do 31. 12.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2024.</w:t>
      </w:r>
    </w:p>
    <w:p w14:paraId="39F8F8BE" w14:textId="77777777" w:rsidR="00963CBF" w:rsidRDefault="00316302">
      <w:pPr>
        <w:pStyle w:val="Zkladntext"/>
        <w:spacing w:before="119"/>
        <w:ind w:right="117"/>
      </w:pPr>
      <w:r>
        <w:rPr>
          <w:color w:val="231F20"/>
        </w:rPr>
        <w:t>Příjemce je oprávněn použít dotaci také na úhradu výdajů vynaložených příjemcem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účelem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poskytnutí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dotace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čl.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smlouvy 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použití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dotace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čl.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období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2024 do nabytí účinnosti této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smlouvy.</w:t>
      </w:r>
    </w:p>
    <w:p w14:paraId="1F6B5955" w14:textId="77777777" w:rsidR="00963CBF" w:rsidRDefault="00316302">
      <w:pPr>
        <w:pStyle w:val="Zkladntext"/>
        <w:spacing w:before="119"/>
        <w:ind w:right="115"/>
      </w:pPr>
      <w:r>
        <w:rPr>
          <w:color w:val="231F20"/>
        </w:rPr>
        <w:t>Celkové předpokládané uznatelné výdaje na účel uvedený v čl. I odst. 2 a 4 této smlouvy činí 100 000 Kč (slovy: sto tisíc korun českých). Příjemce je povinen na tento účel vynaložit nejméně 60 % z vlastních a jiných zdrojů. Budou-li celkové skutečně vynaložené uznatelné výdaje nižší než celkové předpokládané uznatelné výdaje, je příjemce povinen v rámci vyúčtování dotace vrátit poskytovateli část dotace tak, aby výše dotace odpovídala nejvýše 40 % celkových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skutečně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vynaložených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uznatelných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výdajů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účel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 této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smlouvy.</w:t>
      </w:r>
    </w:p>
    <w:p w14:paraId="744ED037" w14:textId="77777777" w:rsidR="00963CBF" w:rsidRDefault="00316302">
      <w:pPr>
        <w:pStyle w:val="Zkladntext"/>
        <w:spacing w:before="59"/>
        <w:ind w:right="124" w:hanging="1"/>
      </w:pPr>
      <w:r>
        <w:rPr>
          <w:color w:val="231F20"/>
        </w:rPr>
        <w:t>Uznatelné výdaje z vlastních a jiných zdrojů dle tohoto ustanovení je příjemce povinen vynaložit nejpozději do 15. 1. 2025.</w:t>
      </w:r>
    </w:p>
    <w:p w14:paraId="0E96D2FB" w14:textId="77777777" w:rsidR="00963CBF" w:rsidRDefault="00316302">
      <w:pPr>
        <w:pStyle w:val="Zkladntext"/>
        <w:spacing w:before="117"/>
        <w:ind w:right="118"/>
      </w:pPr>
      <w:r>
        <w:rPr>
          <w:b/>
          <w:color w:val="231F20"/>
        </w:rPr>
        <w:t xml:space="preserve">Uznatelnými výdaji </w:t>
      </w:r>
      <w:r>
        <w:rPr>
          <w:color w:val="231F20"/>
        </w:rPr>
        <w:t>se pro účely této smlouvy rozumí výdaje, které příjemce vynaložil v souladu s konkrétním účelem poskytnutí dotace dle čl. I odst. 2 a 4 a čl. II odst. 1 této smlouvy ve lhůtě stanovené v tomto čl. II odst. 2. Podmínky uznatelnosti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splňovat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výdaje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týkající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spoluúčasti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příjemce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čl. II odst.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</w:t>
      </w:r>
    </w:p>
    <w:p w14:paraId="4B28AA8B" w14:textId="77777777" w:rsidR="00963CBF" w:rsidRDefault="00316302">
      <w:pPr>
        <w:spacing w:before="119"/>
        <w:ind w:left="684" w:right="121"/>
        <w:jc w:val="both"/>
        <w:rPr>
          <w:sz w:val="24"/>
        </w:rPr>
      </w:pPr>
      <w:r>
        <w:rPr>
          <w:b/>
          <w:color w:val="231F20"/>
          <w:sz w:val="24"/>
        </w:rPr>
        <w:t xml:space="preserve">Celkovými předpokládanými uznatelnými výdaji </w:t>
      </w:r>
      <w:r>
        <w:rPr>
          <w:color w:val="231F20"/>
          <w:sz w:val="24"/>
        </w:rPr>
        <w:t>se pro účely této smlouvy rozumí celkové uznatelné výdaje, které žadatel předpokládá vynaložit na realizaci činnosti a uvedl je v žádosti o poskytnutí dotace.</w:t>
      </w:r>
    </w:p>
    <w:p w14:paraId="72237BA6" w14:textId="77777777" w:rsidR="00963CBF" w:rsidRDefault="00963CBF">
      <w:pPr>
        <w:jc w:val="both"/>
        <w:rPr>
          <w:sz w:val="24"/>
        </w:rPr>
        <w:sectPr w:rsidR="00963CBF">
          <w:pgSz w:w="11910" w:h="16840"/>
          <w:pgMar w:top="1340" w:right="1300" w:bottom="920" w:left="1300" w:header="0" w:footer="738" w:gutter="0"/>
          <w:cols w:space="708"/>
        </w:sectPr>
      </w:pPr>
    </w:p>
    <w:p w14:paraId="564B7163" w14:textId="77777777" w:rsidR="00963CBF" w:rsidRDefault="00316302">
      <w:pPr>
        <w:spacing w:before="77"/>
        <w:ind w:left="684" w:right="119"/>
        <w:jc w:val="both"/>
        <w:rPr>
          <w:sz w:val="24"/>
        </w:rPr>
      </w:pPr>
      <w:r>
        <w:rPr>
          <w:b/>
          <w:color w:val="231F20"/>
          <w:sz w:val="24"/>
        </w:rPr>
        <w:lastRenderedPageBreak/>
        <w:t xml:space="preserve">Celkovými skutečně vynaloženými uznatelnými výdaji </w:t>
      </w:r>
      <w:r>
        <w:rPr>
          <w:color w:val="231F20"/>
          <w:sz w:val="24"/>
        </w:rPr>
        <w:t>se pro účely této smlouvy rozumí celkové uznatelné výdaje, které žadatel skutečně vynaložil na realizaci činnosti.</w:t>
      </w:r>
    </w:p>
    <w:p w14:paraId="2749B3F7" w14:textId="77777777" w:rsidR="00963CBF" w:rsidRDefault="00316302">
      <w:pPr>
        <w:pStyle w:val="Zkladntext"/>
        <w:ind w:right="127"/>
      </w:pPr>
      <w:r>
        <w:rPr>
          <w:b/>
          <w:color w:val="231F20"/>
        </w:rPr>
        <w:t xml:space="preserve">Vlastními zdroji </w:t>
      </w:r>
      <w:r>
        <w:rPr>
          <w:color w:val="231F20"/>
        </w:rPr>
        <w:t>se pro účely této smlouvy rozumí příjmy příjemce získané vlastní činností, pro kterou byla organizace zřízena (založena) a příjmy příjemce přijaté na základě vlastních aktivit příjemce apod.</w:t>
      </w:r>
    </w:p>
    <w:p w14:paraId="5189CBC4" w14:textId="77777777" w:rsidR="00963CBF" w:rsidRDefault="00316302">
      <w:pPr>
        <w:pStyle w:val="Zkladntext"/>
        <w:ind w:right="119"/>
      </w:pPr>
      <w:r>
        <w:rPr>
          <w:b/>
          <w:color w:val="231F20"/>
        </w:rPr>
        <w:t xml:space="preserve">Jinými zdroji </w:t>
      </w:r>
      <w:r>
        <w:rPr>
          <w:color w:val="231F20"/>
        </w:rPr>
        <w:t xml:space="preserve">se pro účely této smlouvy rozumí  příjmy poskytnuté příjemci       z veřejných rozpočtů (evropských, státních, územních) jinou fyzickou nebo </w:t>
      </w:r>
      <w:r>
        <w:rPr>
          <w:color w:val="231F20"/>
          <w:w w:val="99"/>
        </w:rPr>
        <w:t>prá</w:t>
      </w:r>
      <w:r>
        <w:rPr>
          <w:color w:val="231F20"/>
          <w:spacing w:val="-3"/>
          <w:w w:val="99"/>
        </w:rPr>
        <w:t>v</w:t>
      </w:r>
      <w:r>
        <w:rPr>
          <w:color w:val="231F20"/>
          <w:w w:val="99"/>
        </w:rPr>
        <w:t>nickou</w:t>
      </w:r>
      <w:r>
        <w:rPr>
          <w:color w:val="231F20"/>
        </w:rPr>
        <w:t xml:space="preserve"> </w:t>
      </w:r>
      <w:r>
        <w:rPr>
          <w:color w:val="231F20"/>
          <w:w w:val="99"/>
        </w:rPr>
        <w:t>os</w:t>
      </w:r>
      <w:r>
        <w:rPr>
          <w:color w:val="231F20"/>
          <w:spacing w:val="-2"/>
          <w:w w:val="99"/>
        </w:rPr>
        <w:t>o</w:t>
      </w:r>
      <w:r>
        <w:rPr>
          <w:color w:val="231F20"/>
          <w:w w:val="99"/>
        </w:rPr>
        <w:t>bou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</w:rPr>
        <w:t>f</w:t>
      </w:r>
      <w:r>
        <w:rPr>
          <w:color w:val="231F20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m</w:t>
      </w:r>
      <w:r>
        <w:rPr>
          <w:color w:val="231F20"/>
        </w:rPr>
        <w:t>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>r</w:t>
      </w:r>
      <w:r>
        <w:rPr>
          <w:color w:val="231F20"/>
        </w:rPr>
        <w:t>u n</w:t>
      </w:r>
      <w:r>
        <w:rPr>
          <w:color w:val="231F20"/>
          <w:spacing w:val="-2"/>
        </w:rPr>
        <w:t>e</w:t>
      </w:r>
      <w:r>
        <w:rPr>
          <w:color w:val="231F20"/>
        </w:rPr>
        <w:t>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>t</w:t>
      </w:r>
      <w:r>
        <w:rPr>
          <w:color w:val="231F20"/>
        </w:rPr>
        <w:t>ace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(př</w:t>
      </w:r>
      <w:r>
        <w:rPr>
          <w:color w:val="231F20"/>
          <w:spacing w:val="-3"/>
        </w:rPr>
        <w:t>í</w:t>
      </w:r>
      <w:r>
        <w:rPr>
          <w:color w:val="231F20"/>
          <w:w w:val="99"/>
        </w:rPr>
        <w:t>spě</w:t>
      </w:r>
      <w:r>
        <w:rPr>
          <w:color w:val="231F20"/>
          <w:spacing w:val="-3"/>
          <w:w w:val="99"/>
        </w:rPr>
        <w:t>v</w:t>
      </w:r>
      <w:r>
        <w:rPr>
          <w:color w:val="231F20"/>
          <w:spacing w:val="2"/>
        </w:rPr>
        <w:t>k</w:t>
      </w:r>
      <w:r>
        <w:rPr>
          <w:color w:val="231F20"/>
          <w:spacing w:val="-3"/>
        </w:rPr>
        <w:t>y</w:t>
      </w:r>
      <w:r>
        <w:rPr>
          <w:color w:val="231F20"/>
        </w:rPr>
        <w:t>, dotace,</w:t>
      </w:r>
      <w:r>
        <w:rPr>
          <w:color w:val="231F20"/>
          <w:spacing w:val="-3"/>
        </w:rPr>
        <w:t xml:space="preserve"> </w:t>
      </w:r>
      <w:r>
        <w:rPr>
          <w:color w:val="231F20"/>
          <w:w w:val="99"/>
        </w:rPr>
        <w:t>d</w:t>
      </w:r>
      <w:r>
        <w:rPr>
          <w:color w:val="231F20"/>
          <w:spacing w:val="-2"/>
          <w:w w:val="99"/>
        </w:rPr>
        <w:t>a</w:t>
      </w:r>
      <w:r>
        <w:rPr>
          <w:color w:val="231F20"/>
          <w:w w:val="99"/>
        </w:rPr>
        <w:t>r</w:t>
      </w:r>
      <w:r>
        <w:rPr>
          <w:color w:val="231F20"/>
          <w:spacing w:val="-4"/>
          <w:w w:val="99"/>
        </w:rPr>
        <w:t>y</w:t>
      </w:r>
      <w:r>
        <w:rPr>
          <w:color w:val="231F20"/>
          <w:spacing w:val="2"/>
          <w:w w:val="359"/>
        </w:rPr>
        <w:t>.</w:t>
      </w:r>
      <w:r>
        <w:rPr>
          <w:color w:val="231F20"/>
          <w:w w:val="99"/>
        </w:rPr>
        <w:t>)</w:t>
      </w:r>
      <w:r>
        <w:rPr>
          <w:color w:val="231F20"/>
        </w:rPr>
        <w:t>.</w:t>
      </w:r>
    </w:p>
    <w:p w14:paraId="2E5B1185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ind w:right="124" w:hanging="566"/>
        <w:jc w:val="both"/>
        <w:rPr>
          <w:sz w:val="24"/>
        </w:rPr>
      </w:pPr>
      <w:r>
        <w:rPr>
          <w:color w:val="231F20"/>
          <w:sz w:val="24"/>
        </w:rPr>
        <w:t>Příjemce je povinen umožnit poskytovateli provedení kontroly dodržení účelu a podmínek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použití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poskytnuté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dotace.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Při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této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kontrole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příjemce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povinen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vyvíjet veškerou poskytovatelem požadovanou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součinnost.</w:t>
      </w:r>
    </w:p>
    <w:p w14:paraId="76BBE3B2" w14:textId="2D0508A6" w:rsidR="00963CBF" w:rsidRDefault="00316302">
      <w:pPr>
        <w:pStyle w:val="Odstavecseseznamem"/>
        <w:numPr>
          <w:ilvl w:val="0"/>
          <w:numId w:val="2"/>
        </w:numPr>
        <w:tabs>
          <w:tab w:val="left" w:pos="658"/>
        </w:tabs>
        <w:ind w:right="116" w:hanging="566"/>
        <w:jc w:val="both"/>
        <w:rPr>
          <w:sz w:val="24"/>
        </w:rPr>
      </w:pPr>
      <w:r>
        <w:rPr>
          <w:color w:val="231F20"/>
          <w:sz w:val="24"/>
        </w:rPr>
        <w:t>Příjemce je povinen nejpozději do 17. 1. 2025 předložit poskytovateli vyúčtování poskytnuté dotace, vyplněné prostřednictvím systému, v němž příjemce podal žádost o poskytnutí dotace, a to elektronicky dodáním do datové schránky poskytovatele (dále jen „vyúčtování</w:t>
      </w:r>
      <w:r w:rsidR="006A2432">
        <w:rPr>
          <w:color w:val="231F20"/>
          <w:sz w:val="24"/>
        </w:rPr>
        <w:t>“</w:t>
      </w:r>
      <w:r>
        <w:rPr>
          <w:color w:val="231F20"/>
          <w:sz w:val="24"/>
        </w:rPr>
        <w:t>). Připadne-li konec lhůty pro předložení vyúčtování na sobotu, neděli nebo svátek, je posledním dnem lhůty nejbližší následující pracovní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den.</w:t>
      </w:r>
    </w:p>
    <w:p w14:paraId="211B0F57" w14:textId="77777777" w:rsidR="00963CBF" w:rsidRDefault="00316302">
      <w:pPr>
        <w:pStyle w:val="Zkladntext"/>
        <w:spacing w:before="119"/>
      </w:pPr>
      <w:r>
        <w:rPr>
          <w:color w:val="231F20"/>
        </w:rPr>
        <w:t>Vyúčtování musí obsahovat:</w:t>
      </w:r>
    </w:p>
    <w:p w14:paraId="262830D5" w14:textId="77777777" w:rsidR="00963CBF" w:rsidRDefault="00316302">
      <w:pPr>
        <w:pStyle w:val="Odstavecseseznamem"/>
        <w:numPr>
          <w:ilvl w:val="1"/>
          <w:numId w:val="2"/>
        </w:numPr>
        <w:tabs>
          <w:tab w:val="left" w:pos="1405"/>
        </w:tabs>
        <w:spacing w:before="119"/>
        <w:ind w:right="115" w:hanging="719"/>
        <w:jc w:val="both"/>
        <w:rPr>
          <w:sz w:val="24"/>
        </w:rPr>
      </w:pPr>
      <w:r>
        <w:rPr>
          <w:color w:val="231F20"/>
          <w:sz w:val="24"/>
        </w:rPr>
        <w:t>Soupis výdajů hrazených z poskytnuté dotace v rozsahu uvedeném ve vzoru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vyúčtování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dotace,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který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zveřejněn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systému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RAP.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Tento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soupis výdajů bude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doložen:</w:t>
      </w:r>
    </w:p>
    <w:p w14:paraId="6EE62601" w14:textId="77777777" w:rsidR="00963CBF" w:rsidRDefault="00316302">
      <w:pPr>
        <w:pStyle w:val="Odstavecseseznamem"/>
        <w:numPr>
          <w:ilvl w:val="2"/>
          <w:numId w:val="2"/>
        </w:numPr>
        <w:tabs>
          <w:tab w:val="left" w:pos="1762"/>
        </w:tabs>
        <w:spacing w:before="119"/>
        <w:ind w:right="123"/>
        <w:jc w:val="both"/>
        <w:rPr>
          <w:sz w:val="24"/>
        </w:rPr>
      </w:pPr>
      <w:r>
        <w:rPr>
          <w:color w:val="231F20"/>
          <w:sz w:val="24"/>
        </w:rPr>
        <w:t>fotokopiemi všech výpisů z bankovního účtu, které dokládají úhradu jednotlivých dokladů a faktur, s vyznačením dotčených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plateb,</w:t>
      </w:r>
    </w:p>
    <w:p w14:paraId="0E4CF146" w14:textId="77777777" w:rsidR="00963CBF" w:rsidRDefault="00316302">
      <w:pPr>
        <w:pStyle w:val="Odstavecseseznamem"/>
        <w:numPr>
          <w:ilvl w:val="2"/>
          <w:numId w:val="2"/>
        </w:numPr>
        <w:tabs>
          <w:tab w:val="left" w:pos="1762"/>
        </w:tabs>
        <w:spacing w:before="60"/>
        <w:ind w:right="122"/>
        <w:jc w:val="both"/>
        <w:rPr>
          <w:sz w:val="24"/>
        </w:rPr>
      </w:pPr>
      <w:r>
        <w:rPr>
          <w:color w:val="231F20"/>
          <w:sz w:val="24"/>
        </w:rPr>
        <w:t>fotokopiemi faktur s podrobným rozpisem dodávky (případně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dodacím listem),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popřípadě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jiných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účetních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dokladů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včetně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příloh,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prokazujících vynaložení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výdajů,</w:t>
      </w:r>
    </w:p>
    <w:p w14:paraId="38D0B61D" w14:textId="77777777" w:rsidR="00963CBF" w:rsidRDefault="00316302">
      <w:pPr>
        <w:pStyle w:val="Odstavecseseznamem"/>
        <w:numPr>
          <w:ilvl w:val="2"/>
          <w:numId w:val="2"/>
        </w:numPr>
        <w:tabs>
          <w:tab w:val="left" w:pos="1762"/>
        </w:tabs>
        <w:spacing w:before="60"/>
        <w:ind w:right="119"/>
        <w:jc w:val="both"/>
        <w:rPr>
          <w:sz w:val="24"/>
        </w:rPr>
      </w:pPr>
      <w:r>
        <w:rPr>
          <w:color w:val="231F20"/>
          <w:sz w:val="24"/>
        </w:rPr>
        <w:t>fotokopiemi výdajových dokladů včetně příloh (stvrzenky, paragony apod.), na základě kterých je pokladní doklad vystaven, a to pouze u jednotlivých výdajů přesahujících částku 1 000 Kč. U jednotlivých výdajů do výše 1 000 Kč doloží příjemce pouze soupis těchto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výdajů.</w:t>
      </w:r>
    </w:p>
    <w:p w14:paraId="39E74C67" w14:textId="77777777" w:rsidR="00963CBF" w:rsidRDefault="00316302">
      <w:pPr>
        <w:pStyle w:val="Odstavecseseznamem"/>
        <w:numPr>
          <w:ilvl w:val="1"/>
          <w:numId w:val="2"/>
        </w:numPr>
        <w:tabs>
          <w:tab w:val="left" w:pos="1404"/>
        </w:tabs>
        <w:spacing w:before="60"/>
        <w:ind w:right="117" w:hanging="719"/>
        <w:jc w:val="both"/>
        <w:rPr>
          <w:sz w:val="24"/>
        </w:rPr>
      </w:pPr>
      <w:r>
        <w:rPr>
          <w:color w:val="231F20"/>
          <w:sz w:val="24"/>
        </w:rPr>
        <w:t>Soupis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vlastních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jiných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zdrojů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vynaložených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účel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uvedený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čl.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odst. 2 a 4 této smlouvy, a to do výše povinné finanční spoluúčasti příjemce uvedené v čl. II odst. 2 této smlouvy v rozsahu uvedeném ve vzoru vyúčtování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dotace.</w:t>
      </w:r>
    </w:p>
    <w:p w14:paraId="796AEB66" w14:textId="77777777" w:rsidR="00963CBF" w:rsidRDefault="00316302">
      <w:pPr>
        <w:pStyle w:val="Zkladntext"/>
        <w:spacing w:before="117"/>
        <w:ind w:right="117"/>
      </w:pPr>
      <w:r>
        <w:rPr>
          <w:color w:val="231F20"/>
        </w:rPr>
        <w:t>Ve lhůtě pro předložení vyúčtování předloží příjemce poskytovateli také závěrečnou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zprávu,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elektronicky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dodáním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datové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schránky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poskytovatele.</w:t>
      </w:r>
    </w:p>
    <w:p w14:paraId="15D59C0C" w14:textId="77777777" w:rsidR="00963CBF" w:rsidRDefault="00316302">
      <w:pPr>
        <w:pStyle w:val="Zkladntext"/>
        <w:spacing w:before="119"/>
        <w:ind w:right="122"/>
      </w:pPr>
      <w:r>
        <w:rPr>
          <w:color w:val="231F20"/>
        </w:rPr>
        <w:t>Závěrečná zpráva musí obsahovat stručné zhodnocení projektu včetně jeho přínosu pro Olomoucký kraj.</w:t>
      </w:r>
    </w:p>
    <w:p w14:paraId="3ED032BB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spacing w:before="119"/>
        <w:ind w:right="117" w:hanging="566"/>
        <w:jc w:val="both"/>
        <w:rPr>
          <w:sz w:val="24"/>
        </w:rPr>
      </w:pPr>
      <w:r>
        <w:rPr>
          <w:color w:val="231F20"/>
          <w:sz w:val="24"/>
        </w:rPr>
        <w:t>V případě, že dotace nebyla použita v celé výši ve lhůtě uvedené v čl. II odst. 2 této smlouvy, nebo v případě, že celkové příjemcem skutečně vynaložené uznatelné výdaje na účel uvedený v čl. I odst. 2 a 4 této smlouvy byly nižší než celkové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předpokládané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uznatelné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výdaje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dle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čl.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II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této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smlouvy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 xml:space="preserve">příjemce povinen vrátit nevyčerpanou část dotace na účet poskytovatele nejpozději do 15 dnů   ode   dne   předložení   vyúčtování   poskytovateli.   Nevrátí-li      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příjemce</w:t>
      </w:r>
    </w:p>
    <w:p w14:paraId="5436F684" w14:textId="77777777" w:rsidR="00963CBF" w:rsidRDefault="00963CBF">
      <w:pPr>
        <w:jc w:val="both"/>
        <w:rPr>
          <w:sz w:val="24"/>
        </w:rPr>
        <w:sectPr w:rsidR="00963CBF">
          <w:pgSz w:w="11910" w:h="16840"/>
          <w:pgMar w:top="1340" w:right="1300" w:bottom="920" w:left="1300" w:header="0" w:footer="738" w:gutter="0"/>
          <w:cols w:space="708"/>
        </w:sectPr>
      </w:pPr>
    </w:p>
    <w:p w14:paraId="5B9C03D6" w14:textId="77777777" w:rsidR="00963CBF" w:rsidRDefault="00316302">
      <w:pPr>
        <w:pStyle w:val="Zkladntext"/>
        <w:spacing w:before="77"/>
        <w:ind w:right="321"/>
      </w:pPr>
      <w:r>
        <w:rPr>
          <w:color w:val="231F20"/>
        </w:rPr>
        <w:lastRenderedPageBreak/>
        <w:t>nevyčerpanou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dotace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lhůtě,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dopustí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porušení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rozpočtové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kázně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 smyslu ust. § 22 zákona č. 250/2000 Sb., o rozpočtových pravidlech územních rozpočtů, ve znění pozdějších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předpisů.</w:t>
      </w:r>
    </w:p>
    <w:p w14:paraId="0B4C1970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ind w:right="317" w:hanging="566"/>
        <w:jc w:val="both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případě,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příjemce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použije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dotaci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její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část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jiný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účel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než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účel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sjednaný touto smlouvou v čl. I odst. 2 a 4, poruší některou z jiných podmínek použití dotace,  stanovených  v čl.  II  odst.  1  této  smlouvy,  nebo  poruší  některou    z povinností uvedených v této smlouvě, dopustí se porušení rozpočtové kázně ve smyslu ust. § 22 zákona č. 250/2000 Sb., o rozpočtových pravidlech územních rozpočtů, ve znění pozdějších předpisů. Pokud příjemce předloží vyúčtování a/nebo závěrečnou zprávu ve lhůtě stanovené v čl. II odst. 4 této smlouvy, ale vyúčtování a/nebo závěrečná zpráva nebudou předloženy způsobem stanoveným v čl. II odst. 4 této smlouvy nebo nebudou obsahovat všechny náležitosti stanovené v čl. II odst. 4 této smlouvy, dopustí se příjemce porušení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rozpočtové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kázně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až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případě,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nedoplní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neopraví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chybné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nebo neúplné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vyúčtování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a/nebo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závěrečnou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zprávu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lhůtě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15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dnů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doručení výzvy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poskytovatele.</w:t>
      </w:r>
    </w:p>
    <w:p w14:paraId="0178985C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ind w:right="321"/>
        <w:jc w:val="both"/>
        <w:rPr>
          <w:sz w:val="24"/>
        </w:rPr>
      </w:pPr>
      <w:r>
        <w:rPr>
          <w:color w:val="231F20"/>
          <w:sz w:val="24"/>
        </w:rPr>
        <w:t>Za porušení rozpočtové kázně uloží poskytovatel příjemci odvod ve výši stanovené platnými právními předpisy. V případech porušení rozpočtové kázně specifikovaných níže v tabulce uloží poskytovatel příjemci odvod ve výši stanovené v této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tabulce:</w:t>
      </w:r>
    </w:p>
    <w:p w14:paraId="0A79BD85" w14:textId="77777777" w:rsidR="00963CBF" w:rsidRDefault="00963CBF">
      <w:pPr>
        <w:pStyle w:val="Zkladntext"/>
        <w:spacing w:before="9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7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190"/>
      </w:tblGrid>
      <w:tr w:rsidR="00963CBF" w14:paraId="7E74B798" w14:textId="77777777">
        <w:trPr>
          <w:trHeight w:hRule="exact" w:val="1123"/>
        </w:trPr>
        <w:tc>
          <w:tcPr>
            <w:tcW w:w="6378" w:type="dxa"/>
          </w:tcPr>
          <w:p w14:paraId="7B683E5A" w14:textId="77777777" w:rsidR="00963CBF" w:rsidRDefault="00316302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Typ porušení smluvních ujednání (procentní sazba bude v případě porušení jednotlivých ujednání uplatňována kumulativně)</w:t>
            </w:r>
          </w:p>
        </w:tc>
        <w:tc>
          <w:tcPr>
            <w:tcW w:w="2190" w:type="dxa"/>
          </w:tcPr>
          <w:p w14:paraId="692D0063" w14:textId="77777777" w:rsidR="00963CBF" w:rsidRDefault="00316302">
            <w:pPr>
              <w:pStyle w:val="TableParagraph"/>
              <w:spacing w:line="276" w:lineRule="exact"/>
              <w:ind w:right="4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Výše odvodu v % z celkově poskytnuté dotace</w:t>
            </w:r>
          </w:p>
        </w:tc>
      </w:tr>
      <w:tr w:rsidR="00963CBF" w14:paraId="0EF80A0A" w14:textId="77777777">
        <w:trPr>
          <w:trHeight w:hRule="exact" w:val="847"/>
        </w:trPr>
        <w:tc>
          <w:tcPr>
            <w:tcW w:w="6378" w:type="dxa"/>
          </w:tcPr>
          <w:p w14:paraId="5EB4360E" w14:textId="77777777" w:rsidR="00963CBF" w:rsidRDefault="003163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Nedodržení povinnosti vést dotaci v účetnictví analyticky odděleně nebo na samostatném bankovním účtu, je-li tato povinnost uvedena ve smlouvě</w:t>
            </w:r>
          </w:p>
        </w:tc>
        <w:tc>
          <w:tcPr>
            <w:tcW w:w="2190" w:type="dxa"/>
          </w:tcPr>
          <w:p w14:paraId="428AB065" w14:textId="77777777" w:rsidR="00963CBF" w:rsidRDefault="00963CB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5D9DEF73" w14:textId="77777777" w:rsidR="00963CBF" w:rsidRDefault="00316302">
            <w:pPr>
              <w:pStyle w:val="TableParagraph"/>
              <w:ind w:left="858" w:right="85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5 %</w:t>
            </w:r>
          </w:p>
        </w:tc>
      </w:tr>
      <w:tr w:rsidR="00963CBF" w14:paraId="2FEDF11F" w14:textId="77777777">
        <w:trPr>
          <w:trHeight w:hRule="exact" w:val="569"/>
        </w:trPr>
        <w:tc>
          <w:tcPr>
            <w:tcW w:w="6378" w:type="dxa"/>
            <w:tcBorders>
              <w:bottom w:val="single" w:sz="4" w:space="0" w:color="231F20"/>
            </w:tcBorders>
          </w:tcPr>
          <w:p w14:paraId="5CA5CD64" w14:textId="77777777" w:rsidR="00963CBF" w:rsidRDefault="00316302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0" w:type="dxa"/>
            <w:tcBorders>
              <w:bottom w:val="single" w:sz="4" w:space="0" w:color="231F20"/>
            </w:tcBorders>
          </w:tcPr>
          <w:p w14:paraId="5FC5522A" w14:textId="77777777" w:rsidR="00963CBF" w:rsidRDefault="00316302">
            <w:pPr>
              <w:pStyle w:val="TableParagraph"/>
              <w:spacing w:before="134"/>
              <w:ind w:left="858" w:right="85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5 %</w:t>
            </w:r>
          </w:p>
        </w:tc>
      </w:tr>
      <w:tr w:rsidR="00963CBF" w14:paraId="775E4811" w14:textId="77777777">
        <w:trPr>
          <w:trHeight w:hRule="exact" w:val="842"/>
        </w:trPr>
        <w:tc>
          <w:tcPr>
            <w:tcW w:w="6378" w:type="dxa"/>
            <w:tcBorders>
              <w:top w:val="single" w:sz="4" w:space="0" w:color="231F20"/>
            </w:tcBorders>
          </w:tcPr>
          <w:p w14:paraId="56480043" w14:textId="77777777" w:rsidR="00963CBF" w:rsidRDefault="00316302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Předložení vyúčtování a/nebo závěrečné zprávy o využití dotace s prodlením do 60 kalendářních dnů od data uvedeného ve smlouvě</w:t>
            </w:r>
          </w:p>
        </w:tc>
        <w:tc>
          <w:tcPr>
            <w:tcW w:w="2190" w:type="dxa"/>
            <w:tcBorders>
              <w:top w:val="single" w:sz="4" w:space="0" w:color="231F20"/>
            </w:tcBorders>
          </w:tcPr>
          <w:p w14:paraId="233EE78D" w14:textId="77777777" w:rsidR="00963CBF" w:rsidRDefault="00963CB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F45E490" w14:textId="77777777" w:rsidR="00963CBF" w:rsidRDefault="00316302">
            <w:pPr>
              <w:pStyle w:val="TableParagraph"/>
              <w:spacing w:before="1"/>
              <w:ind w:left="858" w:right="85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2 %</w:t>
            </w:r>
          </w:p>
        </w:tc>
      </w:tr>
      <w:tr w:rsidR="00963CBF" w14:paraId="3ED736D0" w14:textId="77777777">
        <w:trPr>
          <w:trHeight w:hRule="exact" w:val="1398"/>
        </w:trPr>
        <w:tc>
          <w:tcPr>
            <w:tcW w:w="6378" w:type="dxa"/>
          </w:tcPr>
          <w:p w14:paraId="76FFB99F" w14:textId="77777777" w:rsidR="00963CBF" w:rsidRDefault="00316302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Předložení doplněného nebo opraveného vyúčtování a/nebo závěrečné zprávy o využití dotace s prodlením do 15 kalendářních dnů od marného uplynutí 15 denní lhůty od doručení výzvy poskytovatele k doplnění nebo opravě vyúčtování a/nebo závěrečné zprávy</w:t>
            </w:r>
          </w:p>
        </w:tc>
        <w:tc>
          <w:tcPr>
            <w:tcW w:w="2190" w:type="dxa"/>
          </w:tcPr>
          <w:p w14:paraId="4B80F5EF" w14:textId="77777777" w:rsidR="00963CBF" w:rsidRDefault="00963CBF">
            <w:pPr>
              <w:pStyle w:val="TableParagraph"/>
              <w:ind w:left="0"/>
              <w:rPr>
                <w:sz w:val="26"/>
              </w:rPr>
            </w:pPr>
          </w:p>
          <w:p w14:paraId="2D679E54" w14:textId="77777777" w:rsidR="00963CBF" w:rsidRDefault="00963CB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7B31C172" w14:textId="77777777" w:rsidR="00963CBF" w:rsidRDefault="00316302">
            <w:pPr>
              <w:pStyle w:val="TableParagraph"/>
              <w:spacing w:before="1"/>
              <w:ind w:left="858" w:right="85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5 %</w:t>
            </w:r>
          </w:p>
        </w:tc>
      </w:tr>
      <w:tr w:rsidR="00963CBF" w14:paraId="771E9DEE" w14:textId="77777777">
        <w:trPr>
          <w:trHeight w:hRule="exact" w:val="572"/>
        </w:trPr>
        <w:tc>
          <w:tcPr>
            <w:tcW w:w="6378" w:type="dxa"/>
          </w:tcPr>
          <w:p w14:paraId="615EA1E7" w14:textId="77777777" w:rsidR="00963CBF" w:rsidRDefault="0031630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Nedodržení podmínek povinné propagace uvedených ve smlouvě</w:t>
            </w:r>
          </w:p>
        </w:tc>
        <w:tc>
          <w:tcPr>
            <w:tcW w:w="2190" w:type="dxa"/>
          </w:tcPr>
          <w:p w14:paraId="0675FAAE" w14:textId="77777777" w:rsidR="00963CBF" w:rsidRDefault="00316302">
            <w:pPr>
              <w:pStyle w:val="TableParagraph"/>
              <w:spacing w:before="134"/>
              <w:ind w:left="858" w:right="85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5 %</w:t>
            </w:r>
          </w:p>
        </w:tc>
      </w:tr>
      <w:tr w:rsidR="00963CBF" w14:paraId="4EB02527" w14:textId="77777777">
        <w:trPr>
          <w:trHeight w:hRule="exact" w:val="1677"/>
        </w:trPr>
        <w:tc>
          <w:tcPr>
            <w:tcW w:w="6378" w:type="dxa"/>
          </w:tcPr>
          <w:p w14:paraId="6C9DA08E" w14:textId="77777777" w:rsidR="00963CBF" w:rsidRDefault="00316302">
            <w:pPr>
              <w:pStyle w:val="TableParagraph"/>
              <w:spacing w:before="2" w:line="276" w:lineRule="exact"/>
              <w:ind w:right="95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 dotaci, je-li tato povinnost uvedena ve smlouvě</w:t>
            </w:r>
          </w:p>
        </w:tc>
        <w:tc>
          <w:tcPr>
            <w:tcW w:w="2190" w:type="dxa"/>
          </w:tcPr>
          <w:p w14:paraId="76255368" w14:textId="77777777" w:rsidR="00963CBF" w:rsidRDefault="00963CBF">
            <w:pPr>
              <w:pStyle w:val="TableParagraph"/>
              <w:ind w:left="0"/>
              <w:rPr>
                <w:sz w:val="26"/>
              </w:rPr>
            </w:pPr>
          </w:p>
          <w:p w14:paraId="10FDA54F" w14:textId="77777777" w:rsidR="00963CBF" w:rsidRDefault="00963CBF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14:paraId="6DBB8A28" w14:textId="77777777" w:rsidR="00963CBF" w:rsidRDefault="00316302">
            <w:pPr>
              <w:pStyle w:val="TableParagraph"/>
              <w:ind w:left="858" w:right="85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5 %</w:t>
            </w:r>
          </w:p>
        </w:tc>
      </w:tr>
      <w:tr w:rsidR="00963CBF" w14:paraId="63480F04" w14:textId="77777777">
        <w:trPr>
          <w:trHeight w:hRule="exact" w:val="571"/>
        </w:trPr>
        <w:tc>
          <w:tcPr>
            <w:tcW w:w="6378" w:type="dxa"/>
          </w:tcPr>
          <w:p w14:paraId="568E367D" w14:textId="77777777" w:rsidR="00963CBF" w:rsidRDefault="0031630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0" w:type="dxa"/>
          </w:tcPr>
          <w:p w14:paraId="28CD33C7" w14:textId="77777777" w:rsidR="00963CBF" w:rsidRDefault="00316302">
            <w:pPr>
              <w:pStyle w:val="TableParagraph"/>
              <w:spacing w:before="132"/>
              <w:ind w:left="858" w:right="85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5 %</w:t>
            </w:r>
          </w:p>
        </w:tc>
      </w:tr>
    </w:tbl>
    <w:p w14:paraId="5E74EF5B" w14:textId="77777777" w:rsidR="00963CBF" w:rsidRDefault="00963CBF">
      <w:pPr>
        <w:jc w:val="center"/>
        <w:rPr>
          <w:sz w:val="24"/>
        </w:rPr>
        <w:sectPr w:rsidR="00963CBF">
          <w:pgSz w:w="11910" w:h="16840"/>
          <w:pgMar w:top="1340" w:right="1100" w:bottom="920" w:left="1300" w:header="0" w:footer="738" w:gutter="0"/>
          <w:cols w:space="708"/>
        </w:sectPr>
      </w:pPr>
    </w:p>
    <w:p w14:paraId="470F6D45" w14:textId="2FBAD701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spacing w:before="77"/>
        <w:ind w:right="114" w:hanging="566"/>
        <w:jc w:val="both"/>
        <w:rPr>
          <w:sz w:val="24"/>
        </w:rPr>
      </w:pPr>
      <w:r>
        <w:rPr>
          <w:color w:val="231F20"/>
          <w:sz w:val="24"/>
        </w:rPr>
        <w:lastRenderedPageBreak/>
        <w:t xml:space="preserve">V případě, že je příjemce dle této smlouvy povinen vrátit dotaci nebo její část, vrátí příjemce dotaci nebo její část v roce, kdy obdržel dotaci (2024) na účet poskytovatele č. </w:t>
      </w:r>
      <w:r w:rsidR="007306EB">
        <w:rPr>
          <w:color w:val="231F20"/>
          <w:sz w:val="24"/>
        </w:rPr>
        <w:t>xxxxx</w:t>
      </w:r>
      <w:r>
        <w:rPr>
          <w:color w:val="231F20"/>
          <w:sz w:val="24"/>
        </w:rPr>
        <w:t xml:space="preserve">. V případě, že je vratka dotace nebo její </w:t>
      </w:r>
      <w:r w:rsidR="007306EB">
        <w:rPr>
          <w:color w:val="231F20"/>
          <w:sz w:val="24"/>
        </w:rPr>
        <w:t xml:space="preserve">                                  </w:t>
      </w:r>
      <w:r>
        <w:rPr>
          <w:color w:val="231F20"/>
          <w:sz w:val="24"/>
        </w:rPr>
        <w:t xml:space="preserve">části realizována následující rok (2025), pak se použije příjmový účet </w:t>
      </w:r>
      <w:r w:rsidR="007306EB">
        <w:rPr>
          <w:color w:val="231F20"/>
          <w:spacing w:val="2"/>
          <w:sz w:val="24"/>
        </w:rPr>
        <w:t>xxxxx</w:t>
      </w:r>
      <w:r>
        <w:rPr>
          <w:color w:val="231F20"/>
          <w:sz w:val="24"/>
        </w:rPr>
        <w:t xml:space="preserve">. Případný odvod či penále se hradí na účet poskytovatele    </w:t>
      </w:r>
      <w:r w:rsidR="007306EB">
        <w:rPr>
          <w:color w:val="231F20"/>
          <w:sz w:val="24"/>
        </w:rPr>
        <w:t xml:space="preserve">                                                    </w:t>
      </w:r>
      <w:r>
        <w:rPr>
          <w:color w:val="231F20"/>
          <w:sz w:val="24"/>
        </w:rPr>
        <w:t>č.</w:t>
      </w:r>
      <w:r>
        <w:rPr>
          <w:color w:val="231F20"/>
          <w:spacing w:val="-11"/>
          <w:sz w:val="24"/>
        </w:rPr>
        <w:t xml:space="preserve"> </w:t>
      </w:r>
      <w:r w:rsidR="007306EB">
        <w:rPr>
          <w:color w:val="231F20"/>
          <w:sz w:val="24"/>
        </w:rPr>
        <w:t>xxxxx</w:t>
      </w:r>
      <w:r>
        <w:rPr>
          <w:color w:val="231F20"/>
          <w:sz w:val="24"/>
        </w:rPr>
        <w:t>.</w:t>
      </w:r>
    </w:p>
    <w:p w14:paraId="35DFC988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ind w:right="122" w:hanging="566"/>
        <w:jc w:val="both"/>
        <w:rPr>
          <w:sz w:val="24"/>
        </w:rPr>
      </w:pPr>
      <w:r>
        <w:rPr>
          <w:color w:val="231F20"/>
          <w:sz w:val="24"/>
        </w:rPr>
        <w:t>Příjemce se  zavazuje  seznámit  poskytovatele,  do  15  dnů  od  jejich  vzniku, s těmito skutečnostmi: se změnami zakladatelské listiny, adresy sídla, bankovního spojení, statutárního zástupce, jakož i jinými změnami, které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mohou podstatně ovlivnit způsob jeho finančního hospodaření a náplň jeho aktivit ve vztahu k poskytnuté dotaci. V případě přeměny příjemce, který je právnickou osobou, nebo jeho zrušení s likvidací, je příjemce povinen o této skutečnosti poskytovatele předem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informovat.</w:t>
      </w:r>
    </w:p>
    <w:p w14:paraId="65433B99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ind w:right="121" w:hanging="566"/>
        <w:jc w:val="both"/>
        <w:rPr>
          <w:i/>
          <w:sz w:val="24"/>
        </w:rPr>
      </w:pPr>
      <w:r>
        <w:rPr>
          <w:color w:val="231F20"/>
          <w:sz w:val="24"/>
        </w:rPr>
        <w:t>Příjemce je povinen uvádět logo poskytovatele na svých webových stránkách nebo sociálních sítích (jsou-li zřízeny) po dobu realizace podpořeného projektu, dále je příjemce povinen označit propagační materiály příjemce, vztahující se    k účelu dotace, logem poskytovatele (jsou-li vydávány) a umístit reklamní panel, nebo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obdobné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zařízení,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logem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poskytovatele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místa,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kterém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prováděna podpořená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činnost</w:t>
      </w:r>
      <w:r>
        <w:rPr>
          <w:i/>
          <w:color w:val="231F20"/>
          <w:sz w:val="24"/>
        </w:rPr>
        <w:t>.</w:t>
      </w:r>
    </w:p>
    <w:p w14:paraId="5F524A93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spacing w:before="121"/>
        <w:ind w:right="120" w:hanging="566"/>
        <w:jc w:val="both"/>
        <w:rPr>
          <w:sz w:val="24"/>
        </w:rPr>
      </w:pPr>
      <w:r>
        <w:rPr>
          <w:color w:val="231F20"/>
          <w:sz w:val="24"/>
        </w:rPr>
        <w:t>Poskytovatel uděluje příjemci souhlas s bezúplatným užitím loga Olomouckého kraje způsobem a v rozsahu uvedeném v čl. II odst. 10 této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smlouvy.</w:t>
      </w:r>
    </w:p>
    <w:p w14:paraId="7303DC1D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spacing w:before="119"/>
        <w:ind w:right="121" w:hanging="566"/>
        <w:jc w:val="both"/>
        <w:rPr>
          <w:sz w:val="24"/>
        </w:rPr>
      </w:pPr>
      <w:r>
        <w:rPr>
          <w:color w:val="231F20"/>
          <w:sz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76204842" w14:textId="77777777" w:rsidR="00963CBF" w:rsidRDefault="00316302">
      <w:pPr>
        <w:pStyle w:val="Odstavecseseznamem"/>
        <w:numPr>
          <w:ilvl w:val="0"/>
          <w:numId w:val="2"/>
        </w:numPr>
        <w:tabs>
          <w:tab w:val="left" w:pos="685"/>
        </w:tabs>
        <w:ind w:right="131" w:hanging="566"/>
        <w:jc w:val="both"/>
        <w:rPr>
          <w:sz w:val="24"/>
        </w:rPr>
      </w:pPr>
      <w:r>
        <w:rPr>
          <w:color w:val="231F20"/>
          <w:sz w:val="24"/>
        </w:rPr>
        <w:t>Příjemce prohlašuje, že ke dni podpisu této smlouvy u něj není dána žádná ze skutečností, pro kterou nelze poskytnout dotaci dle čl. 1 odst.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6</w:t>
      </w:r>
      <w:r>
        <w:rPr>
          <w:color w:val="3953A4"/>
          <w:sz w:val="24"/>
        </w:rPr>
        <w:t>.</w:t>
      </w:r>
    </w:p>
    <w:p w14:paraId="4F80F267" w14:textId="77777777" w:rsidR="00963CBF" w:rsidRDefault="00316302">
      <w:pPr>
        <w:pStyle w:val="Zkladntext"/>
        <w:ind w:right="117"/>
      </w:pPr>
      <w:r>
        <w:rPr>
          <w:color w:val="231F20"/>
        </w:rPr>
        <w:t>Příjemce dále prohlašuje, že v době od podání žádosti o dotaci do dne podpisu této smlouvy u něj nedošlo k žádné změně předpokládané v čl. 1 odst. 6 Zásad, kterou ve lhůtě stanovené Zásadami neoznámil poskytovateli.</w:t>
      </w:r>
    </w:p>
    <w:p w14:paraId="20E03EF3" w14:textId="77777777" w:rsidR="00963CBF" w:rsidRDefault="00316302">
      <w:pPr>
        <w:pStyle w:val="Zkladntext"/>
        <w:ind w:right="119"/>
      </w:pPr>
      <w:r>
        <w:rPr>
          <w:color w:val="231F20"/>
        </w:rPr>
        <w:t>V případě nepravdivosti některého z těchto prohlášení se jedná o porušení rozpočtové kázně ve smyslu ust. § 22 zákona č. 250/2000 Sb., o rozpočtových pravidlech územních rozpočtů, ve znění pozdějších předpisů.</w:t>
      </w:r>
    </w:p>
    <w:p w14:paraId="55DBA879" w14:textId="77777777" w:rsidR="00963CBF" w:rsidRDefault="00963CBF">
      <w:pPr>
        <w:pStyle w:val="Zkladntext"/>
        <w:spacing w:before="0"/>
        <w:ind w:left="0"/>
        <w:jc w:val="left"/>
        <w:rPr>
          <w:sz w:val="26"/>
        </w:rPr>
      </w:pPr>
    </w:p>
    <w:p w14:paraId="66DB0CA3" w14:textId="77777777" w:rsidR="00963CBF" w:rsidRDefault="00316302">
      <w:pPr>
        <w:pStyle w:val="Nadpis1"/>
        <w:ind w:right="100"/>
      </w:pPr>
      <w:r>
        <w:rPr>
          <w:color w:val="231F20"/>
        </w:rPr>
        <w:t>III.</w:t>
      </w:r>
    </w:p>
    <w:p w14:paraId="7C80AB84" w14:textId="77777777" w:rsidR="00963CBF" w:rsidRDefault="00963CBF">
      <w:pPr>
        <w:pStyle w:val="Zkladntext"/>
        <w:spacing w:before="4"/>
        <w:ind w:left="0"/>
        <w:jc w:val="left"/>
        <w:rPr>
          <w:b/>
          <w:sz w:val="21"/>
        </w:rPr>
      </w:pPr>
    </w:p>
    <w:p w14:paraId="6F40F324" w14:textId="77777777" w:rsidR="00963CBF" w:rsidRDefault="00316302">
      <w:pPr>
        <w:pStyle w:val="Odstavecseseznamem"/>
        <w:numPr>
          <w:ilvl w:val="0"/>
          <w:numId w:val="1"/>
        </w:numPr>
        <w:tabs>
          <w:tab w:val="left" w:pos="684"/>
        </w:tabs>
        <w:spacing w:before="0" w:line="274" w:lineRule="exact"/>
        <w:ind w:right="124"/>
        <w:jc w:val="both"/>
        <w:rPr>
          <w:sz w:val="24"/>
        </w:rPr>
      </w:pPr>
      <w:r>
        <w:rPr>
          <w:color w:val="231F20"/>
          <w:sz w:val="24"/>
        </w:rPr>
        <w:t>Smlouva se uzavírá v souladu s § 159 a násl. zákona č. 500/2004 Sb., správní řád,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znění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pozdějších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právních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předpisů,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zákonem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250/2000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Sb.,</w:t>
      </w:r>
    </w:p>
    <w:p w14:paraId="29BCA696" w14:textId="77777777" w:rsidR="00963CBF" w:rsidRDefault="00316302">
      <w:pPr>
        <w:pStyle w:val="Zkladntext"/>
        <w:spacing w:before="0"/>
        <w:ind w:right="132"/>
      </w:pPr>
      <w:r>
        <w:rPr>
          <w:color w:val="231F20"/>
        </w:rPr>
        <w:t>o rozpočtových pravidlech územních rozpočtů, ve znění pozdějších právních předpisů.</w:t>
      </w:r>
    </w:p>
    <w:p w14:paraId="454FA1BB" w14:textId="77777777" w:rsidR="00963CBF" w:rsidRDefault="00316302">
      <w:pPr>
        <w:pStyle w:val="Odstavecseseznamem"/>
        <w:numPr>
          <w:ilvl w:val="0"/>
          <w:numId w:val="1"/>
        </w:numPr>
        <w:tabs>
          <w:tab w:val="left" w:pos="683"/>
          <w:tab w:val="left" w:pos="685"/>
        </w:tabs>
        <w:spacing w:before="124"/>
        <w:ind w:hanging="567"/>
        <w:rPr>
          <w:sz w:val="24"/>
        </w:rPr>
      </w:pPr>
      <w:r>
        <w:rPr>
          <w:color w:val="231F20"/>
          <w:sz w:val="24"/>
        </w:rPr>
        <w:t>Tato smlouva nabývá platnosti a účinnosti dnem jejího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uzavření.</w:t>
      </w:r>
    </w:p>
    <w:p w14:paraId="1AFC6997" w14:textId="77777777" w:rsidR="00963CBF" w:rsidRDefault="00316302">
      <w:pPr>
        <w:pStyle w:val="Odstavecseseznamem"/>
        <w:numPr>
          <w:ilvl w:val="0"/>
          <w:numId w:val="1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color w:val="231F20"/>
          <w:sz w:val="24"/>
        </w:rPr>
        <w:t>Tuto smlouvu lze měnit pouze písemnými vzestupně číslovanými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dodatky.</w:t>
      </w:r>
    </w:p>
    <w:p w14:paraId="606B737C" w14:textId="77777777" w:rsidR="00963CBF" w:rsidRDefault="00316302">
      <w:pPr>
        <w:pStyle w:val="Odstavecseseznamem"/>
        <w:numPr>
          <w:ilvl w:val="0"/>
          <w:numId w:val="1"/>
        </w:numPr>
        <w:tabs>
          <w:tab w:val="left" w:pos="685"/>
        </w:tabs>
        <w:spacing w:before="119"/>
        <w:ind w:right="121"/>
        <w:jc w:val="both"/>
        <w:rPr>
          <w:sz w:val="24"/>
        </w:rPr>
      </w:pPr>
      <w:r>
        <w:rPr>
          <w:color w:val="231F20"/>
          <w:sz w:val="24"/>
        </w:rPr>
        <w:t>Smluvní strany prohlašují, že souhlasí s případným zveřejněním textu této smlouvy  v souladu  se  zákonem  č.  106/1999  Sb.,  o  svobodném  přístupu    k informacím, ve znění pozdějších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předpisů.</w:t>
      </w:r>
    </w:p>
    <w:p w14:paraId="153A4DA4" w14:textId="77777777" w:rsidR="00963CBF" w:rsidRDefault="00963CBF">
      <w:pPr>
        <w:jc w:val="both"/>
        <w:rPr>
          <w:sz w:val="24"/>
        </w:rPr>
        <w:sectPr w:rsidR="00963CBF">
          <w:pgSz w:w="11910" w:h="16840"/>
          <w:pgMar w:top="1340" w:right="1300" w:bottom="920" w:left="1300" w:header="0" w:footer="738" w:gutter="0"/>
          <w:cols w:space="708"/>
        </w:sectPr>
      </w:pPr>
    </w:p>
    <w:p w14:paraId="78C14E23" w14:textId="77777777" w:rsidR="00963CBF" w:rsidRDefault="00316302">
      <w:pPr>
        <w:pStyle w:val="Odstavecseseznamem"/>
        <w:numPr>
          <w:ilvl w:val="0"/>
          <w:numId w:val="1"/>
        </w:numPr>
        <w:tabs>
          <w:tab w:val="left" w:pos="685"/>
        </w:tabs>
        <w:spacing w:before="77"/>
        <w:ind w:right="101"/>
        <w:jc w:val="both"/>
        <w:rPr>
          <w:sz w:val="24"/>
        </w:rPr>
      </w:pPr>
      <w:r>
        <w:rPr>
          <w:color w:val="231F20"/>
          <w:sz w:val="24"/>
        </w:rPr>
        <w:lastRenderedPageBreak/>
        <w:t>Příjemce bere  na  vědomí,  že  osobní  údaje  poskytnuté  Olomouckému  kraji v souvislosti  s poskytnutím  dotace  dle  této  smlouvy  budou  zpracovávány    v souladu s nařízením EU o ochraně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z w:val="24"/>
        </w:rPr>
        <w:t>osobních údajů (GDPR). Bližší informace o způsobech zpracování a právech příjemce při zpracování osobních údajů jsou zveřejněny na webových stránkách Olomouckého kraje</w:t>
      </w:r>
      <w:r>
        <w:rPr>
          <w:color w:val="231F20"/>
          <w:spacing w:val="-20"/>
          <w:sz w:val="24"/>
        </w:rPr>
        <w:t xml:space="preserve"> </w:t>
      </w:r>
      <w:hyperlink r:id="rId8">
        <w:r>
          <w:rPr>
            <w:color w:val="3953A4"/>
            <w:sz w:val="24"/>
            <w:u w:val="single" w:color="3953A4"/>
          </w:rPr>
          <w:t>www.olkraj.cz</w:t>
        </w:r>
        <w:r>
          <w:rPr>
            <w:color w:val="231F20"/>
            <w:sz w:val="24"/>
          </w:rPr>
          <w:t>.</w:t>
        </w:r>
      </w:hyperlink>
    </w:p>
    <w:p w14:paraId="2ADF9272" w14:textId="77777777" w:rsidR="00963CBF" w:rsidRDefault="00316302">
      <w:pPr>
        <w:pStyle w:val="Odstavecseseznamem"/>
        <w:numPr>
          <w:ilvl w:val="0"/>
          <w:numId w:val="1"/>
        </w:numPr>
        <w:tabs>
          <w:tab w:val="left" w:pos="685"/>
        </w:tabs>
        <w:ind w:right="104"/>
        <w:jc w:val="both"/>
        <w:rPr>
          <w:sz w:val="24"/>
        </w:rPr>
      </w:pPr>
      <w:r>
        <w:rPr>
          <w:color w:val="231F20"/>
          <w:sz w:val="24"/>
        </w:rPr>
        <w:t>Poskytnutí dotace a uzavření této smlouvy bylo schváleno usnesením Rady Olomouckého kraje č. UR/113/42/2024 ze dne 22. 7.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2024.</w:t>
      </w:r>
    </w:p>
    <w:p w14:paraId="5E01F176" w14:textId="77777777" w:rsidR="00963CBF" w:rsidRDefault="00316302">
      <w:pPr>
        <w:pStyle w:val="Odstavecseseznamem"/>
        <w:numPr>
          <w:ilvl w:val="0"/>
          <w:numId w:val="1"/>
        </w:numPr>
        <w:tabs>
          <w:tab w:val="left" w:pos="685"/>
        </w:tabs>
        <w:ind w:right="99"/>
        <w:jc w:val="both"/>
        <w:rPr>
          <w:sz w:val="24"/>
        </w:rPr>
      </w:pPr>
      <w:r>
        <w:rPr>
          <w:color w:val="231F20"/>
          <w:sz w:val="24"/>
        </w:rPr>
        <w:t>Tato smlouva je uzavřena v elektronické podobě, tj. elektronicky podepsána oprávněnými zástupci smluvních stran s doručením návrhu smlouvy a jeho akceptace elektronickým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způsobem.</w:t>
      </w:r>
    </w:p>
    <w:p w14:paraId="0B9911BD" w14:textId="77777777" w:rsidR="00963CBF" w:rsidRDefault="00963CBF">
      <w:pPr>
        <w:pStyle w:val="Zkladntext"/>
        <w:spacing w:before="0"/>
        <w:ind w:left="0"/>
        <w:jc w:val="left"/>
        <w:rPr>
          <w:sz w:val="26"/>
        </w:rPr>
      </w:pPr>
    </w:p>
    <w:p w14:paraId="0A4A3949" w14:textId="77777777" w:rsidR="00963CBF" w:rsidRDefault="00963CBF">
      <w:pPr>
        <w:pStyle w:val="Zkladntext"/>
        <w:spacing w:before="4"/>
        <w:ind w:left="0"/>
        <w:jc w:val="left"/>
        <w:rPr>
          <w:sz w:val="22"/>
        </w:rPr>
      </w:pPr>
    </w:p>
    <w:p w14:paraId="5C844CC8" w14:textId="1FD5C279" w:rsidR="00963CBF" w:rsidRDefault="00316302">
      <w:pPr>
        <w:pStyle w:val="Zkladntext"/>
        <w:tabs>
          <w:tab w:val="left" w:pos="4727"/>
        </w:tabs>
        <w:spacing w:before="0"/>
        <w:ind w:left="187"/>
        <w:jc w:val="left"/>
      </w:pP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poskytovatele</w:t>
      </w:r>
      <w:r w:rsidR="00D21AFB">
        <w:rPr>
          <w:color w:val="231F20"/>
        </w:rPr>
        <w:t xml:space="preserve"> dne 2.8.2024</w:t>
      </w:r>
      <w:r>
        <w:rPr>
          <w:color w:val="231F20"/>
        </w:rPr>
        <w:tab/>
      </w:r>
      <w:r w:rsidR="00D21AFB">
        <w:rPr>
          <w:color w:val="231F20"/>
        </w:rPr>
        <w:t xml:space="preserve">         </w:t>
      </w:r>
      <w:r>
        <w:rPr>
          <w:color w:val="231F20"/>
        </w:rPr>
        <w:t>Příjemce</w:t>
      </w:r>
      <w:r w:rsidR="00D21AFB">
        <w:rPr>
          <w:color w:val="231F20"/>
        </w:rPr>
        <w:t xml:space="preserve"> </w:t>
      </w:r>
      <w:r w:rsidR="00D21AFB">
        <w:rPr>
          <w:color w:val="231F20"/>
        </w:rPr>
        <w:t xml:space="preserve">dne </w:t>
      </w:r>
      <w:r w:rsidR="00D21AFB">
        <w:rPr>
          <w:color w:val="231F20"/>
        </w:rPr>
        <w:t>9</w:t>
      </w:r>
      <w:r w:rsidR="00D21AFB">
        <w:rPr>
          <w:color w:val="231F20"/>
        </w:rPr>
        <w:t>.8.2024</w:t>
      </w:r>
    </w:p>
    <w:p w14:paraId="5A827563" w14:textId="5AC29171" w:rsidR="00963CBF" w:rsidRPr="00D21AFB" w:rsidRDefault="00D21AFB">
      <w:pPr>
        <w:pStyle w:val="Zkladntext"/>
        <w:spacing w:before="0"/>
        <w:ind w:left="0"/>
        <w:jc w:val="left"/>
      </w:pPr>
      <w:r>
        <w:rPr>
          <w:sz w:val="20"/>
        </w:rPr>
        <w:t xml:space="preserve">  </w:t>
      </w:r>
      <w:r w:rsidRPr="00D21AFB">
        <w:t xml:space="preserve"> </w:t>
      </w:r>
    </w:p>
    <w:p w14:paraId="59DE43E9" w14:textId="77777777" w:rsidR="00963CBF" w:rsidRDefault="00963CBF">
      <w:pPr>
        <w:pStyle w:val="Zkladntext"/>
        <w:spacing w:before="0"/>
        <w:ind w:left="0"/>
        <w:jc w:val="left"/>
        <w:rPr>
          <w:sz w:val="20"/>
        </w:rPr>
      </w:pPr>
    </w:p>
    <w:p w14:paraId="3EE01F88" w14:textId="77777777" w:rsidR="00963CBF" w:rsidRDefault="00963CBF">
      <w:pPr>
        <w:rPr>
          <w:sz w:val="20"/>
        </w:rPr>
        <w:sectPr w:rsidR="00963CBF">
          <w:pgSz w:w="11910" w:h="16840"/>
          <w:pgMar w:top="1340" w:right="1320" w:bottom="920" w:left="1300" w:header="0" w:footer="738" w:gutter="0"/>
          <w:cols w:space="708"/>
        </w:sectPr>
      </w:pPr>
    </w:p>
    <w:p w14:paraId="37266EBC" w14:textId="3180D3CC" w:rsidR="00963CBF" w:rsidRDefault="00D21AFB">
      <w:pPr>
        <w:pStyle w:val="Zkladntext"/>
        <w:spacing w:before="209"/>
        <w:ind w:left="275"/>
        <w:jc w:val="center"/>
      </w:pPr>
      <w:r>
        <w:rPr>
          <w:color w:val="231F20"/>
        </w:rPr>
        <w:t>xxxxx</w:t>
      </w:r>
    </w:p>
    <w:p w14:paraId="58730354" w14:textId="77777777" w:rsidR="00963CBF" w:rsidRDefault="00316302">
      <w:pPr>
        <w:pStyle w:val="Zkladntext"/>
        <w:spacing w:before="0"/>
        <w:ind w:left="271"/>
        <w:jc w:val="center"/>
      </w:pPr>
      <w:r>
        <w:rPr>
          <w:color w:val="231F20"/>
        </w:rPr>
        <w:t>uvolněný člen Rady Olomouckého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kraje</w:t>
      </w:r>
    </w:p>
    <w:p w14:paraId="4F538FF9" w14:textId="1A03F3F9" w:rsidR="00963CBF" w:rsidRDefault="00316302">
      <w:pPr>
        <w:pStyle w:val="Zkladntext"/>
        <w:spacing w:before="209"/>
        <w:ind w:left="253" w:right="807"/>
        <w:jc w:val="center"/>
      </w:pPr>
      <w:r>
        <w:br w:type="column"/>
      </w:r>
      <w:r w:rsidR="00D21AFB">
        <w:rPr>
          <w:color w:val="231F20"/>
        </w:rPr>
        <w:t>xxxxx</w:t>
      </w:r>
    </w:p>
    <w:p w14:paraId="53C710DB" w14:textId="77777777" w:rsidR="00963CBF" w:rsidRDefault="00316302">
      <w:pPr>
        <w:pStyle w:val="Zkladntext"/>
        <w:spacing w:before="0"/>
        <w:ind w:left="253" w:right="802"/>
        <w:jc w:val="center"/>
      </w:pPr>
      <w:r>
        <w:rPr>
          <w:color w:val="231F20"/>
        </w:rPr>
        <w:t>rektor</w:t>
      </w:r>
    </w:p>
    <w:sectPr w:rsidR="00963CBF">
      <w:type w:val="continuous"/>
      <w:pgSz w:w="11910" w:h="16840"/>
      <w:pgMar w:top="640" w:right="1320" w:bottom="920" w:left="1300" w:header="708" w:footer="708" w:gutter="0"/>
      <w:cols w:num="2" w:space="708" w:equalWidth="0">
        <w:col w:w="4499" w:space="609"/>
        <w:col w:w="41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0ABD" w14:textId="77777777" w:rsidR="0048355D" w:rsidRDefault="0048355D">
      <w:r>
        <w:separator/>
      </w:r>
    </w:p>
  </w:endnote>
  <w:endnote w:type="continuationSeparator" w:id="0">
    <w:p w14:paraId="11AE1881" w14:textId="77777777" w:rsidR="0048355D" w:rsidRDefault="0048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B1AE" w14:textId="77777777" w:rsidR="00963CBF" w:rsidRDefault="0048355D">
    <w:pPr>
      <w:pStyle w:val="Zkladntext"/>
      <w:spacing w:before="0" w:line="14" w:lineRule="auto"/>
      <w:ind w:left="0"/>
      <w:jc w:val="left"/>
      <w:rPr>
        <w:sz w:val="20"/>
      </w:rPr>
    </w:pPr>
    <w:r>
      <w:pict w14:anchorId="700422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5pt;margin-top:794.1pt;width:9.55pt;height:13.15pt;z-index:-251658752;mso-position-horizontal-relative:page;mso-position-vertical-relative:page" filled="f" stroked="f">
          <v:textbox inset="0,0,0,0">
            <w:txbxContent>
              <w:p w14:paraId="69B7EC02" w14:textId="77777777" w:rsidR="00963CBF" w:rsidRDefault="00316302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181C" w14:textId="77777777" w:rsidR="0048355D" w:rsidRDefault="0048355D">
      <w:r>
        <w:separator/>
      </w:r>
    </w:p>
  </w:footnote>
  <w:footnote w:type="continuationSeparator" w:id="0">
    <w:p w14:paraId="3A39EDBB" w14:textId="77777777" w:rsidR="0048355D" w:rsidRDefault="0048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4C5"/>
    <w:multiLevelType w:val="hybridMultilevel"/>
    <w:tmpl w:val="41B42B4E"/>
    <w:lvl w:ilvl="0" w:tplc="DEA026F4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1" w:tplc="E7ECC46A">
      <w:start w:val="1"/>
      <w:numFmt w:val="lowerLetter"/>
      <w:lvlText w:val="%2)"/>
      <w:lvlJc w:val="left"/>
      <w:pPr>
        <w:ind w:left="1111" w:hanging="427"/>
        <w:jc w:val="left"/>
      </w:pPr>
      <w:rPr>
        <w:rFonts w:ascii="Arial" w:eastAsia="Arial" w:hAnsi="Arial" w:cs="Arial" w:hint="default"/>
        <w:color w:val="231F20"/>
        <w:spacing w:val="-3"/>
        <w:w w:val="99"/>
        <w:sz w:val="24"/>
        <w:szCs w:val="24"/>
      </w:rPr>
    </w:lvl>
    <w:lvl w:ilvl="2" w:tplc="B62077FC">
      <w:numFmt w:val="bullet"/>
      <w:lvlText w:val="•"/>
      <w:lvlJc w:val="left"/>
      <w:pPr>
        <w:ind w:left="2029" w:hanging="427"/>
      </w:pPr>
      <w:rPr>
        <w:rFonts w:hint="default"/>
      </w:rPr>
    </w:lvl>
    <w:lvl w:ilvl="3" w:tplc="74AEA52E">
      <w:numFmt w:val="bullet"/>
      <w:lvlText w:val="•"/>
      <w:lvlJc w:val="left"/>
      <w:pPr>
        <w:ind w:left="2938" w:hanging="427"/>
      </w:pPr>
      <w:rPr>
        <w:rFonts w:hint="default"/>
      </w:rPr>
    </w:lvl>
    <w:lvl w:ilvl="4" w:tplc="73420CAC">
      <w:numFmt w:val="bullet"/>
      <w:lvlText w:val="•"/>
      <w:lvlJc w:val="left"/>
      <w:pPr>
        <w:ind w:left="3848" w:hanging="427"/>
      </w:pPr>
      <w:rPr>
        <w:rFonts w:hint="default"/>
      </w:rPr>
    </w:lvl>
    <w:lvl w:ilvl="5" w:tplc="9072E2A8">
      <w:numFmt w:val="bullet"/>
      <w:lvlText w:val="•"/>
      <w:lvlJc w:val="left"/>
      <w:pPr>
        <w:ind w:left="4757" w:hanging="427"/>
      </w:pPr>
      <w:rPr>
        <w:rFonts w:hint="default"/>
      </w:rPr>
    </w:lvl>
    <w:lvl w:ilvl="6" w:tplc="C1DCC046">
      <w:numFmt w:val="bullet"/>
      <w:lvlText w:val="•"/>
      <w:lvlJc w:val="left"/>
      <w:pPr>
        <w:ind w:left="5666" w:hanging="427"/>
      </w:pPr>
      <w:rPr>
        <w:rFonts w:hint="default"/>
      </w:rPr>
    </w:lvl>
    <w:lvl w:ilvl="7" w:tplc="B82ABF7A">
      <w:numFmt w:val="bullet"/>
      <w:lvlText w:val="•"/>
      <w:lvlJc w:val="left"/>
      <w:pPr>
        <w:ind w:left="6576" w:hanging="427"/>
      </w:pPr>
      <w:rPr>
        <w:rFonts w:hint="default"/>
      </w:rPr>
    </w:lvl>
    <w:lvl w:ilvl="8" w:tplc="33A49F94">
      <w:numFmt w:val="bullet"/>
      <w:lvlText w:val="•"/>
      <w:lvlJc w:val="left"/>
      <w:pPr>
        <w:ind w:left="7485" w:hanging="427"/>
      </w:pPr>
      <w:rPr>
        <w:rFonts w:hint="default"/>
      </w:rPr>
    </w:lvl>
  </w:abstractNum>
  <w:abstractNum w:abstractNumId="1" w15:restartNumberingAfterBreak="0">
    <w:nsid w:val="2E6D4107"/>
    <w:multiLevelType w:val="multilevel"/>
    <w:tmpl w:val="EFE0F126"/>
    <w:lvl w:ilvl="0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color w:val="231F20"/>
        <w:spacing w:val="-33"/>
        <w:w w:val="96"/>
        <w:sz w:val="24"/>
        <w:szCs w:val="24"/>
      </w:rPr>
    </w:lvl>
    <w:lvl w:ilvl="1">
      <w:start w:val="1"/>
      <w:numFmt w:val="decimal"/>
      <w:lvlText w:val="%1.%2."/>
      <w:lvlJc w:val="left"/>
      <w:pPr>
        <w:ind w:left="1403" w:hanging="720"/>
        <w:jc w:val="left"/>
      </w:pPr>
      <w:rPr>
        <w:rFonts w:ascii="Arial" w:eastAsia="Arial" w:hAnsi="Arial" w:cs="Arial" w:hint="default"/>
        <w:color w:val="231F20"/>
        <w:spacing w:val="-27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761" w:hanging="358"/>
        <w:jc w:val="left"/>
      </w:pPr>
      <w:rPr>
        <w:rFonts w:ascii="Arial" w:eastAsia="Arial" w:hAnsi="Arial" w:cs="Arial" w:hint="default"/>
        <w:color w:val="231F20"/>
        <w:spacing w:val="-33"/>
        <w:w w:val="99"/>
        <w:sz w:val="24"/>
        <w:szCs w:val="24"/>
      </w:rPr>
    </w:lvl>
    <w:lvl w:ilvl="3">
      <w:numFmt w:val="bullet"/>
      <w:lvlText w:val="•"/>
      <w:lvlJc w:val="left"/>
      <w:pPr>
        <w:ind w:left="2703" w:hanging="358"/>
      </w:pPr>
      <w:rPr>
        <w:rFonts w:hint="default"/>
      </w:rPr>
    </w:lvl>
    <w:lvl w:ilvl="4">
      <w:numFmt w:val="bullet"/>
      <w:lvlText w:val="•"/>
      <w:lvlJc w:val="left"/>
      <w:pPr>
        <w:ind w:left="3646" w:hanging="358"/>
      </w:pPr>
      <w:rPr>
        <w:rFonts w:hint="default"/>
      </w:rPr>
    </w:lvl>
    <w:lvl w:ilvl="5">
      <w:numFmt w:val="bullet"/>
      <w:lvlText w:val="•"/>
      <w:lvlJc w:val="left"/>
      <w:pPr>
        <w:ind w:left="4589" w:hanging="358"/>
      </w:pPr>
      <w:rPr>
        <w:rFonts w:hint="default"/>
      </w:rPr>
    </w:lvl>
    <w:lvl w:ilvl="6">
      <w:numFmt w:val="bullet"/>
      <w:lvlText w:val="•"/>
      <w:lvlJc w:val="left"/>
      <w:pPr>
        <w:ind w:left="5532" w:hanging="358"/>
      </w:pPr>
      <w:rPr>
        <w:rFonts w:hint="default"/>
      </w:rPr>
    </w:lvl>
    <w:lvl w:ilvl="7">
      <w:numFmt w:val="bullet"/>
      <w:lvlText w:val="•"/>
      <w:lvlJc w:val="left"/>
      <w:pPr>
        <w:ind w:left="6475" w:hanging="358"/>
      </w:pPr>
      <w:rPr>
        <w:rFonts w:hint="default"/>
      </w:rPr>
    </w:lvl>
    <w:lvl w:ilvl="8">
      <w:numFmt w:val="bullet"/>
      <w:lvlText w:val="•"/>
      <w:lvlJc w:val="left"/>
      <w:pPr>
        <w:ind w:left="7418" w:hanging="358"/>
      </w:pPr>
      <w:rPr>
        <w:rFonts w:hint="default"/>
      </w:rPr>
    </w:lvl>
  </w:abstractNum>
  <w:abstractNum w:abstractNumId="2" w15:restartNumberingAfterBreak="0">
    <w:nsid w:val="6C6D6227"/>
    <w:multiLevelType w:val="hybridMultilevel"/>
    <w:tmpl w:val="7F148990"/>
    <w:lvl w:ilvl="0" w:tplc="DAEE94B6">
      <w:start w:val="1"/>
      <w:numFmt w:val="decimal"/>
      <w:lvlText w:val="%1."/>
      <w:lvlJc w:val="left"/>
      <w:pPr>
        <w:ind w:left="684" w:hanging="566"/>
        <w:jc w:val="left"/>
      </w:pPr>
      <w:rPr>
        <w:rFonts w:ascii="Arial" w:eastAsia="Arial" w:hAnsi="Arial" w:cs="Arial" w:hint="default"/>
        <w:color w:val="231F20"/>
        <w:spacing w:val="-26"/>
        <w:w w:val="99"/>
        <w:sz w:val="24"/>
        <w:szCs w:val="24"/>
      </w:rPr>
    </w:lvl>
    <w:lvl w:ilvl="1" w:tplc="770462C2">
      <w:numFmt w:val="bullet"/>
      <w:lvlText w:val="•"/>
      <w:lvlJc w:val="left"/>
      <w:pPr>
        <w:ind w:left="1542" w:hanging="566"/>
      </w:pPr>
      <w:rPr>
        <w:rFonts w:hint="default"/>
      </w:rPr>
    </w:lvl>
    <w:lvl w:ilvl="2" w:tplc="08BEDB90">
      <w:numFmt w:val="bullet"/>
      <w:lvlText w:val="•"/>
      <w:lvlJc w:val="left"/>
      <w:pPr>
        <w:ind w:left="2404" w:hanging="566"/>
      </w:pPr>
      <w:rPr>
        <w:rFonts w:hint="default"/>
      </w:rPr>
    </w:lvl>
    <w:lvl w:ilvl="3" w:tplc="BFEAF3FC">
      <w:numFmt w:val="bullet"/>
      <w:lvlText w:val="•"/>
      <w:lvlJc w:val="left"/>
      <w:pPr>
        <w:ind w:left="3267" w:hanging="566"/>
      </w:pPr>
      <w:rPr>
        <w:rFonts w:hint="default"/>
      </w:rPr>
    </w:lvl>
    <w:lvl w:ilvl="4" w:tplc="AB7C4608">
      <w:numFmt w:val="bullet"/>
      <w:lvlText w:val="•"/>
      <w:lvlJc w:val="left"/>
      <w:pPr>
        <w:ind w:left="4129" w:hanging="566"/>
      </w:pPr>
      <w:rPr>
        <w:rFonts w:hint="default"/>
      </w:rPr>
    </w:lvl>
    <w:lvl w:ilvl="5" w:tplc="31F4C488">
      <w:numFmt w:val="bullet"/>
      <w:lvlText w:val="•"/>
      <w:lvlJc w:val="left"/>
      <w:pPr>
        <w:ind w:left="4992" w:hanging="566"/>
      </w:pPr>
      <w:rPr>
        <w:rFonts w:hint="default"/>
      </w:rPr>
    </w:lvl>
    <w:lvl w:ilvl="6" w:tplc="31725070">
      <w:numFmt w:val="bullet"/>
      <w:lvlText w:val="•"/>
      <w:lvlJc w:val="left"/>
      <w:pPr>
        <w:ind w:left="5854" w:hanging="566"/>
      </w:pPr>
      <w:rPr>
        <w:rFonts w:hint="default"/>
      </w:rPr>
    </w:lvl>
    <w:lvl w:ilvl="7" w:tplc="30C45F5E">
      <w:numFmt w:val="bullet"/>
      <w:lvlText w:val="•"/>
      <w:lvlJc w:val="left"/>
      <w:pPr>
        <w:ind w:left="6717" w:hanging="566"/>
      </w:pPr>
      <w:rPr>
        <w:rFonts w:hint="default"/>
      </w:rPr>
    </w:lvl>
    <w:lvl w:ilvl="8" w:tplc="1116DDB8">
      <w:numFmt w:val="bullet"/>
      <w:lvlText w:val="•"/>
      <w:lvlJc w:val="left"/>
      <w:pPr>
        <w:ind w:left="7579" w:hanging="5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CBF"/>
    <w:rsid w:val="000D1EE8"/>
    <w:rsid w:val="00167695"/>
    <w:rsid w:val="00316302"/>
    <w:rsid w:val="003F6318"/>
    <w:rsid w:val="0048355D"/>
    <w:rsid w:val="005E5468"/>
    <w:rsid w:val="00660F5B"/>
    <w:rsid w:val="006A2432"/>
    <w:rsid w:val="007306EB"/>
    <w:rsid w:val="0080267A"/>
    <w:rsid w:val="0093238C"/>
    <w:rsid w:val="00963CBF"/>
    <w:rsid w:val="009742A4"/>
    <w:rsid w:val="009A2A0D"/>
    <w:rsid w:val="00CA2691"/>
    <w:rsid w:val="00D21AFB"/>
    <w:rsid w:val="00E86CA9"/>
    <w:rsid w:val="00F2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595EBE"/>
  <w15:docId w15:val="{CDF7898E-3ECE-4E6C-8DF9-9DAD328E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80"/>
      <w:ind w:left="101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684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4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2481</Words>
  <Characters>14639</Characters>
  <Application>Microsoft Office Word</Application>
  <DocSecurity>0</DocSecurity>
  <Lines>121</Lines>
  <Paragraphs>34</Paragraphs>
  <ScaleCrop>false</ScaleCrop>
  <Company>VSCHT Praha</Company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 Vysočina_smlouva_dotace_2462832019_original.pdf</dc:title>
  <dc:creator>maurerom</dc:creator>
  <cp:lastModifiedBy>Maurerova Marketa</cp:lastModifiedBy>
  <cp:revision>15</cp:revision>
  <dcterms:created xsi:type="dcterms:W3CDTF">2024-08-12T15:01:00Z</dcterms:created>
  <dcterms:modified xsi:type="dcterms:W3CDTF">2024-08-13T11:38:00Z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2013 (GORDIC PDF Normalizer 4.0.78.230)</vt:lpwstr>
  </property>
  <property fmtid="{D5CDD505-2E9C-101B-9397-08002B2CF9AE}" pid="4" name="LastSaved">
    <vt:filetime>2024-08-12T00:00:00Z</vt:filetime>
  </property>
</Properties>
</file>