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5220300390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jc w:val="left"/>
      </w:pPr>
      <w:r>
        <w:rPr/>
        <w:t>MĚSTSKÁ</w:t>
      </w:r>
      <w:r>
        <w:rPr>
          <w:spacing w:val="-11"/>
        </w:rPr>
        <w:t> </w:t>
      </w:r>
      <w:r>
        <w:rPr/>
        <w:t>DOPRAVA</w:t>
      </w:r>
      <w:r>
        <w:rPr>
          <w:spacing w:val="-7"/>
        </w:rPr>
        <w:t> </w:t>
      </w:r>
      <w:r>
        <w:rPr/>
        <w:t>Mariánské</w:t>
      </w:r>
      <w:r>
        <w:rPr>
          <w:spacing w:val="-10"/>
        </w:rPr>
        <w:t> </w:t>
      </w:r>
      <w:r>
        <w:rPr/>
        <w:t>Lázně</w:t>
      </w:r>
      <w:r>
        <w:rPr>
          <w:spacing w:val="-10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382" w:right="2429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1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 v Plzni, oddíl C, vložka 18572</w:t>
      </w:r>
    </w:p>
    <w:p>
      <w:pPr>
        <w:pStyle w:val="BodyText"/>
        <w:tabs>
          <w:tab w:pos="3255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Tepelská</w:t>
      </w:r>
      <w:r>
        <w:rPr>
          <w:spacing w:val="-8"/>
        </w:rPr>
        <w:t> </w:t>
      </w:r>
      <w:r>
        <w:rPr/>
        <w:t>871/5b,</w:t>
      </w:r>
      <w:r>
        <w:rPr>
          <w:spacing w:val="-6"/>
        </w:rPr>
        <w:t> </w:t>
      </w:r>
      <w:r>
        <w:rPr/>
        <w:t>Úšovice,</w:t>
      </w:r>
      <w:r>
        <w:rPr>
          <w:spacing w:val="-8"/>
        </w:rPr>
        <w:t> </w:t>
      </w:r>
      <w:r>
        <w:rPr/>
        <w:t>353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/>
        <w:t>Mariánské</w:t>
      </w:r>
      <w:r>
        <w:rPr>
          <w:spacing w:val="-8"/>
        </w:rPr>
        <w:t> </w:t>
      </w:r>
      <w:r>
        <w:rPr>
          <w:spacing w:val="-2"/>
        </w:rPr>
        <w:t>Lázně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26412501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Vladimírem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ě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UniCredit</w:t>
      </w:r>
      <w:r>
        <w:rPr>
          <w:spacing w:val="-7"/>
        </w:rPr>
        <w:t> </w:t>
      </w:r>
      <w:r>
        <w:rPr/>
        <w:t>Bank</w:t>
      </w:r>
      <w:r>
        <w:rPr>
          <w:spacing w:val="-6"/>
        </w:rPr>
        <w:t> </w:t>
      </w:r>
      <w:r>
        <w:rPr/>
        <w:t>Czech</w:t>
      </w:r>
      <w:r>
        <w:rPr>
          <w:spacing w:val="-6"/>
        </w:rPr>
        <w:t> </w:t>
      </w:r>
      <w:r>
        <w:rPr/>
        <w:t>Republic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Slovakia,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1387731127/2700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5220300390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579"/>
        <w:jc w:val="both"/>
      </w:pPr>
      <w:r>
        <w:rPr/>
        <w:t>„Pořízení</w:t>
      </w:r>
      <w:r>
        <w:rPr>
          <w:spacing w:val="-10"/>
        </w:rPr>
        <w:t> </w:t>
      </w:r>
      <w:r>
        <w:rPr/>
        <w:t>elektrovozidla</w:t>
      </w:r>
      <w:r>
        <w:rPr>
          <w:spacing w:val="-10"/>
        </w:rPr>
        <w:t> </w:t>
      </w:r>
      <w:r>
        <w:rPr/>
        <w:t>pro</w:t>
      </w:r>
      <w:r>
        <w:rPr>
          <w:spacing w:val="-9"/>
        </w:rPr>
        <w:t> </w:t>
      </w:r>
      <w:r>
        <w:rPr/>
        <w:t>MĚSTSKOU</w:t>
      </w:r>
      <w:r>
        <w:rPr>
          <w:spacing w:val="-10"/>
        </w:rPr>
        <w:t> </w:t>
      </w:r>
      <w:r>
        <w:rPr/>
        <w:t>DOPRAVU</w:t>
      </w:r>
      <w:r>
        <w:rPr>
          <w:spacing w:val="-8"/>
        </w:rPr>
        <w:t> </w:t>
      </w:r>
      <w:r>
        <w:rPr/>
        <w:t>Mariánské</w:t>
      </w:r>
      <w:r>
        <w:rPr>
          <w:spacing w:val="-8"/>
        </w:rPr>
        <w:t> </w:t>
      </w:r>
      <w:r>
        <w:rPr/>
        <w:t>Lázně</w:t>
      </w:r>
      <w:r>
        <w:rPr>
          <w:spacing w:val="-10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3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</w:t>
      </w:r>
      <w:r>
        <w:rPr>
          <w:spacing w:val="-1"/>
          <w:sz w:val="20"/>
        </w:rPr>
        <w:t> </w:t>
      </w:r>
      <w:r>
        <w:rPr>
          <w:sz w:val="20"/>
        </w:rPr>
        <w:t>unie na podporu de minimis, zveřejněném v Úředním věstníku EU dne 15. 12. 2023.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3" w:right="1039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devadesát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010"/>
      </w:tblGrid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61" w:right="155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10" w:type="dxa"/>
          </w:tcPr>
          <w:p>
            <w:pPr>
              <w:pStyle w:val="TableParagraph"/>
              <w:spacing w:before="120"/>
              <w:ind w:left="2006" w:right="2006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61" w:right="15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010" w:type="dxa"/>
          </w:tcPr>
          <w:p>
            <w:pPr>
              <w:pStyle w:val="TableParagraph"/>
              <w:spacing w:before="120"/>
              <w:ind w:left="2008" w:right="2006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2640" w:right="4677"/>
      </w:pPr>
      <w:r>
        <w:rPr>
          <w:spacing w:val="-5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2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„Pořízení</w:t>
      </w:r>
      <w:r>
        <w:rPr>
          <w:spacing w:val="55"/>
          <w:sz w:val="20"/>
        </w:rPr>
        <w:t> </w:t>
      </w:r>
      <w:r>
        <w:rPr>
          <w:sz w:val="20"/>
        </w:rPr>
        <w:t>elektrovozidla</w:t>
      </w:r>
      <w:r>
        <w:rPr>
          <w:spacing w:val="55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MĚSTSKOU</w:t>
      </w:r>
      <w:r>
        <w:rPr>
          <w:spacing w:val="55"/>
          <w:sz w:val="20"/>
        </w:rPr>
        <w:t> </w:t>
      </w:r>
      <w:r>
        <w:rPr>
          <w:sz w:val="20"/>
        </w:rPr>
        <w:t>DOPRAVU</w:t>
      </w:r>
      <w:r>
        <w:rPr>
          <w:spacing w:val="55"/>
          <w:sz w:val="20"/>
        </w:rPr>
        <w:t> </w:t>
      </w:r>
      <w:r>
        <w:rPr>
          <w:sz w:val="20"/>
        </w:rPr>
        <w:t>Mariánské</w:t>
      </w:r>
      <w:r>
        <w:rPr>
          <w:spacing w:val="40"/>
          <w:sz w:val="20"/>
        </w:rPr>
        <w:t> </w:t>
      </w:r>
      <w:r>
        <w:rPr>
          <w:sz w:val="20"/>
        </w:rPr>
        <w:t>Lázně</w:t>
      </w:r>
      <w:r>
        <w:rPr>
          <w:spacing w:val="40"/>
          <w:sz w:val="20"/>
        </w:rPr>
        <w:t> </w:t>
      </w:r>
      <w:r>
        <w:rPr>
          <w:sz w:val="20"/>
        </w:rPr>
        <w:t>s.r.o.“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pořídí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4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 informovat (za termín ukončení projektu se považuje datum předání/převzetí posledního vozidla dle příslušné kupní smlouvy); přitom se konstatuje, že akce byla zahájena v 05/2023,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</w:pPr>
      <w:r>
        <w:rPr/>
        <w:t>praní</w:t>
      </w:r>
      <w:r>
        <w:rPr>
          <w:spacing w:val="26"/>
        </w:rPr>
        <w:t> </w:t>
      </w:r>
      <w:r>
        <w:rPr/>
        <w:t>peněz</w:t>
      </w:r>
      <w:r>
        <w:rPr>
          <w:spacing w:val="28"/>
        </w:rPr>
        <w:t> </w:t>
      </w:r>
      <w:r>
        <w:rPr/>
        <w:t>nebo</w:t>
      </w:r>
      <w:r>
        <w:rPr>
          <w:spacing w:val="28"/>
        </w:rPr>
        <w:t> </w:t>
      </w:r>
      <w:r>
        <w:rPr/>
        <w:t>financování</w:t>
      </w:r>
      <w:r>
        <w:rPr>
          <w:spacing w:val="26"/>
        </w:rPr>
        <w:t> </w:t>
      </w:r>
      <w:r>
        <w:rPr/>
        <w:t>terorismu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ve</w:t>
      </w:r>
      <w:r>
        <w:rPr>
          <w:spacing w:val="27"/>
        </w:rPr>
        <w:t> </w:t>
      </w:r>
      <w:r>
        <w:rPr/>
        <w:t>smyslu</w:t>
      </w:r>
      <w:r>
        <w:rPr>
          <w:spacing w:val="27"/>
        </w:rPr>
        <w:t> </w:t>
      </w:r>
      <w:r>
        <w:rPr/>
        <w:t>§</w:t>
      </w:r>
      <w:r>
        <w:rPr>
          <w:spacing w:val="27"/>
        </w:rPr>
        <w:t> </w:t>
      </w:r>
      <w:r>
        <w:rPr/>
        <w:t>4c</w:t>
      </w:r>
      <w:r>
        <w:rPr>
          <w:spacing w:val="27"/>
        </w:rPr>
        <w:t> </w:t>
      </w:r>
      <w:r>
        <w:rPr/>
        <w:t>zákona</w:t>
      </w:r>
      <w:r>
        <w:rPr>
          <w:spacing w:val="27"/>
        </w:rPr>
        <w:t> </w:t>
      </w:r>
      <w:r>
        <w:rPr/>
        <w:t>č.</w:t>
      </w:r>
      <w:r>
        <w:rPr>
          <w:spacing w:val="27"/>
        </w:rPr>
        <w:t> </w:t>
      </w:r>
      <w:r>
        <w:rPr/>
        <w:t>159/2006</w:t>
      </w:r>
      <w:r>
        <w:rPr>
          <w:spacing w:val="28"/>
        </w:rPr>
        <w:t> </w:t>
      </w:r>
      <w:r>
        <w:rPr/>
        <w:t>Sb.,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střetu</w:t>
      </w:r>
      <w:r>
        <w:rPr>
          <w:spacing w:val="27"/>
        </w:rPr>
        <w:t> </w:t>
      </w:r>
      <w:r>
        <w:rPr/>
        <w:t>zájmů,</w:t>
      </w:r>
      <w:r>
        <w:rPr>
          <w:spacing w:val="27"/>
        </w:rPr>
        <w:t> </w:t>
      </w:r>
      <w:r>
        <w:rPr/>
        <w:t>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0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1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1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433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2024-08-13T10:51:08Z</dcterms:created>
  <dcterms:modified xsi:type="dcterms:W3CDTF">2024-08-13T10:51:08Z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2024-08-13T00:00:00Z</vt:filetime>
  </property>
</Properties>
</file>