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80" w:after="440" w:line="187" w:lineRule="auto"/>
        <w:ind w:left="0" w:right="0" w:firstLine="0"/>
        <w:jc w:val="center"/>
      </w:pPr>
      <w:r>
        <w:rPr>
          <w:b/>
          <w:bCs/>
          <w:color w:val="000000"/>
          <w:spacing w:val="0"/>
          <w:w w:val="100"/>
          <w:position w:val="0"/>
          <w:sz w:val="52"/>
          <w:szCs w:val="52"/>
          <w:shd w:val="clear" w:color="auto" w:fill="auto"/>
          <w:lang w:val="cs-CZ" w:eastAsia="cs-CZ" w:bidi="cs-CZ"/>
        </w:rPr>
        <w:t>Kupní smlouva</w:t>
        <w:br/>
      </w:r>
      <w:r>
        <w:rPr>
          <w:i/>
          <w:iCs/>
          <w:color w:val="000000"/>
          <w:spacing w:val="0"/>
          <w:w w:val="100"/>
          <w:position w:val="0"/>
          <w:shd w:val="clear" w:color="auto" w:fill="auto"/>
          <w:lang w:val="cs-CZ" w:eastAsia="cs-CZ" w:bidi="cs-CZ"/>
        </w:rPr>
        <w:t>uzavřená dle ustanovení § 2079 a násl. zákona č. 89/2012 Sb., občanský zákoník,</w:t>
        <w:br/>
        <w:t>ve znění pozdějších předpisů (dále jen „občanský zákoník“)</w:t>
      </w:r>
    </w:p>
    <w:p>
      <w:pPr>
        <w:pStyle w:val="Style2"/>
        <w:keepNext w:val="0"/>
        <w:keepLines w:val="0"/>
        <w:widowControl w:val="0"/>
        <w:shd w:val="clear" w:color="auto" w:fill="auto"/>
        <w:tabs>
          <w:tab w:pos="2068" w:val="left"/>
        </w:tabs>
        <w:bidi w:val="0"/>
        <w:spacing w:before="0" w:after="0" w:line="240" w:lineRule="auto"/>
        <w:ind w:left="0" w:right="0" w:firstLine="0"/>
        <w:jc w:val="left"/>
      </w:pPr>
      <w:r>
        <w:rPr>
          <w:color w:val="000000"/>
          <w:spacing w:val="0"/>
          <w:w w:val="100"/>
          <w:position w:val="0"/>
          <w:shd w:val="clear" w:color="auto" w:fill="auto"/>
          <w:lang w:val="cs-CZ" w:eastAsia="cs-CZ" w:bidi="cs-CZ"/>
        </w:rPr>
        <w:t>Prodávající:</w:t>
        <w:tab/>
      </w:r>
      <w:r>
        <w:rPr>
          <w:b/>
          <w:bCs/>
          <w:color w:val="000000"/>
          <w:spacing w:val="0"/>
          <w:w w:val="100"/>
          <w:position w:val="0"/>
          <w:shd w:val="clear" w:color="auto" w:fill="auto"/>
          <w:lang w:val="cs-CZ" w:eastAsia="cs-CZ" w:bidi="cs-CZ"/>
        </w:rPr>
        <w:t>Petrohradská, společnost s ručením omezeným</w:t>
      </w:r>
    </w:p>
    <w:p>
      <w:pPr>
        <w:pStyle w:val="Style2"/>
        <w:keepNext w:val="0"/>
        <w:keepLines w:val="0"/>
        <w:widowControl w:val="0"/>
        <w:shd w:val="clear" w:color="auto" w:fill="auto"/>
        <w:bidi w:val="0"/>
        <w:spacing w:before="0" w:after="0" w:line="240" w:lineRule="auto"/>
        <w:ind w:left="2100" w:right="0" w:firstLine="40"/>
        <w:jc w:val="left"/>
      </w:pPr>
      <w:r>
        <w:rPr>
          <w:color w:val="000000"/>
          <w:spacing w:val="0"/>
          <w:w w:val="100"/>
          <w:position w:val="0"/>
          <w:shd w:val="clear" w:color="auto" w:fill="auto"/>
          <w:lang w:val="cs-CZ" w:eastAsia="cs-CZ" w:bidi="cs-CZ"/>
        </w:rPr>
        <w:t>zapsaná v obchodním rejstříku u Městského soudu v Praze v oddílu C, vložce 76763</w:t>
      </w:r>
    </w:p>
    <w:p>
      <w:pPr>
        <w:pStyle w:val="Style2"/>
        <w:keepNext w:val="0"/>
        <w:keepLines w:val="0"/>
        <w:widowControl w:val="0"/>
        <w:shd w:val="clear" w:color="auto" w:fill="auto"/>
        <w:tabs>
          <w:tab w:pos="2068" w:val="left"/>
        </w:tabs>
        <w:bidi w:val="0"/>
        <w:spacing w:before="0" w:after="0" w:line="240" w:lineRule="auto"/>
        <w:ind w:left="0" w:right="0" w:firstLine="0"/>
        <w:jc w:val="left"/>
      </w:pPr>
      <w:r>
        <w:rPr>
          <w:color w:val="000000"/>
          <w:spacing w:val="0"/>
          <w:w w:val="100"/>
          <w:position w:val="0"/>
          <w:shd w:val="clear" w:color="auto" w:fill="auto"/>
          <w:lang w:val="cs-CZ" w:eastAsia="cs-CZ" w:bidi="cs-CZ"/>
        </w:rPr>
        <w:t>Adresa:</w:t>
        <w:tab/>
        <w:t>č. p. 12, 270 04 Hořesedly</w:t>
      </w:r>
    </w:p>
    <w:p>
      <w:pPr>
        <w:pStyle w:val="Style2"/>
        <w:keepNext w:val="0"/>
        <w:keepLines w:val="0"/>
        <w:widowControl w:val="0"/>
        <w:shd w:val="clear" w:color="auto" w:fill="auto"/>
        <w:tabs>
          <w:tab w:pos="2068"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46711481</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Zastoupená: </w:t>
      </w:r>
      <w:r>
        <w:rPr>
          <w:color w:val="000000"/>
          <w:spacing w:val="0"/>
          <w:w w:val="100"/>
          <w:position w:val="0"/>
          <w:shd w:val="clear" w:color="auto" w:fill="auto"/>
          <w:lang w:val="cs-CZ" w:eastAsia="cs-CZ" w:bidi="cs-CZ"/>
        </w:rPr>
        <w:t>(dále jen „</w:t>
      </w:r>
      <w:r>
        <w:rPr>
          <w:b/>
          <w:bCs/>
          <w:i/>
          <w:iCs/>
          <w:color w:val="000000"/>
          <w:spacing w:val="0"/>
          <w:w w:val="100"/>
          <w:position w:val="0"/>
          <w:shd w:val="clear" w:color="auto" w:fill="auto"/>
          <w:lang w:val="cs-CZ" w:eastAsia="cs-CZ" w:bidi="cs-CZ"/>
        </w:rPr>
        <w:t>prodávající</w:t>
      </w:r>
      <w:r>
        <w:rPr>
          <w:color w:val="000000"/>
          <w:spacing w:val="0"/>
          <w:w w:val="100"/>
          <w:position w:val="0"/>
          <w:shd w:val="clear" w:color="auto" w:fill="auto"/>
          <w:lang w:val="cs-CZ" w:eastAsia="cs-CZ" w:bidi="cs-CZ"/>
        </w:rPr>
        <w:t>“) a</w:t>
      </w:r>
    </w:p>
    <w:p>
      <w:pPr>
        <w:pStyle w:val="Style2"/>
        <w:keepNext w:val="0"/>
        <w:keepLines w:val="0"/>
        <w:widowControl w:val="0"/>
        <w:shd w:val="clear" w:color="auto" w:fill="auto"/>
        <w:tabs>
          <w:tab w:pos="2068" w:val="left"/>
        </w:tabs>
        <w:bidi w:val="0"/>
        <w:spacing w:before="0" w:after="0" w:line="480" w:lineRule="auto"/>
        <w:ind w:left="0" w:right="0" w:firstLine="0"/>
        <w:jc w:val="left"/>
      </w:pPr>
      <w:r>
        <w:rPr>
          <w:color w:val="000000"/>
          <w:spacing w:val="0"/>
          <w:w w:val="100"/>
          <w:position w:val="0"/>
          <w:shd w:val="clear" w:color="auto" w:fill="auto"/>
          <w:lang w:val="cs-CZ" w:eastAsia="cs-CZ" w:bidi="cs-CZ"/>
        </w:rPr>
        <w:t>Kupující:</w:t>
        <w:tab/>
      </w: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2100" w:right="0" w:firstLine="40"/>
        <w:jc w:val="left"/>
      </w:pPr>
      <w:r>
        <w:rPr>
          <w:color w:val="000000"/>
          <w:spacing w:val="0"/>
          <w:w w:val="100"/>
          <w:position w:val="0"/>
          <w:shd w:val="clear" w:color="auto" w:fill="auto"/>
          <w:lang w:val="cs-CZ" w:eastAsia="cs-CZ" w:bidi="cs-CZ"/>
        </w:rPr>
        <w:t>zapsaný v obchodním rejstříku u Krajského soudu v Ústí nad Labem v oddílu A, vložce č. 13052</w:t>
      </w:r>
    </w:p>
    <w:p>
      <w:pPr>
        <w:pStyle w:val="Style2"/>
        <w:keepNext w:val="0"/>
        <w:keepLines w:val="0"/>
        <w:widowControl w:val="0"/>
        <w:shd w:val="clear" w:color="auto" w:fill="auto"/>
        <w:tabs>
          <w:tab w:pos="2068" w:val="left"/>
          <w:tab w:pos="5635" w:val="righ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Bezručova 4219, 430 03</w:t>
        <w:tab/>
        <w:t>Chomutov</w:t>
      </w:r>
    </w:p>
    <w:p>
      <w:pPr>
        <w:pStyle w:val="Style2"/>
        <w:keepNext w:val="0"/>
        <w:keepLines w:val="0"/>
        <w:widowControl w:val="0"/>
        <w:shd w:val="clear" w:color="auto" w:fill="auto"/>
        <w:tabs>
          <w:tab w:pos="2068"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2"/>
        <w:keepNext w:val="0"/>
        <w:keepLines w:val="0"/>
        <w:widowControl w:val="0"/>
        <w:shd w:val="clear" w:color="auto" w:fill="auto"/>
        <w:tabs>
          <w:tab w:pos="2068"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Zastoupený:</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 xml:space="preserve">(dále jen </w:t>
      </w:r>
      <w:r>
        <w:rPr>
          <w:i/>
          <w:iCs/>
          <w:color w:val="000000"/>
          <w:spacing w:val="0"/>
          <w:w w:val="100"/>
          <w:position w:val="0"/>
          <w:shd w:val="clear" w:color="auto" w:fill="auto"/>
          <w:lang w:val="cs-CZ" w:eastAsia="cs-CZ" w:bidi="cs-CZ"/>
        </w:rPr>
        <w:t>„</w:t>
      </w:r>
      <w:r>
        <w:rPr>
          <w:b/>
          <w:bCs/>
          <w:i/>
          <w:iCs/>
          <w:color w:val="000000"/>
          <w:spacing w:val="0"/>
          <w:w w:val="100"/>
          <w:position w:val="0"/>
          <w:shd w:val="clear" w:color="auto" w:fill="auto"/>
          <w:lang w:val="cs-CZ" w:eastAsia="cs-CZ" w:bidi="cs-CZ"/>
        </w:rPr>
        <w:t>kupující</w:t>
      </w:r>
      <w:r>
        <w:rPr>
          <w:i/>
          <w:iCs/>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320" w:line="240" w:lineRule="auto"/>
        <w:ind w:left="0" w:right="0" w:firstLine="0"/>
        <w:jc w:val="center"/>
      </w:pPr>
      <w:r>
        <w:rPr>
          <w:i/>
          <w:iCs/>
          <w:color w:val="000000"/>
          <w:spacing w:val="0"/>
          <w:w w:val="100"/>
          <w:position w:val="0"/>
          <w:shd w:val="clear" w:color="auto" w:fill="auto"/>
          <w:lang w:val="cs-CZ" w:eastAsia="cs-CZ" w:bidi="cs-CZ"/>
        </w:rPr>
        <w:t>uzavírají níže uvedeného data tuto kupní smlouvu:</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I.</w:t>
      </w:r>
    </w:p>
    <w:p>
      <w:pPr>
        <w:pStyle w:val="Style2"/>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cs-CZ" w:eastAsia="cs-CZ" w:bidi="cs-CZ"/>
        </w:rPr>
        <w:t>Předmět kupní smlouvy</w:t>
      </w:r>
    </w:p>
    <w:p>
      <w:pPr>
        <w:pStyle w:val="Style2"/>
        <w:keepNext w:val="0"/>
        <w:keepLines w:val="0"/>
        <w:widowControl w:val="0"/>
        <w:numPr>
          <w:ilvl w:val="0"/>
          <w:numId w:val="1"/>
        </w:numPr>
        <w:shd w:val="clear" w:color="auto" w:fill="auto"/>
        <w:tabs>
          <w:tab w:pos="427" w:val="left"/>
        </w:tabs>
        <w:bidi w:val="0"/>
        <w:spacing w:before="0" w:after="40" w:line="240" w:lineRule="auto"/>
        <w:ind w:left="420" w:right="0" w:hanging="420"/>
        <w:jc w:val="left"/>
      </w:pPr>
      <w:bookmarkStart w:id="0" w:name="bookmark0"/>
      <w:bookmarkEnd w:id="0"/>
      <w:r>
        <w:rPr>
          <w:color w:val="000000"/>
          <w:spacing w:val="0"/>
          <w:w w:val="100"/>
          <w:position w:val="0"/>
          <w:shd w:val="clear" w:color="auto" w:fill="auto"/>
          <w:lang w:val="cs-CZ" w:eastAsia="cs-CZ" w:bidi="cs-CZ"/>
        </w:rPr>
        <w:t>Prodávající prohlašuje, že má ve svém vlastnictví nebo spoluvlastnictví následující nemovité věci (včetně jejich součástí a příslušenství):</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 dle KN</w:t>
      </w:r>
    </w:p>
    <w:tbl>
      <w:tblPr>
        <w:tblOverlap w:val="never"/>
        <w:jc w:val="center"/>
        <w:tblLayout w:type="fixed"/>
      </w:tblPr>
      <w:tblGrid>
        <w:gridCol w:w="1426"/>
        <w:gridCol w:w="2270"/>
        <w:gridCol w:w="2976"/>
        <w:gridCol w:w="994"/>
        <w:gridCol w:w="998"/>
      </w:tblGrid>
      <w:tr>
        <w:trPr>
          <w:trHeight w:val="466"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 p. č.</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druh pozemku</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k. ú.</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podíl</w:t>
            </w:r>
          </w:p>
        </w:tc>
        <w:tc>
          <w:tcPr>
            <w:tcBorders>
              <w:top w:val="single" w:sz="4"/>
              <w:left w:val="single" w:sz="4"/>
              <w:righ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LV</w:t>
            </w:r>
          </w:p>
        </w:tc>
      </w:tr>
      <w:tr>
        <w:trPr>
          <w:trHeight w:val="451"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4484</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chmelnice</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Kryry</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w:t>
            </w:r>
          </w:p>
        </w:tc>
        <w:tc>
          <w:tcPr>
            <w:tcBorders>
              <w:top w:val="single" w:sz="4"/>
              <w:left w:val="single" w:sz="4"/>
              <w:righ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784</w:t>
            </w:r>
          </w:p>
        </w:tc>
      </w:tr>
      <w:tr>
        <w:trPr>
          <w:trHeight w:val="456"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4485</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chmelnice</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Kryry</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w:t>
            </w:r>
          </w:p>
        </w:tc>
        <w:tc>
          <w:tcPr>
            <w:tcBorders>
              <w:top w:val="single" w:sz="4"/>
              <w:left w:val="single" w:sz="4"/>
              <w:righ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784</w:t>
            </w:r>
          </w:p>
        </w:tc>
      </w:tr>
      <w:tr>
        <w:trPr>
          <w:trHeight w:val="451"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4486/1</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chmelnice</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Kryry</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w:t>
            </w:r>
          </w:p>
        </w:tc>
        <w:tc>
          <w:tcPr>
            <w:tcBorders>
              <w:top w:val="single" w:sz="4"/>
              <w:left w:val="single" w:sz="4"/>
              <w:righ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784</w:t>
            </w:r>
          </w:p>
        </w:tc>
      </w:tr>
      <w:tr>
        <w:trPr>
          <w:trHeight w:val="456"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957/1</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chmelnice</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Černčice u Petrohradu</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w:t>
            </w:r>
          </w:p>
        </w:tc>
        <w:tc>
          <w:tcPr>
            <w:tcBorders>
              <w:top w:val="single" w:sz="4"/>
              <w:left w:val="single" w:sz="4"/>
              <w:righ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229</w:t>
            </w:r>
          </w:p>
        </w:tc>
      </w:tr>
      <w:tr>
        <w:trPr>
          <w:trHeight w:val="456"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1055/1</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ostatní plocha</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Černčice u Petrohradu</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w:t>
            </w:r>
          </w:p>
        </w:tc>
        <w:tc>
          <w:tcPr>
            <w:tcBorders>
              <w:top w:val="single" w:sz="4"/>
              <w:left w:val="single" w:sz="4"/>
              <w:righ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229</w:t>
            </w:r>
          </w:p>
        </w:tc>
      </w:tr>
      <w:tr>
        <w:trPr>
          <w:trHeight w:val="451"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952</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orná půda</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Černčice u Petrohradu</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½</w:t>
            </w:r>
          </w:p>
        </w:tc>
        <w:tc>
          <w:tcPr>
            <w:tcBorders>
              <w:top w:val="single" w:sz="4"/>
              <w:left w:val="single" w:sz="4"/>
              <w:righ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198</w:t>
            </w:r>
          </w:p>
        </w:tc>
      </w:tr>
      <w:tr>
        <w:trPr>
          <w:trHeight w:val="466" w:hRule="exact"/>
        </w:trPr>
        <w:tc>
          <w:tcPr>
            <w:tcBorders>
              <w:top w:val="single" w:sz="4"/>
              <w:left w:val="single" w:sz="4"/>
              <w:bottom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956</w:t>
            </w:r>
          </w:p>
        </w:tc>
        <w:tc>
          <w:tcPr>
            <w:tcBorders>
              <w:top w:val="single" w:sz="4"/>
              <w:left w:val="single" w:sz="4"/>
              <w:bottom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orná půda</w:t>
            </w:r>
          </w:p>
        </w:tc>
        <w:tc>
          <w:tcPr>
            <w:tcBorders>
              <w:top w:val="single" w:sz="4"/>
              <w:left w:val="single" w:sz="4"/>
              <w:bottom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Černčice u Petrohradu</w:t>
            </w:r>
          </w:p>
        </w:tc>
        <w:tc>
          <w:tcPr>
            <w:tcBorders>
              <w:top w:val="single" w:sz="4"/>
              <w:left w:val="single" w:sz="4"/>
              <w:bottom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½</w:t>
            </w:r>
          </w:p>
        </w:tc>
        <w:tc>
          <w:tcPr>
            <w:tcBorders>
              <w:top w:val="single" w:sz="4"/>
              <w:left w:val="single" w:sz="4"/>
              <w:bottom w:val="single" w:sz="4"/>
              <w:righ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198</w:t>
            </w:r>
          </w:p>
        </w:tc>
      </w:tr>
    </w:tbl>
    <w:p>
      <w:pPr>
        <w:widowControl w:val="0"/>
        <w:spacing w:line="1" w:lineRule="exact"/>
      </w:pP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 dle GP č. 237-234/2024</w:t>
      </w:r>
    </w:p>
    <w:tbl>
      <w:tblPr>
        <w:tblOverlap w:val="never"/>
        <w:jc w:val="center"/>
        <w:tblLayout w:type="fixed"/>
      </w:tblPr>
      <w:tblGrid>
        <w:gridCol w:w="1426"/>
        <w:gridCol w:w="2270"/>
        <w:gridCol w:w="2976"/>
        <w:gridCol w:w="994"/>
        <w:gridCol w:w="998"/>
      </w:tblGrid>
      <w:tr>
        <w:trPr>
          <w:trHeight w:val="466"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 p. č.</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druh pozemku</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k. ú.</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podíl</w:t>
            </w:r>
          </w:p>
        </w:tc>
        <w:tc>
          <w:tcPr>
            <w:tcBorders>
              <w:top w:val="single" w:sz="4"/>
              <w:left w:val="single" w:sz="4"/>
              <w:righ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LV</w:t>
            </w:r>
          </w:p>
        </w:tc>
      </w:tr>
      <w:tr>
        <w:trPr>
          <w:trHeight w:val="461" w:hRule="exact"/>
        </w:trPr>
        <w:tc>
          <w:tcPr>
            <w:tcBorders>
              <w:top w:val="single" w:sz="4"/>
              <w:left w:val="single" w:sz="4"/>
              <w:bottom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945/5</w:t>
            </w:r>
          </w:p>
        </w:tc>
        <w:tc>
          <w:tcPr>
            <w:tcBorders>
              <w:top w:val="single" w:sz="4"/>
              <w:left w:val="single" w:sz="4"/>
              <w:bottom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orná půda</w:t>
            </w:r>
          </w:p>
        </w:tc>
        <w:tc>
          <w:tcPr>
            <w:tcBorders>
              <w:top w:val="single" w:sz="4"/>
              <w:left w:val="single" w:sz="4"/>
              <w:bottom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Černčice u Petrohradu</w:t>
            </w:r>
          </w:p>
        </w:tc>
        <w:tc>
          <w:tcPr>
            <w:tcBorders>
              <w:top w:val="single" w:sz="4"/>
              <w:left w:val="single" w:sz="4"/>
              <w:bottom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w:t>
            </w:r>
          </w:p>
        </w:tc>
        <w:tc>
          <w:tcPr>
            <w:tcBorders>
              <w:top w:val="single" w:sz="4"/>
              <w:left w:val="single" w:sz="4"/>
              <w:bottom w:val="single" w:sz="4"/>
              <w:righ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229</w:t>
            </w:r>
          </w:p>
        </w:tc>
      </w:tr>
    </w:tbl>
    <w:p>
      <w:pPr>
        <w:pStyle w:val="Style12"/>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 xml:space="preserve">(dále jen </w:t>
      </w:r>
      <w:r>
        <w:rPr>
          <w:color w:val="000000"/>
          <w:spacing w:val="0"/>
          <w:w w:val="100"/>
          <w:position w:val="0"/>
          <w:shd w:val="clear" w:color="auto" w:fill="auto"/>
          <w:lang w:val="cs-CZ" w:eastAsia="cs-CZ" w:bidi="cs-CZ"/>
        </w:rPr>
        <w:t>„předmět převodu“</w:t>
      </w:r>
      <w:r>
        <w:rPr>
          <w:b w:val="0"/>
          <w:bCs w:val="0"/>
          <w:color w:val="000000"/>
          <w:spacing w:val="0"/>
          <w:w w:val="100"/>
          <w:position w:val="0"/>
          <w:shd w:val="clear" w:color="auto" w:fill="auto"/>
          <w:lang w:val="cs-CZ" w:eastAsia="cs-CZ" w:bidi="cs-CZ"/>
        </w:rPr>
        <w:t>).</w:t>
      </w:r>
    </w:p>
    <w:p>
      <w:pPr>
        <w:widowControl w:val="0"/>
        <w:spacing w:after="59" w:line="1" w:lineRule="exact"/>
      </w:pPr>
    </w:p>
    <w:p>
      <w:pPr>
        <w:pStyle w:val="Style2"/>
        <w:keepNext w:val="0"/>
        <w:keepLines w:val="0"/>
        <w:widowControl w:val="0"/>
        <w:numPr>
          <w:ilvl w:val="0"/>
          <w:numId w:val="1"/>
        </w:numPr>
        <w:shd w:val="clear" w:color="auto" w:fill="auto"/>
        <w:tabs>
          <w:tab w:pos="388" w:val="left"/>
        </w:tabs>
        <w:bidi w:val="0"/>
        <w:spacing w:before="0" w:line="240" w:lineRule="auto"/>
        <w:ind w:left="440" w:right="0" w:hanging="440"/>
        <w:jc w:val="both"/>
      </w:pPr>
      <w:bookmarkStart w:id="1" w:name="bookmark1"/>
      <w:bookmarkEnd w:id="1"/>
      <w:r>
        <w:rPr>
          <w:color w:val="000000"/>
          <w:spacing w:val="0"/>
          <w:w w:val="100"/>
          <w:position w:val="0"/>
          <w:shd w:val="clear" w:color="auto" w:fill="auto"/>
          <w:lang w:val="cs-CZ" w:eastAsia="cs-CZ" w:bidi="cs-CZ"/>
        </w:rPr>
        <w:t>S předmětem převodu se převádí všechny jeho součásti a příslušenství, které se nachází na předmětu převodu. Bližší popis předmětu převodu je obsažen ve znaleckém posudku, uvedeném v čl. II. odst. 1 této smlouvy, s jehož obsahem byly smluvní strany před podpisem této smlouvy seznámeny.</w:t>
      </w:r>
    </w:p>
    <w:p>
      <w:pPr>
        <w:pStyle w:val="Style2"/>
        <w:keepNext w:val="0"/>
        <w:keepLines w:val="0"/>
        <w:widowControl w:val="0"/>
        <w:numPr>
          <w:ilvl w:val="0"/>
          <w:numId w:val="1"/>
        </w:numPr>
        <w:shd w:val="clear" w:color="auto" w:fill="auto"/>
        <w:tabs>
          <w:tab w:pos="388" w:val="left"/>
        </w:tabs>
        <w:bidi w:val="0"/>
        <w:spacing w:before="0" w:line="240" w:lineRule="auto"/>
        <w:ind w:left="440" w:right="0" w:hanging="440"/>
        <w:jc w:val="both"/>
      </w:pPr>
      <w:bookmarkStart w:id="2" w:name="bookmark2"/>
      <w:bookmarkEnd w:id="2"/>
      <w:r>
        <w:rPr>
          <w:color w:val="000000"/>
          <w:spacing w:val="0"/>
          <w:w w:val="100"/>
          <w:position w:val="0"/>
          <w:shd w:val="clear" w:color="auto" w:fill="auto"/>
          <w:lang w:val="cs-CZ" w:eastAsia="cs-CZ" w:bidi="cs-CZ"/>
        </w:rPr>
        <w:t>Účelem této smlouvy je majetkoprávní vypořádání předmětu převodu, dotčeného plánovanou realizací stavby vodního díla Kryry, jejímž investorem je kupující.</w:t>
      </w:r>
    </w:p>
    <w:p>
      <w:pPr>
        <w:pStyle w:val="Style2"/>
        <w:keepNext w:val="0"/>
        <w:keepLines w:val="0"/>
        <w:widowControl w:val="0"/>
        <w:numPr>
          <w:ilvl w:val="0"/>
          <w:numId w:val="1"/>
        </w:numPr>
        <w:shd w:val="clear" w:color="auto" w:fill="auto"/>
        <w:tabs>
          <w:tab w:pos="388" w:val="left"/>
        </w:tabs>
        <w:bidi w:val="0"/>
        <w:spacing w:before="0" w:line="240" w:lineRule="auto"/>
        <w:ind w:left="440" w:right="0" w:hanging="440"/>
        <w:jc w:val="both"/>
      </w:pPr>
      <w:bookmarkStart w:id="3" w:name="bookmark3"/>
      <w:bookmarkEnd w:id="3"/>
      <w:r>
        <w:rPr>
          <w:color w:val="000000"/>
          <w:spacing w:val="0"/>
          <w:w w:val="100"/>
          <w:position w:val="0"/>
          <w:shd w:val="clear" w:color="auto" w:fill="auto"/>
          <w:lang w:val="cs-CZ" w:eastAsia="cs-CZ" w:bidi="cs-CZ"/>
        </w:rPr>
        <w:t>Prodávající je srozuměn s tím, že vodní dílo Kryry je akce hrazená za použití finančních prostředků z rozpočtové kapitoly Operace státních finančních aktiv a prostředků státního rozpočtu. Výše uvedené finanční prostředky jsou uvolňovány do rozpočtu kupujícího na základě vydaného Rozhodnutí o poskytnutí dotace a jsou určeny výlučně na úhradu kupní ceny dle této smlouvy.</w:t>
      </w:r>
    </w:p>
    <w:p>
      <w:pPr>
        <w:pStyle w:val="Style2"/>
        <w:keepNext w:val="0"/>
        <w:keepLines w:val="0"/>
        <w:widowControl w:val="0"/>
        <w:numPr>
          <w:ilvl w:val="0"/>
          <w:numId w:val="1"/>
        </w:numPr>
        <w:shd w:val="clear" w:color="auto" w:fill="auto"/>
        <w:tabs>
          <w:tab w:pos="388" w:val="left"/>
        </w:tabs>
        <w:bidi w:val="0"/>
        <w:spacing w:before="0" w:after="680" w:line="240" w:lineRule="auto"/>
        <w:ind w:left="440" w:right="0" w:hanging="440"/>
        <w:jc w:val="both"/>
      </w:pPr>
      <w:bookmarkStart w:id="4" w:name="bookmark4"/>
      <w:bookmarkEnd w:id="4"/>
      <w:r>
        <w:rPr>
          <w:color w:val="000000"/>
          <w:spacing w:val="0"/>
          <w:w w:val="100"/>
          <w:position w:val="0"/>
          <w:shd w:val="clear" w:color="auto" w:fill="auto"/>
          <w:lang w:val="cs-CZ" w:eastAsia="cs-CZ" w:bidi="cs-CZ"/>
        </w:rPr>
        <w:t>Prodávající touto smlouvou prodává předmět převodu ve svém vlastnictví kupujícímu a kupující jej od prodávajícího kupuje a přijímá do vlastnictví České republiky, práva hospodařit s majetkem státu pro Povodí Ohře, státní podnik, spolu se všemi součástmi a příslušenstvím a spolu s veškerými právy a povinnostmi s předmětem převodu spojenými.</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II.</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Kupní cena a platební podmínky</w:t>
      </w:r>
    </w:p>
    <w:p>
      <w:pPr>
        <w:pStyle w:val="Style2"/>
        <w:keepNext w:val="0"/>
        <w:keepLines w:val="0"/>
        <w:widowControl w:val="0"/>
        <w:numPr>
          <w:ilvl w:val="0"/>
          <w:numId w:val="3"/>
        </w:numPr>
        <w:shd w:val="clear" w:color="auto" w:fill="auto"/>
        <w:tabs>
          <w:tab w:pos="388" w:val="left"/>
        </w:tabs>
        <w:bidi w:val="0"/>
        <w:spacing w:before="0" w:line="240" w:lineRule="auto"/>
        <w:ind w:left="440" w:right="0" w:hanging="440"/>
        <w:jc w:val="both"/>
      </w:pPr>
      <w:bookmarkStart w:id="5" w:name="bookmark5"/>
      <w:bookmarkEnd w:id="5"/>
      <w:r>
        <w:rPr>
          <w:color w:val="000000"/>
          <w:spacing w:val="0"/>
          <w:w w:val="100"/>
          <w:position w:val="0"/>
          <w:shd w:val="clear" w:color="auto" w:fill="auto"/>
          <w:lang w:val="cs-CZ" w:eastAsia="cs-CZ" w:bidi="cs-CZ"/>
        </w:rPr>
        <w:t xml:space="preserve">Předmět převodu, vč. všech součástí a příslušenství, byl oceněn na základě znaleckého posudku č. 048914/2024 ze dne 07.06.2024 vypracovaného znaleckým ústavem ENI CONSULT spol. s r.o., </w:t>
      </w:r>
      <w:r>
        <w:rPr>
          <w:b/>
          <w:bCs/>
          <w:color w:val="000000"/>
          <w:spacing w:val="0"/>
          <w:w w:val="100"/>
          <w:position w:val="0"/>
          <w:shd w:val="clear" w:color="auto" w:fill="auto"/>
          <w:lang w:val="cs-CZ" w:eastAsia="cs-CZ" w:bidi="cs-CZ"/>
        </w:rPr>
        <w:t xml:space="preserve">pro stanovení finanční náhrady </w:t>
      </w:r>
      <w:r>
        <w:rPr>
          <w:color w:val="000000"/>
          <w:spacing w:val="0"/>
          <w:w w:val="100"/>
          <w:position w:val="0"/>
          <w:shd w:val="clear" w:color="auto" w:fill="auto"/>
          <w:lang w:val="cs-CZ" w:eastAsia="cs-CZ" w:bidi="cs-CZ"/>
        </w:rPr>
        <w:t xml:space="preserve">za vykupovaný majetek </w:t>
      </w:r>
      <w:r>
        <w:rPr>
          <w:b/>
          <w:bCs/>
          <w:color w:val="000000"/>
          <w:spacing w:val="0"/>
          <w:w w:val="100"/>
          <w:position w:val="0"/>
          <w:shd w:val="clear" w:color="auto" w:fill="auto"/>
          <w:lang w:val="cs-CZ" w:eastAsia="cs-CZ" w:bidi="cs-CZ"/>
        </w:rPr>
        <w:t xml:space="preserve">dle „Zásad pro vypořádání práv k nemovitým věcem dotčeným plánovanou realizací vodního díla Kryry“ ve smyslu Usnesení vlády ČR ze dne 5. října 2020 č. 971, </w:t>
      </w:r>
      <w:r>
        <w:rPr>
          <w:color w:val="000000"/>
          <w:spacing w:val="0"/>
          <w:w w:val="100"/>
          <w:position w:val="0"/>
          <w:shd w:val="clear" w:color="auto" w:fill="auto"/>
          <w:lang w:val="cs-CZ" w:eastAsia="cs-CZ" w:bidi="cs-CZ"/>
        </w:rPr>
        <w:t xml:space="preserve">zákona č. 151/1997 Sb., o oceňování majetku, ve znění pozdějších předpisů a vyhlášky MF ČR č. 441/2013 Sb., ve znění pozdějších předpisů, </w:t>
      </w:r>
      <w:r>
        <w:rPr>
          <w:b/>
          <w:bCs/>
          <w:color w:val="000000"/>
          <w:spacing w:val="0"/>
          <w:w w:val="100"/>
          <w:position w:val="0"/>
          <w:shd w:val="clear" w:color="auto" w:fill="auto"/>
          <w:lang w:val="cs-CZ" w:eastAsia="cs-CZ" w:bidi="cs-CZ"/>
        </w:rPr>
        <w:t>podle stavu ke dni 30.05.2024.</w:t>
      </w:r>
    </w:p>
    <w:p>
      <w:pPr>
        <w:pStyle w:val="Style2"/>
        <w:keepNext w:val="0"/>
        <w:keepLines w:val="0"/>
        <w:widowControl w:val="0"/>
        <w:numPr>
          <w:ilvl w:val="0"/>
          <w:numId w:val="3"/>
        </w:numPr>
        <w:shd w:val="clear" w:color="auto" w:fill="auto"/>
        <w:tabs>
          <w:tab w:pos="388" w:val="left"/>
        </w:tabs>
        <w:bidi w:val="0"/>
        <w:spacing w:before="0" w:line="240" w:lineRule="auto"/>
        <w:ind w:left="0" w:right="0" w:firstLine="0"/>
        <w:jc w:val="both"/>
      </w:pPr>
      <w:bookmarkStart w:id="6" w:name="bookmark6"/>
      <w:bookmarkEnd w:id="6"/>
      <w:r>
        <w:rPr>
          <w:color w:val="000000"/>
          <w:spacing w:val="0"/>
          <w:w w:val="100"/>
          <w:position w:val="0"/>
          <w:shd w:val="clear" w:color="auto" w:fill="auto"/>
          <w:lang w:val="cs-CZ" w:eastAsia="cs-CZ" w:bidi="cs-CZ"/>
        </w:rPr>
        <w:t>Kupní cena je stanovena v celkové výši včetně DPH</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15.053.350,- Kč</w:t>
      </w:r>
    </w:p>
    <w:p>
      <w:pPr>
        <w:pStyle w:val="Style2"/>
        <w:keepNext w:val="0"/>
        <w:keepLines w:val="0"/>
        <w:widowControl w:val="0"/>
        <w:shd w:val="clear" w:color="auto" w:fill="auto"/>
        <w:bidi w:val="0"/>
        <w:spacing w:before="0" w:after="200" w:line="240" w:lineRule="auto"/>
        <w:ind w:left="0" w:right="0" w:firstLine="0"/>
        <w:jc w:val="center"/>
      </w:pPr>
      <w:r>
        <w:rPr>
          <w:i/>
          <w:iCs/>
          <w:color w:val="000000"/>
          <w:spacing w:val="0"/>
          <w:w w:val="100"/>
          <w:position w:val="0"/>
          <w:shd w:val="clear" w:color="auto" w:fill="auto"/>
          <w:lang w:val="cs-CZ" w:eastAsia="cs-CZ" w:bidi="cs-CZ"/>
        </w:rPr>
        <w:t>(slovy: patnáct milionů padesát tři tisíc tři sta padesát korun českých),</w:t>
      </w:r>
    </w:p>
    <w:p>
      <w:pPr>
        <w:pStyle w:val="Style2"/>
        <w:keepNext w:val="0"/>
        <w:keepLines w:val="0"/>
        <w:widowControl w:val="0"/>
        <w:shd w:val="clear" w:color="auto" w:fill="auto"/>
        <w:bidi w:val="0"/>
        <w:spacing w:before="0" w:after="320" w:line="240" w:lineRule="auto"/>
        <w:ind w:left="440" w:right="0" w:firstLine="0"/>
        <w:jc w:val="both"/>
      </w:pPr>
      <w:r>
        <w:rPr>
          <w:color w:val="000000"/>
          <w:spacing w:val="0"/>
          <w:w w:val="100"/>
          <w:position w:val="0"/>
          <w:shd w:val="clear" w:color="auto" w:fill="auto"/>
          <w:lang w:val="cs-CZ" w:eastAsia="cs-CZ" w:bidi="cs-CZ"/>
        </w:rPr>
        <w:t>a je splatná na základě daňového dokladu vystaveného prodávajícím do 15 dnů od doručení vyrozumění o provedení vkladu vlastnického práva do katastru nemovitostí. Splatnost daňového dokladu je stanovena na 30 dní ode dne jeho vystavení bezhotovostním převodem na bankovní účet prodávajícího, uvedený v záhlaví smlouvy, s čímž prodávající výslovně souhlasí.</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III.</w:t>
      </w:r>
    </w:p>
    <w:p>
      <w:pPr>
        <w:pStyle w:val="Style18"/>
        <w:keepNext/>
        <w:keepLines/>
        <w:widowControl w:val="0"/>
        <w:shd w:val="clear" w:color="auto" w:fill="auto"/>
        <w:bidi w:val="0"/>
        <w:spacing w:before="0" w:line="240" w:lineRule="auto"/>
        <w:ind w:left="0" w:right="0" w:firstLine="0"/>
        <w:jc w:val="center"/>
      </w:pPr>
      <w:bookmarkStart w:id="7" w:name="bookmark7"/>
      <w:bookmarkStart w:id="8" w:name="bookmark8"/>
      <w:bookmarkStart w:id="9" w:name="bookmark9"/>
      <w:r>
        <w:rPr>
          <w:color w:val="000000"/>
          <w:spacing w:val="0"/>
          <w:w w:val="100"/>
          <w:position w:val="0"/>
          <w:shd w:val="clear" w:color="auto" w:fill="auto"/>
          <w:lang w:val="cs-CZ" w:eastAsia="cs-CZ" w:bidi="cs-CZ"/>
        </w:rPr>
        <w:t>Prohlášení smluvních stran</w:t>
      </w:r>
      <w:bookmarkEnd w:id="7"/>
      <w:bookmarkEnd w:id="8"/>
      <w:bookmarkEnd w:id="9"/>
    </w:p>
    <w:p>
      <w:pPr>
        <w:pStyle w:val="Style2"/>
        <w:keepNext w:val="0"/>
        <w:keepLines w:val="0"/>
        <w:widowControl w:val="0"/>
        <w:numPr>
          <w:ilvl w:val="0"/>
          <w:numId w:val="5"/>
        </w:numPr>
        <w:shd w:val="clear" w:color="auto" w:fill="auto"/>
        <w:tabs>
          <w:tab w:pos="388" w:val="left"/>
        </w:tabs>
        <w:bidi w:val="0"/>
        <w:spacing w:before="0" w:line="240" w:lineRule="auto"/>
        <w:ind w:left="440" w:right="0" w:hanging="440"/>
        <w:jc w:val="both"/>
      </w:pPr>
      <w:bookmarkStart w:id="10" w:name="bookmark10"/>
      <w:bookmarkEnd w:id="10"/>
      <w:r>
        <w:rPr>
          <w:color w:val="000000"/>
          <w:spacing w:val="0"/>
          <w:w w:val="100"/>
          <w:position w:val="0"/>
          <w:shd w:val="clear" w:color="auto" w:fill="auto"/>
          <w:lang w:val="cs-CZ" w:eastAsia="cs-CZ" w:bidi="cs-CZ"/>
        </w:rPr>
        <w:t>Prodávající prohlašuje, že ke dni podpisu této kupní smlouvy k předmětu převodu neexistují žádné jiné smlouvy či dohody, které by ohledně předmětu převodu dle této kupní smlouvy zakládaly ve prospěch třetích osob stejná, nebo obdobná práva, zejm. služebnosti, zástavní práva, pacht a nájem. Prodávající dále prohlašuje, že neexistují žádná jiná práva, jež se zapisují do katastru nemovitostí, která dosud v katastru nemovitostí nejsou zapsána.</w:t>
      </w:r>
    </w:p>
    <w:p>
      <w:pPr>
        <w:pStyle w:val="Style2"/>
        <w:keepNext w:val="0"/>
        <w:keepLines w:val="0"/>
        <w:widowControl w:val="0"/>
        <w:numPr>
          <w:ilvl w:val="0"/>
          <w:numId w:val="5"/>
        </w:numPr>
        <w:shd w:val="clear" w:color="auto" w:fill="auto"/>
        <w:tabs>
          <w:tab w:pos="415" w:val="left"/>
        </w:tabs>
        <w:bidi w:val="0"/>
        <w:spacing w:before="0" w:line="240" w:lineRule="auto"/>
        <w:ind w:left="380" w:right="0" w:hanging="380"/>
        <w:jc w:val="both"/>
      </w:pPr>
      <w:bookmarkStart w:id="11" w:name="bookmark11"/>
      <w:bookmarkEnd w:id="11"/>
      <w:r>
        <w:rPr>
          <w:color w:val="000000"/>
          <w:spacing w:val="0"/>
          <w:w w:val="100"/>
          <w:position w:val="0"/>
          <w:shd w:val="clear" w:color="auto" w:fill="auto"/>
          <w:lang w:val="cs-CZ" w:eastAsia="cs-CZ" w:bidi="cs-CZ"/>
        </w:rPr>
        <w:t>Prodávající dále prohlašuje, že ke dni podpisu této kupní smlouvy nejsou u příslušného katastrálního úřadu ohledně předmětu převodu dle této kupní smlouvy podány žádné jiné návrhy, o nichž dosud nebylo pravomocně rozhodnuto, že předmět převodu není předmětem exekučního a insolvenčního řízení.</w:t>
      </w:r>
    </w:p>
    <w:p>
      <w:pPr>
        <w:pStyle w:val="Style2"/>
        <w:keepNext w:val="0"/>
        <w:keepLines w:val="0"/>
        <w:widowControl w:val="0"/>
        <w:numPr>
          <w:ilvl w:val="0"/>
          <w:numId w:val="5"/>
        </w:numPr>
        <w:shd w:val="clear" w:color="auto" w:fill="auto"/>
        <w:tabs>
          <w:tab w:pos="415" w:val="left"/>
        </w:tabs>
        <w:bidi w:val="0"/>
        <w:spacing w:before="0" w:line="240" w:lineRule="auto"/>
        <w:ind w:left="380" w:right="0" w:hanging="380"/>
        <w:jc w:val="both"/>
      </w:pPr>
      <w:bookmarkStart w:id="12" w:name="bookmark12"/>
      <w:bookmarkEnd w:id="12"/>
      <w:r>
        <w:rPr>
          <w:color w:val="000000"/>
          <w:spacing w:val="0"/>
          <w:w w:val="100"/>
          <w:position w:val="0"/>
          <w:shd w:val="clear" w:color="auto" w:fill="auto"/>
          <w:lang w:val="cs-CZ" w:eastAsia="cs-CZ" w:bidi="cs-CZ"/>
        </w:rPr>
        <w:t>Kupující prohlašuje, že bude do 90-ti dnů ode dne vyrozumění o provedení vkladu kupní smlouvy č. 699/2024 v katastru nemovitostí mezi současným prodávajícím (budoucím pachtýřem) a současným kupujícím (budoucím propachtovatelem) uzavřena pachtovní smlouva k předmětu převodu.</w:t>
      </w:r>
    </w:p>
    <w:p>
      <w:pPr>
        <w:pStyle w:val="Style2"/>
        <w:keepNext w:val="0"/>
        <w:keepLines w:val="0"/>
        <w:widowControl w:val="0"/>
        <w:numPr>
          <w:ilvl w:val="0"/>
          <w:numId w:val="5"/>
        </w:numPr>
        <w:shd w:val="clear" w:color="auto" w:fill="auto"/>
        <w:tabs>
          <w:tab w:pos="415" w:val="left"/>
        </w:tabs>
        <w:bidi w:val="0"/>
        <w:spacing w:before="0" w:line="240" w:lineRule="auto"/>
        <w:ind w:left="380" w:right="0" w:hanging="380"/>
        <w:jc w:val="both"/>
      </w:pPr>
      <w:bookmarkStart w:id="13" w:name="bookmark13"/>
      <w:bookmarkEnd w:id="13"/>
      <w:r>
        <w:rPr>
          <w:color w:val="000000"/>
          <w:spacing w:val="0"/>
          <w:w w:val="100"/>
          <w:position w:val="0"/>
          <w:shd w:val="clear" w:color="auto" w:fill="auto"/>
          <w:lang w:val="cs-CZ" w:eastAsia="cs-CZ" w:bidi="cs-CZ"/>
        </w:rPr>
        <w:t>Prodávající prohlašuje, že do dne vkladu vlastnického práva ve prospěch kupujícího podle této smlouvy nezřídí ve prospěch třetích osob žádná práva uvedená v odstavci 1) a 2) tohoto článku.</w:t>
      </w:r>
    </w:p>
    <w:p>
      <w:pPr>
        <w:pStyle w:val="Style2"/>
        <w:keepNext w:val="0"/>
        <w:keepLines w:val="0"/>
        <w:widowControl w:val="0"/>
        <w:numPr>
          <w:ilvl w:val="0"/>
          <w:numId w:val="5"/>
        </w:numPr>
        <w:shd w:val="clear" w:color="auto" w:fill="auto"/>
        <w:tabs>
          <w:tab w:pos="415" w:val="left"/>
        </w:tabs>
        <w:bidi w:val="0"/>
        <w:spacing w:before="0" w:line="240" w:lineRule="auto"/>
        <w:ind w:left="380" w:right="0" w:hanging="380"/>
        <w:jc w:val="both"/>
      </w:pPr>
      <w:bookmarkStart w:id="14" w:name="bookmark14"/>
      <w:bookmarkEnd w:id="14"/>
      <w:r>
        <w:rPr>
          <w:color w:val="000000"/>
          <w:spacing w:val="0"/>
          <w:w w:val="100"/>
          <w:position w:val="0"/>
          <w:shd w:val="clear" w:color="auto" w:fill="auto"/>
          <w:lang w:val="cs-CZ" w:eastAsia="cs-CZ" w:bidi="cs-CZ"/>
        </w:rPr>
        <w:t>Kupující je oprávněn od této smlouvy odstoupit, jestliže se prokáže, že prohlášení prodávajícího uvedená v odst. 1), 2) a 3) tohoto článku nejsou pravdivá, úplná nebo přesná.</w:t>
      </w:r>
    </w:p>
    <w:p>
      <w:pPr>
        <w:pStyle w:val="Style2"/>
        <w:keepNext w:val="0"/>
        <w:keepLines w:val="0"/>
        <w:widowControl w:val="0"/>
        <w:numPr>
          <w:ilvl w:val="0"/>
          <w:numId w:val="5"/>
        </w:numPr>
        <w:shd w:val="clear" w:color="auto" w:fill="auto"/>
        <w:tabs>
          <w:tab w:pos="415" w:val="left"/>
        </w:tabs>
        <w:bidi w:val="0"/>
        <w:spacing w:before="0" w:after="320" w:line="240" w:lineRule="auto"/>
        <w:ind w:left="380" w:right="0" w:hanging="380"/>
        <w:jc w:val="both"/>
      </w:pPr>
      <w:bookmarkStart w:id="15" w:name="bookmark15"/>
      <w:bookmarkEnd w:id="15"/>
      <w:r>
        <w:rPr>
          <w:color w:val="000000"/>
          <w:spacing w:val="0"/>
          <w:w w:val="100"/>
          <w:position w:val="0"/>
          <w:shd w:val="clear" w:color="auto" w:fill="auto"/>
          <w:lang w:val="cs-CZ" w:eastAsia="cs-CZ" w:bidi="cs-CZ"/>
        </w:rPr>
        <w:t>Kupující prohlašuje, že se seznámil s polohou předmětu převodu a ve stavu, v jakém jej prodávající prodává, jej kupuje a nemá k tomu žádných výhrad.</w:t>
      </w:r>
    </w:p>
    <w:p>
      <w:pPr>
        <w:pStyle w:val="Style2"/>
        <w:keepNext w:val="0"/>
        <w:keepLines w:val="0"/>
        <w:widowControl w:val="0"/>
        <w:shd w:val="clear" w:color="auto" w:fill="auto"/>
        <w:bidi w:val="0"/>
        <w:spacing w:before="0" w:after="0" w:line="240" w:lineRule="auto"/>
        <w:ind w:left="0" w:right="0" w:firstLine="0"/>
        <w:jc w:val="center"/>
      </w:pPr>
      <w:bookmarkStart w:id="16" w:name="bookmark16"/>
      <w:r>
        <w:rPr>
          <w:b/>
          <w:bCs/>
          <w:color w:val="000000"/>
          <w:spacing w:val="0"/>
          <w:w w:val="100"/>
          <w:position w:val="0"/>
          <w:shd w:val="clear" w:color="auto" w:fill="auto"/>
          <w:lang w:val="cs-CZ" w:eastAsia="cs-CZ" w:bidi="cs-CZ"/>
        </w:rPr>
        <w:t>I</w:t>
      </w:r>
      <w:bookmarkEnd w:id="16"/>
      <w:r>
        <w:rPr>
          <w:b/>
          <w:bCs/>
          <w:color w:val="000000"/>
          <w:spacing w:val="0"/>
          <w:w w:val="100"/>
          <w:position w:val="0"/>
          <w:shd w:val="clear" w:color="auto" w:fill="auto"/>
          <w:lang w:val="cs-CZ" w:eastAsia="cs-CZ" w:bidi="cs-CZ"/>
        </w:rPr>
        <w:t>V.</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Ujednání o přechodu nájemního vztahu k nemovitým věcem</w:t>
      </w:r>
    </w:p>
    <w:p>
      <w:pPr>
        <w:pStyle w:val="Style2"/>
        <w:keepNext w:val="0"/>
        <w:keepLines w:val="0"/>
        <w:widowControl w:val="0"/>
        <w:numPr>
          <w:ilvl w:val="0"/>
          <w:numId w:val="7"/>
        </w:numPr>
        <w:shd w:val="clear" w:color="auto" w:fill="auto"/>
        <w:tabs>
          <w:tab w:pos="415" w:val="left"/>
        </w:tabs>
        <w:bidi w:val="0"/>
        <w:spacing w:before="0" w:line="240" w:lineRule="auto"/>
        <w:ind w:left="380" w:right="0" w:hanging="380"/>
        <w:jc w:val="both"/>
      </w:pPr>
      <w:bookmarkStart w:id="17" w:name="bookmark17"/>
      <w:bookmarkEnd w:id="17"/>
      <w:r>
        <w:rPr>
          <w:color w:val="000000"/>
          <w:spacing w:val="0"/>
          <w:w w:val="100"/>
          <w:position w:val="0"/>
          <w:shd w:val="clear" w:color="auto" w:fill="auto"/>
          <w:lang w:val="cs-CZ" w:eastAsia="cs-CZ" w:bidi="cs-CZ"/>
        </w:rPr>
        <w:t>V případě, že je předmět převodu nebo jeho část součástí nájemní či pachtovní smlouvy se třetí osobou, je prodávající povinen vyrozumět nájemce či pachtýře nemovitých věcí o změně vlastnictví a kupujícímu oznámit kontaktní údaje této osoby. Změnou vlastnického práva k předmětu převodu přechází práva a povinnosti z uzavřeného nájemního vztahu či pachtu na kupujícího. Na kupujícího však nepřecházejí peněžité pohledávky a dluhy, které vznikly před změnou vlastnictví, a které nesledují právní osud nájemního či pachtovního vztahu, tj. nezanikají se zánikem nájmu či pachtu.</w:t>
      </w:r>
    </w:p>
    <w:p>
      <w:pPr>
        <w:pStyle w:val="Style2"/>
        <w:keepNext w:val="0"/>
        <w:keepLines w:val="0"/>
        <w:widowControl w:val="0"/>
        <w:numPr>
          <w:ilvl w:val="0"/>
          <w:numId w:val="7"/>
        </w:numPr>
        <w:shd w:val="clear" w:color="auto" w:fill="auto"/>
        <w:tabs>
          <w:tab w:pos="415" w:val="left"/>
        </w:tabs>
        <w:bidi w:val="0"/>
        <w:spacing w:before="0" w:after="200" w:line="240" w:lineRule="auto"/>
        <w:ind w:left="380" w:right="0" w:hanging="380"/>
        <w:jc w:val="both"/>
      </w:pPr>
      <w:bookmarkStart w:id="18" w:name="bookmark18"/>
      <w:bookmarkEnd w:id="18"/>
      <w:r>
        <w:rPr>
          <w:color w:val="000000"/>
          <w:spacing w:val="0"/>
          <w:w w:val="100"/>
          <w:position w:val="0"/>
          <w:shd w:val="clear" w:color="auto" w:fill="auto"/>
          <w:lang w:val="cs-CZ" w:eastAsia="cs-CZ" w:bidi="cs-CZ"/>
        </w:rPr>
        <w:t>Smluvní strany se dále zavazují, že dojde ke vzájemnému finančnímu vyrovnání, a to ke dni změny vlastnictví.</w:t>
      </w:r>
    </w:p>
    <w:p>
      <w:pPr>
        <w:pStyle w:val="Style2"/>
        <w:keepNext w:val="0"/>
        <w:keepLines w:val="0"/>
        <w:widowControl w:val="0"/>
        <w:shd w:val="clear" w:color="auto" w:fill="auto"/>
        <w:bidi w:val="0"/>
        <w:spacing w:before="0" w:after="0" w:line="240" w:lineRule="auto"/>
        <w:ind w:left="0" w:right="0" w:firstLine="0"/>
        <w:jc w:val="center"/>
      </w:pPr>
      <w:bookmarkStart w:id="19" w:name="bookmark19"/>
      <w:r>
        <w:rPr>
          <w:b/>
          <w:bCs/>
          <w:color w:val="000000"/>
          <w:spacing w:val="0"/>
          <w:w w:val="100"/>
          <w:position w:val="0"/>
          <w:shd w:val="clear" w:color="auto" w:fill="auto"/>
          <w:lang w:val="cs-CZ" w:eastAsia="cs-CZ" w:bidi="cs-CZ"/>
        </w:rPr>
        <w:t>V</w:t>
      </w:r>
      <w:bookmarkEnd w:id="19"/>
      <w:r>
        <w:rPr>
          <w:b/>
          <w:bCs/>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Ostatní ujednání</w:t>
      </w:r>
    </w:p>
    <w:p>
      <w:pPr>
        <w:pStyle w:val="Style2"/>
        <w:keepNext w:val="0"/>
        <w:keepLines w:val="0"/>
        <w:widowControl w:val="0"/>
        <w:numPr>
          <w:ilvl w:val="0"/>
          <w:numId w:val="9"/>
        </w:numPr>
        <w:shd w:val="clear" w:color="auto" w:fill="auto"/>
        <w:tabs>
          <w:tab w:pos="415" w:val="left"/>
        </w:tabs>
        <w:bidi w:val="0"/>
        <w:spacing w:before="0" w:line="240" w:lineRule="auto"/>
        <w:ind w:left="380" w:right="0" w:hanging="380"/>
        <w:jc w:val="both"/>
      </w:pPr>
      <w:bookmarkStart w:id="20" w:name="bookmark20"/>
      <w:bookmarkEnd w:id="20"/>
      <w:r>
        <w:rPr>
          <w:color w:val="000000"/>
          <w:spacing w:val="0"/>
          <w:w w:val="100"/>
          <w:position w:val="0"/>
          <w:shd w:val="clear" w:color="auto" w:fill="auto"/>
          <w:lang w:val="cs-CZ" w:eastAsia="cs-CZ" w:bidi="cs-CZ"/>
        </w:rPr>
        <w:t>Kupující bere na vědomí, že vkladem vlastnického práva do katastru nemovitostí u místně příslušného katastrálního úřadu přechází vlastnické právo k předmětu smlouvy na Českou republiku s právem hospodařit pro kupujícího.</w:t>
      </w:r>
    </w:p>
    <w:p>
      <w:pPr>
        <w:pStyle w:val="Style2"/>
        <w:keepNext w:val="0"/>
        <w:keepLines w:val="0"/>
        <w:widowControl w:val="0"/>
        <w:numPr>
          <w:ilvl w:val="0"/>
          <w:numId w:val="9"/>
        </w:numPr>
        <w:shd w:val="clear" w:color="auto" w:fill="auto"/>
        <w:tabs>
          <w:tab w:pos="415" w:val="left"/>
        </w:tabs>
        <w:bidi w:val="0"/>
        <w:spacing w:before="0" w:line="240" w:lineRule="auto"/>
        <w:ind w:left="380" w:right="0" w:hanging="380"/>
        <w:jc w:val="both"/>
      </w:pPr>
      <w:bookmarkStart w:id="21" w:name="bookmark21"/>
      <w:bookmarkEnd w:id="21"/>
      <w:r>
        <w:rPr>
          <w:color w:val="000000"/>
          <w:spacing w:val="0"/>
          <w:w w:val="100"/>
          <w:position w:val="0"/>
          <w:shd w:val="clear" w:color="auto" w:fill="auto"/>
          <w:lang w:val="cs-CZ" w:eastAsia="cs-CZ" w:bidi="cs-CZ"/>
        </w:rPr>
        <w:t>Smluvní strany se dohodly, že na základě této kupní smlouvy lze zapsat do katastru nemovitostí u místně příslušného katastrálního úřadu vklad vlastnického práva pro Českou republiku s právem hospodařit pro kupujícího. Smluvní strany se dohodly, že návrh na provedení vkladu dle této smlouvy do katastru nemovitostí podá kupující bez zbytečného odkladu po obdržení Rozhodnutí o poskytnutí dotace.</w:t>
      </w:r>
    </w:p>
    <w:p>
      <w:pPr>
        <w:pStyle w:val="Style2"/>
        <w:keepNext w:val="0"/>
        <w:keepLines w:val="0"/>
        <w:widowControl w:val="0"/>
        <w:numPr>
          <w:ilvl w:val="0"/>
          <w:numId w:val="9"/>
        </w:numPr>
        <w:shd w:val="clear" w:color="auto" w:fill="auto"/>
        <w:tabs>
          <w:tab w:pos="415" w:val="left"/>
        </w:tabs>
        <w:bidi w:val="0"/>
        <w:spacing w:before="0" w:line="240" w:lineRule="auto"/>
        <w:ind w:left="380" w:right="0" w:hanging="380"/>
        <w:jc w:val="both"/>
      </w:pPr>
      <w:bookmarkStart w:id="22" w:name="bookmark22"/>
      <w:bookmarkEnd w:id="22"/>
      <w:r>
        <w:rPr>
          <w:color w:val="000000"/>
          <w:spacing w:val="0"/>
          <w:w w:val="100"/>
          <w:position w:val="0"/>
          <w:shd w:val="clear" w:color="auto" w:fill="auto"/>
          <w:lang w:val="cs-CZ" w:eastAsia="cs-CZ" w:bidi="cs-CZ"/>
        </w:rPr>
        <w:t>Smluvní strany se dohodly, že veškeré náklady, zejm. spojené s vypracováním znaleckého posudku a správní poplatek k návrhu na vklad této smlouvy do katastru nemovitostí, ponese kupující.</w:t>
      </w:r>
    </w:p>
    <w:p>
      <w:pPr>
        <w:pStyle w:val="Style2"/>
        <w:keepNext w:val="0"/>
        <w:keepLines w:val="0"/>
        <w:widowControl w:val="0"/>
        <w:numPr>
          <w:ilvl w:val="0"/>
          <w:numId w:val="9"/>
        </w:numPr>
        <w:shd w:val="clear" w:color="auto" w:fill="auto"/>
        <w:tabs>
          <w:tab w:pos="415" w:val="left"/>
        </w:tabs>
        <w:bidi w:val="0"/>
        <w:spacing w:before="0" w:line="240" w:lineRule="auto"/>
        <w:ind w:left="380" w:right="0" w:hanging="380"/>
        <w:jc w:val="both"/>
      </w:pPr>
      <w:bookmarkStart w:id="23" w:name="bookmark23"/>
      <w:bookmarkEnd w:id="23"/>
      <w:r>
        <w:rPr>
          <w:color w:val="000000"/>
          <w:spacing w:val="0"/>
          <w:w w:val="100"/>
          <w:position w:val="0"/>
          <w:shd w:val="clear" w:color="auto" w:fill="auto"/>
          <w:lang w:val="cs-CZ" w:eastAsia="cs-CZ" w:bidi="cs-CZ"/>
        </w:rPr>
        <w:t>Smluvní strany se zavazují poskytnout si veškerou součinnost a potřebné informace pro povolení vkladu vlastnického práva do katastru nemovitostí. V případě, že katastr nemovitostí zamítne, a to z jakéhokoliv důvodu, povolení vkladu vlastnického práva na základě této kupní smlouvy, zavazují se smluvní strany neprodleně využít všech možností k odstranění důvodu zamítnutí povolení vkladu vlastnického práva. Nepodaří-li se důvod zamítnutí povolení vkladu vlastnického práva odstranit ani v přiměřené lhůtě, tato kupní smlouva se ruší, a právní účinky této kupní smlouvy již nastalé pominou. Smluvní strany jsou v tomto případě povinny vzájemně si vrátit veškerá poskytnutá plnění dle této kupní smlouvy.</w:t>
      </w:r>
    </w:p>
    <w:p>
      <w:pPr>
        <w:pStyle w:val="Style2"/>
        <w:keepNext w:val="0"/>
        <w:keepLines w:val="0"/>
        <w:widowControl w:val="0"/>
        <w:numPr>
          <w:ilvl w:val="0"/>
          <w:numId w:val="9"/>
        </w:numPr>
        <w:shd w:val="clear" w:color="auto" w:fill="auto"/>
        <w:tabs>
          <w:tab w:pos="425" w:val="left"/>
        </w:tabs>
        <w:bidi w:val="0"/>
        <w:spacing w:before="0" w:after="320" w:line="240" w:lineRule="auto"/>
        <w:ind w:left="440" w:right="0" w:hanging="440"/>
        <w:jc w:val="both"/>
      </w:pPr>
      <w:bookmarkStart w:id="24" w:name="bookmark24"/>
      <w:bookmarkEnd w:id="24"/>
      <w:r>
        <w:rPr>
          <w:color w:val="000000"/>
          <w:spacing w:val="0"/>
          <w:w w:val="100"/>
          <w:position w:val="0"/>
          <w:shd w:val="clear" w:color="auto" w:fill="auto"/>
          <w:lang w:val="cs-CZ" w:eastAsia="cs-CZ" w:bidi="cs-CZ"/>
        </w:rPr>
        <w:t>Smluvní strany se dohodly, že nebezpečí škody na předmětu převodu přechází na kupujícího vkladem vlastnického práva do katastru nemovitostí u místně příslušného katastrálního úřadu.</w:t>
      </w:r>
    </w:p>
    <w:p>
      <w:pPr>
        <w:pStyle w:val="Style2"/>
        <w:keepNext w:val="0"/>
        <w:keepLines w:val="0"/>
        <w:widowControl w:val="0"/>
        <w:numPr>
          <w:ilvl w:val="0"/>
          <w:numId w:val="11"/>
        </w:numPr>
        <w:shd w:val="clear" w:color="auto" w:fill="auto"/>
        <w:bidi w:val="0"/>
        <w:spacing w:before="0" w:line="240" w:lineRule="auto"/>
        <w:ind w:left="0" w:right="0" w:firstLine="0"/>
        <w:jc w:val="center"/>
      </w:pPr>
      <w:bookmarkStart w:id="25" w:name="bookmark25"/>
      <w:bookmarkEnd w:id="25"/>
      <w:r>
        <w:rPr>
          <w:b/>
          <w:bCs/>
          <w:color w:val="000000"/>
          <w:spacing w:val="0"/>
          <w:w w:val="100"/>
          <w:position w:val="0"/>
          <w:shd w:val="clear" w:color="auto" w:fill="auto"/>
          <w:lang w:val="cs-CZ" w:eastAsia="cs-CZ" w:bidi="cs-CZ"/>
        </w:rPr>
        <w:br/>
        <w:t>Compliance doložka</w:t>
      </w:r>
    </w:p>
    <w:p>
      <w:pPr>
        <w:pStyle w:val="Style2"/>
        <w:keepNext w:val="0"/>
        <w:keepLines w:val="0"/>
        <w:widowControl w:val="0"/>
        <w:shd w:val="clear" w:color="auto" w:fill="auto"/>
        <w:bidi w:val="0"/>
        <w:spacing w:before="0" w:after="180" w:line="240" w:lineRule="auto"/>
        <w:ind w:left="440" w:right="0" w:hanging="440"/>
        <w:jc w:val="both"/>
      </w:pPr>
      <w:r>
        <w:rPr>
          <w:color w:val="000000"/>
          <w:spacing w:val="0"/>
          <w:w w:val="100"/>
          <w:position w:val="0"/>
          <w:shd w:val="clear" w:color="auto" w:fill="auto"/>
          <w:lang w:val="cs-CZ" w:eastAsia="cs-CZ" w:bidi="cs-CZ"/>
        </w:rPr>
        <w:t>1) 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13"/>
        </w:numPr>
        <w:shd w:val="clear" w:color="auto" w:fill="auto"/>
        <w:tabs>
          <w:tab w:pos="425" w:val="left"/>
        </w:tabs>
        <w:bidi w:val="0"/>
        <w:spacing w:before="0" w:line="240" w:lineRule="auto"/>
        <w:ind w:left="440" w:right="0" w:hanging="440"/>
        <w:jc w:val="both"/>
      </w:pPr>
      <w:bookmarkStart w:id="26" w:name="bookmark26"/>
      <w:bookmarkEnd w:id="26"/>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13"/>
        </w:numPr>
        <w:shd w:val="clear" w:color="auto" w:fill="auto"/>
        <w:tabs>
          <w:tab w:pos="425" w:val="left"/>
        </w:tabs>
        <w:bidi w:val="0"/>
        <w:spacing w:before="0" w:line="240" w:lineRule="auto"/>
        <w:ind w:left="440" w:right="0" w:hanging="440"/>
        <w:jc w:val="both"/>
      </w:pPr>
      <w:bookmarkStart w:id="27" w:name="bookmark27"/>
      <w:bookmarkEnd w:id="27"/>
      <w:r>
        <w:rPr>
          <w:color w:val="000000"/>
          <w:spacing w:val="0"/>
          <w:w w:val="100"/>
          <w:position w:val="0"/>
          <w:shd w:val="clear" w:color="auto" w:fill="auto"/>
          <w:lang w:val="cs-CZ" w:eastAsia="cs-CZ" w:bidi="cs-CZ"/>
        </w:rPr>
        <w:t xml:space="preserve">Prodávající prohlašuje, že se seznámil se zásadami, hodnotami a cíli Compliance programu Povodí Ohře, s.p. (viz </w:t>
      </w: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http://www.poh.cz/protikorupcni-a-compliance-</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13"/>
        </w:numPr>
        <w:shd w:val="clear" w:color="auto" w:fill="auto"/>
        <w:tabs>
          <w:tab w:pos="425" w:val="left"/>
        </w:tabs>
        <w:bidi w:val="0"/>
        <w:spacing w:before="0" w:after="560" w:line="240" w:lineRule="auto"/>
        <w:ind w:left="440" w:right="0" w:hanging="440"/>
        <w:jc w:val="both"/>
      </w:pPr>
      <w:bookmarkStart w:id="28" w:name="bookmark28"/>
      <w:bookmarkEnd w:id="28"/>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shd w:val="clear" w:color="auto" w:fill="auto"/>
        <w:bidi w:val="0"/>
        <w:spacing w:before="0" w:after="0" w:line="240" w:lineRule="auto"/>
        <w:ind w:left="0" w:right="0" w:firstLine="0"/>
        <w:jc w:val="center"/>
      </w:pPr>
      <w:bookmarkStart w:id="29" w:name="bookmark29"/>
      <w:r>
        <w:rPr>
          <w:b/>
          <w:bCs/>
          <w:color w:val="000000"/>
          <w:spacing w:val="0"/>
          <w:w w:val="100"/>
          <w:position w:val="0"/>
          <w:shd w:val="clear" w:color="auto" w:fill="auto"/>
          <w:lang w:val="cs-CZ" w:eastAsia="cs-CZ" w:bidi="cs-CZ"/>
        </w:rPr>
        <w:t>V</w:t>
      </w:r>
      <w:bookmarkEnd w:id="29"/>
      <w:r>
        <w:rPr>
          <w:b/>
          <w:bCs/>
          <w:color w:val="000000"/>
          <w:spacing w:val="0"/>
          <w:w w:val="100"/>
          <w:position w:val="0"/>
          <w:shd w:val="clear" w:color="auto" w:fill="auto"/>
          <w:lang w:val="cs-CZ" w:eastAsia="cs-CZ" w:bidi="cs-CZ"/>
        </w:rPr>
        <w:t>II.</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Ochrana a zpracování osobních údajů</w:t>
      </w:r>
    </w:p>
    <w:p>
      <w:pPr>
        <w:pStyle w:val="Style2"/>
        <w:keepNext w:val="0"/>
        <w:keepLines w:val="0"/>
        <w:widowControl w:val="0"/>
        <w:shd w:val="clear" w:color="auto" w:fill="auto"/>
        <w:bidi w:val="0"/>
        <w:spacing w:before="0" w:after="820" w:line="240" w:lineRule="auto"/>
        <w:ind w:left="440" w:right="0" w:hanging="440"/>
        <w:jc w:val="both"/>
      </w:pPr>
      <w:r>
        <w:rPr>
          <w:color w:val="000000"/>
          <w:spacing w:val="0"/>
          <w:w w:val="100"/>
          <w:position w:val="0"/>
          <w:shd w:val="clear" w:color="auto" w:fill="auto"/>
          <w:lang w:val="cs-CZ" w:eastAsia="cs-CZ" w:bidi="cs-CZ"/>
        </w:rPr>
        <w:t xml:space="preserve">1) 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http://www.poh.cz/informace-o-zpracovani-</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osobnich-udaju/d-1369/p1=1459</w:t>
      </w:r>
      <w:r>
        <w:fldChar w:fldCharType="end"/>
      </w:r>
    </w:p>
    <w:p>
      <w:pPr>
        <w:pStyle w:val="Style2"/>
        <w:keepNext w:val="0"/>
        <w:keepLines w:val="0"/>
        <w:widowControl w:val="0"/>
        <w:shd w:val="clear" w:color="auto" w:fill="auto"/>
        <w:bidi w:val="0"/>
        <w:spacing w:before="0" w:after="0" w:line="240" w:lineRule="auto"/>
        <w:ind w:left="0" w:right="0" w:firstLine="0"/>
        <w:jc w:val="center"/>
      </w:pPr>
      <w:bookmarkStart w:id="30" w:name="bookmark30"/>
      <w:r>
        <w:rPr>
          <w:b/>
          <w:bCs/>
          <w:color w:val="000000"/>
          <w:spacing w:val="0"/>
          <w:w w:val="100"/>
          <w:position w:val="0"/>
          <w:shd w:val="clear" w:color="auto" w:fill="auto"/>
          <w:lang w:val="cs-CZ" w:eastAsia="cs-CZ" w:bidi="cs-CZ"/>
        </w:rPr>
        <w:t>V</w:t>
      </w:r>
      <w:bookmarkEnd w:id="30"/>
      <w:r>
        <w:rPr>
          <w:b/>
          <w:bCs/>
          <w:color w:val="000000"/>
          <w:spacing w:val="0"/>
          <w:w w:val="100"/>
          <w:position w:val="0"/>
          <w:shd w:val="clear" w:color="auto" w:fill="auto"/>
          <w:lang w:val="cs-CZ" w:eastAsia="cs-CZ" w:bidi="cs-CZ"/>
        </w:rPr>
        <w:t>III.</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Závěrečná ustanovení</w:t>
      </w:r>
    </w:p>
    <w:p>
      <w:pPr>
        <w:pStyle w:val="Style2"/>
        <w:keepNext w:val="0"/>
        <w:keepLines w:val="0"/>
        <w:widowControl w:val="0"/>
        <w:numPr>
          <w:ilvl w:val="0"/>
          <w:numId w:val="15"/>
        </w:numPr>
        <w:shd w:val="clear" w:color="auto" w:fill="auto"/>
        <w:tabs>
          <w:tab w:pos="425" w:val="left"/>
        </w:tabs>
        <w:bidi w:val="0"/>
        <w:spacing w:before="0" w:line="240" w:lineRule="auto"/>
        <w:ind w:left="440" w:right="0" w:hanging="440"/>
        <w:jc w:val="both"/>
      </w:pPr>
      <w:bookmarkStart w:id="31" w:name="bookmark31"/>
      <w:bookmarkEnd w:id="31"/>
      <w:r>
        <w:rPr>
          <w:b/>
          <w:bCs/>
          <w:color w:val="000000"/>
          <w:spacing w:val="0"/>
          <w:w w:val="100"/>
          <w:position w:val="0"/>
          <w:shd w:val="clear" w:color="auto" w:fill="auto"/>
          <w:lang w:val="cs-CZ" w:eastAsia="cs-CZ" w:bidi="cs-CZ"/>
        </w:rPr>
        <w:t>V případě, že ze strany Ministerstva zemědělství nebude vydáno Rozhodnutí o poskytnutí dotace k proplacení kupní ceny dle této smlouvy, tato smlouva se od počátku ruší a smluvní strany nemají vůči sobě nárok na jakákoli plnění z této smlouvy.</w:t>
      </w:r>
    </w:p>
    <w:p>
      <w:pPr>
        <w:pStyle w:val="Style2"/>
        <w:keepNext w:val="0"/>
        <w:keepLines w:val="0"/>
        <w:widowControl w:val="0"/>
        <w:numPr>
          <w:ilvl w:val="0"/>
          <w:numId w:val="15"/>
        </w:numPr>
        <w:shd w:val="clear" w:color="auto" w:fill="auto"/>
        <w:tabs>
          <w:tab w:pos="425" w:val="left"/>
        </w:tabs>
        <w:bidi w:val="0"/>
        <w:spacing w:before="0" w:after="180" w:line="240" w:lineRule="auto"/>
        <w:ind w:left="440" w:right="0" w:hanging="440"/>
        <w:jc w:val="both"/>
      </w:pPr>
      <w:bookmarkStart w:id="32" w:name="bookmark32"/>
      <w:bookmarkEnd w:id="32"/>
      <w:r>
        <w:rPr>
          <w:color w:val="000000"/>
          <w:spacing w:val="0"/>
          <w:w w:val="100"/>
          <w:position w:val="0"/>
          <w:shd w:val="clear" w:color="auto" w:fill="auto"/>
          <w:lang w:val="cs-CZ" w:eastAsia="cs-CZ" w:bidi="cs-CZ"/>
        </w:rPr>
        <w:t>Návrh na vklad vlastnického práva bude podepsán prodávajícím a kupujícím současně s podpisem této smlouvy.</w:t>
      </w:r>
      <w:r>
        <w:br w:type="page"/>
      </w:r>
    </w:p>
    <w:p>
      <w:pPr>
        <w:pStyle w:val="Style2"/>
        <w:keepNext w:val="0"/>
        <w:keepLines w:val="0"/>
        <w:widowControl w:val="0"/>
        <w:numPr>
          <w:ilvl w:val="0"/>
          <w:numId w:val="15"/>
        </w:numPr>
        <w:shd w:val="clear" w:color="auto" w:fill="auto"/>
        <w:tabs>
          <w:tab w:pos="427" w:val="left"/>
        </w:tabs>
        <w:bidi w:val="0"/>
        <w:spacing w:before="0" w:line="240" w:lineRule="auto"/>
        <w:ind w:left="440" w:right="0" w:hanging="440"/>
        <w:jc w:val="both"/>
      </w:pPr>
      <w:bookmarkStart w:id="33" w:name="bookmark33"/>
      <w:bookmarkEnd w:id="33"/>
      <w:r>
        <w:rPr>
          <w:color w:val="000000"/>
          <w:spacing w:val="0"/>
          <w:w w:val="100"/>
          <w:position w:val="0"/>
          <w:shd w:val="clear" w:color="auto" w:fill="auto"/>
          <w:lang w:val="cs-CZ" w:eastAsia="cs-CZ" w:bidi="cs-CZ"/>
        </w:rPr>
        <w:t>Tato smlouva je vyhotovena ve třech stejnopisech majících povahu originálu, z nichž jeden bude určen jako příloha k návrhu na zápis vkladu vlastnického práva do katastru nemovitostí, jedno vyhotovení obdrží prodávající a jedno vyhotovení kupující.</w:t>
      </w:r>
    </w:p>
    <w:p>
      <w:pPr>
        <w:pStyle w:val="Style2"/>
        <w:keepNext w:val="0"/>
        <w:keepLines w:val="0"/>
        <w:widowControl w:val="0"/>
        <w:numPr>
          <w:ilvl w:val="0"/>
          <w:numId w:val="15"/>
        </w:numPr>
        <w:shd w:val="clear" w:color="auto" w:fill="auto"/>
        <w:tabs>
          <w:tab w:pos="427" w:val="left"/>
        </w:tabs>
        <w:bidi w:val="0"/>
        <w:spacing w:before="0" w:line="240" w:lineRule="auto"/>
        <w:ind w:left="440" w:right="0" w:hanging="440"/>
        <w:jc w:val="both"/>
      </w:pPr>
      <w:bookmarkStart w:id="34" w:name="bookmark34"/>
      <w:bookmarkEnd w:id="34"/>
      <w:r>
        <w:rPr>
          <w:color w:val="000000"/>
          <w:spacing w:val="0"/>
          <w:w w:val="100"/>
          <w:position w:val="0"/>
          <w:shd w:val="clear" w:color="auto" w:fill="auto"/>
          <w:lang w:val="cs-CZ" w:eastAsia="cs-CZ" w:bidi="cs-CZ"/>
        </w:rPr>
        <w:t>Smluvní strany tímto vzájemně prohlašují a stvrzují svými podpisy, že si smlouvu řádně přečetly a pochopily, s jejím obsahem souhlasí, a že ji uzavírají bez nátlaku o své svobodné a vážné vůli.</w:t>
      </w:r>
    </w:p>
    <w:p>
      <w:pPr>
        <w:pStyle w:val="Style2"/>
        <w:keepNext w:val="0"/>
        <w:keepLines w:val="0"/>
        <w:widowControl w:val="0"/>
        <w:numPr>
          <w:ilvl w:val="0"/>
          <w:numId w:val="15"/>
        </w:numPr>
        <w:shd w:val="clear" w:color="auto" w:fill="auto"/>
        <w:tabs>
          <w:tab w:pos="427" w:val="left"/>
        </w:tabs>
        <w:bidi w:val="0"/>
        <w:spacing w:before="0" w:line="240" w:lineRule="auto"/>
        <w:ind w:left="440" w:right="0" w:hanging="440"/>
        <w:jc w:val="both"/>
      </w:pPr>
      <w:bookmarkStart w:id="35" w:name="bookmark35"/>
      <w:bookmarkEnd w:id="35"/>
      <w:r>
        <w:rPr>
          <w:color w:val="000000"/>
          <w:spacing w:val="0"/>
          <w:w w:val="100"/>
          <w:position w:val="0"/>
          <w:shd w:val="clear" w:color="auto" w:fill="auto"/>
          <w:lang w:val="cs-CZ" w:eastAsia="cs-CZ" w:bidi="cs-CZ"/>
        </w:rPr>
        <w:t>Smluvní strany berou na vědomí, že tato smlouva je platná dnem oboustranného podpisu a nabývá účinnosti dnem jejího zveřejnění v Registru smluv.</w:t>
      </w:r>
    </w:p>
    <w:p>
      <w:pPr>
        <w:pStyle w:val="Style2"/>
        <w:keepNext w:val="0"/>
        <w:keepLines w:val="0"/>
        <w:widowControl w:val="0"/>
        <w:numPr>
          <w:ilvl w:val="0"/>
          <w:numId w:val="15"/>
        </w:numPr>
        <w:shd w:val="clear" w:color="auto" w:fill="auto"/>
        <w:tabs>
          <w:tab w:pos="427" w:val="left"/>
        </w:tabs>
        <w:bidi w:val="0"/>
        <w:spacing w:before="0" w:line="240" w:lineRule="auto"/>
        <w:ind w:left="440" w:right="0" w:hanging="440"/>
        <w:jc w:val="both"/>
      </w:pPr>
      <w:bookmarkStart w:id="36" w:name="bookmark36"/>
      <w:bookmarkEnd w:id="36"/>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 Odměna je údajem, který se nezveřejňuje ve smyslu § 3 odst. 2 písm. j č.340/2015 Sb., jakož i neuveřejněnou informací ve smyslu § 3 odst. 1 zákona č. 340/2015 Sb.</w:t>
      </w:r>
    </w:p>
    <w:p>
      <w:pPr>
        <w:pStyle w:val="Style2"/>
        <w:keepNext w:val="0"/>
        <w:keepLines w:val="0"/>
        <w:widowControl w:val="0"/>
        <w:numPr>
          <w:ilvl w:val="0"/>
          <w:numId w:val="15"/>
        </w:numPr>
        <w:shd w:val="clear" w:color="auto" w:fill="auto"/>
        <w:tabs>
          <w:tab w:pos="427" w:val="left"/>
        </w:tabs>
        <w:bidi w:val="0"/>
        <w:spacing w:before="0" w:line="240" w:lineRule="auto"/>
        <w:ind w:left="440" w:right="0" w:hanging="440"/>
        <w:jc w:val="both"/>
      </w:pPr>
      <w:bookmarkStart w:id="37" w:name="bookmark37"/>
      <w:bookmarkEnd w:id="37"/>
      <w:r>
        <w:rPr>
          <w:color w:val="000000"/>
          <w:spacing w:val="0"/>
          <w:w w:val="100"/>
          <w:position w:val="0"/>
          <w:shd w:val="clear" w:color="auto" w:fill="auto"/>
          <w:lang w:val="cs-CZ" w:eastAsia="cs-CZ" w:bidi="cs-CZ"/>
        </w:rPr>
        <w:t>Smluvní strany prohlašují, že souhlasí s případným poskytnutím textu této smlouvy v souladu se zákonem č. 106/1999 Sb., o svobodném přístupu k informacím, ve znění pozdějších předpisů.</w:t>
      </w:r>
    </w:p>
    <w:p>
      <w:pPr>
        <w:pStyle w:val="Style2"/>
        <w:keepNext w:val="0"/>
        <w:keepLines w:val="0"/>
        <w:widowControl w:val="0"/>
        <w:numPr>
          <w:ilvl w:val="0"/>
          <w:numId w:val="15"/>
        </w:numPr>
        <w:shd w:val="clear" w:color="auto" w:fill="auto"/>
        <w:tabs>
          <w:tab w:pos="427" w:val="left"/>
        </w:tabs>
        <w:bidi w:val="0"/>
        <w:spacing w:before="0" w:after="320" w:line="240" w:lineRule="auto"/>
        <w:ind w:left="440" w:right="0" w:hanging="440"/>
        <w:jc w:val="both"/>
      </w:pPr>
      <w:bookmarkStart w:id="38" w:name="bookmark38"/>
      <w:bookmarkEnd w:id="38"/>
      <w:r>
        <w:rPr>
          <w:color w:val="000000"/>
          <w:spacing w:val="0"/>
          <w:w w:val="100"/>
          <w:position w:val="0"/>
          <w:shd w:val="clear" w:color="auto" w:fill="auto"/>
          <w:lang w:val="cs-CZ" w:eastAsia="cs-CZ" w:bidi="cs-CZ"/>
        </w:rPr>
        <w:t>Tuto kupní smlouvu je možné změnit pouze písemnými dodatky, vzestupně číslovanými a podepsanými zástupci obou smluvních stran.</w:t>
      </w:r>
    </w:p>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Přílohy:</w:t>
      </w:r>
    </w:p>
    <w:p>
      <w:pPr>
        <w:pStyle w:val="Style2"/>
        <w:keepNext w:val="0"/>
        <w:keepLines w:val="0"/>
        <w:widowControl w:val="0"/>
        <w:numPr>
          <w:ilvl w:val="0"/>
          <w:numId w:val="17"/>
        </w:numPr>
        <w:shd w:val="clear" w:color="auto" w:fill="auto"/>
        <w:tabs>
          <w:tab w:pos="427" w:val="left"/>
        </w:tabs>
        <w:bidi w:val="0"/>
        <w:spacing w:before="0" w:after="0" w:line="240" w:lineRule="auto"/>
        <w:ind w:left="0" w:right="0" w:firstLine="0"/>
        <w:jc w:val="left"/>
      </w:pPr>
      <w:bookmarkStart w:id="39" w:name="bookmark39"/>
      <w:bookmarkEnd w:id="39"/>
      <w:r>
        <w:rPr>
          <w:color w:val="000000"/>
          <w:spacing w:val="0"/>
          <w:w w:val="100"/>
          <w:position w:val="0"/>
          <w:shd w:val="clear" w:color="auto" w:fill="auto"/>
          <w:lang w:val="cs-CZ" w:eastAsia="cs-CZ" w:bidi="cs-CZ"/>
        </w:rPr>
        <w:t>situační snímek katastrální mapy</w:t>
      </w:r>
    </w:p>
    <w:p>
      <w:pPr>
        <w:pStyle w:val="Style2"/>
        <w:keepNext w:val="0"/>
        <w:keepLines w:val="0"/>
        <w:widowControl w:val="0"/>
        <w:numPr>
          <w:ilvl w:val="0"/>
          <w:numId w:val="17"/>
        </w:numPr>
        <w:shd w:val="clear" w:color="auto" w:fill="auto"/>
        <w:tabs>
          <w:tab w:pos="427" w:val="left"/>
        </w:tabs>
        <w:bidi w:val="0"/>
        <w:spacing w:before="0" w:after="0" w:line="240" w:lineRule="auto"/>
        <w:ind w:left="0" w:right="0" w:firstLine="0"/>
        <w:jc w:val="left"/>
      </w:pPr>
      <w:bookmarkStart w:id="40" w:name="bookmark40"/>
      <w:bookmarkEnd w:id="40"/>
      <w:r>
        <w:rPr>
          <w:color w:val="000000"/>
          <w:spacing w:val="0"/>
          <w:w w:val="100"/>
          <w:position w:val="0"/>
          <w:shd w:val="clear" w:color="auto" w:fill="auto"/>
          <w:lang w:val="cs-CZ" w:eastAsia="cs-CZ" w:bidi="cs-CZ"/>
        </w:rPr>
        <w:t>výpis z KN – LV č. 229, 198 pro k. ú. Černčice u Petrohradu</w:t>
      </w:r>
    </w:p>
    <w:p>
      <w:pPr>
        <w:pStyle w:val="Style2"/>
        <w:keepNext w:val="0"/>
        <w:keepLines w:val="0"/>
        <w:widowControl w:val="0"/>
        <w:numPr>
          <w:ilvl w:val="0"/>
          <w:numId w:val="17"/>
        </w:numPr>
        <w:shd w:val="clear" w:color="auto" w:fill="auto"/>
        <w:tabs>
          <w:tab w:pos="427" w:val="left"/>
        </w:tabs>
        <w:bidi w:val="0"/>
        <w:spacing w:before="0" w:after="0" w:line="240" w:lineRule="auto"/>
        <w:ind w:left="0" w:right="0" w:firstLine="0"/>
        <w:jc w:val="left"/>
      </w:pPr>
      <w:bookmarkStart w:id="41" w:name="bookmark41"/>
      <w:bookmarkEnd w:id="41"/>
      <w:r>
        <w:rPr>
          <w:color w:val="000000"/>
          <w:spacing w:val="0"/>
          <w:w w:val="100"/>
          <w:position w:val="0"/>
          <w:shd w:val="clear" w:color="auto" w:fill="auto"/>
          <w:lang w:val="cs-CZ" w:eastAsia="cs-CZ" w:bidi="cs-CZ"/>
        </w:rPr>
        <w:t>výpis z KN – LV č. 784 pro k. ú. Kryry</w:t>
      </w:r>
    </w:p>
    <w:p>
      <w:pPr>
        <w:pStyle w:val="Style2"/>
        <w:keepNext w:val="0"/>
        <w:keepLines w:val="0"/>
        <w:widowControl w:val="0"/>
        <w:numPr>
          <w:ilvl w:val="0"/>
          <w:numId w:val="17"/>
        </w:numPr>
        <w:shd w:val="clear" w:color="auto" w:fill="auto"/>
        <w:tabs>
          <w:tab w:pos="427" w:val="left"/>
        </w:tabs>
        <w:bidi w:val="0"/>
        <w:spacing w:before="0" w:after="0" w:line="240" w:lineRule="auto"/>
        <w:ind w:left="0" w:right="0" w:firstLine="0"/>
        <w:jc w:val="left"/>
      </w:pPr>
      <w:bookmarkStart w:id="42" w:name="bookmark42"/>
      <w:bookmarkEnd w:id="42"/>
      <w:r>
        <w:rPr>
          <w:color w:val="000000"/>
          <w:spacing w:val="0"/>
          <w:w w:val="100"/>
          <w:position w:val="0"/>
          <w:shd w:val="clear" w:color="auto" w:fill="auto"/>
          <w:lang w:val="cs-CZ" w:eastAsia="cs-CZ" w:bidi="cs-CZ"/>
        </w:rPr>
        <w:t>GP č. 237-234/2024 pro k. ú. Černčice u Petrohradu</w:t>
      </w:r>
    </w:p>
    <w:p>
      <w:pPr>
        <w:widowControl w:val="0"/>
        <w:spacing w:line="1" w:lineRule="exact"/>
      </w:pPr>
      <w:r>
        <mc:AlternateContent>
          <mc:Choice Requires="wps">
            <w:drawing>
              <wp:anchor distT="25400" distB="0" distL="0" distR="0" simplePos="0" relativeHeight="125829378" behindDoc="0" locked="0" layoutInCell="1" allowOverlap="1">
                <wp:simplePos x="0" y="0"/>
                <wp:positionH relativeFrom="page">
                  <wp:posOffset>886460</wp:posOffset>
                </wp:positionH>
                <wp:positionV relativeFrom="paragraph">
                  <wp:posOffset>25400</wp:posOffset>
                </wp:positionV>
                <wp:extent cx="2511425" cy="225425"/>
                <wp:wrapTopAndBottom/>
                <wp:docPr id="1" name="Shape 1"/>
                <a:graphic xmlns:a="http://schemas.openxmlformats.org/drawingml/2006/main">
                  <a:graphicData uri="http://schemas.microsoft.com/office/word/2010/wordprocessingShape">
                    <wps:wsp>
                      <wps:cNvSpPr txBox="1"/>
                      <wps:spPr>
                        <a:xfrm>
                          <a:ext cx="2511425"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 dne …………….</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799999999999997pt;margin-top:2.pt;width:197.75pt;height:17.75pt;z-index:-125829375;mso-wrap-distance-left:0;mso-wrap-distance-top:2.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 dne …………….</w:t>
                      </w:r>
                    </w:p>
                  </w:txbxContent>
                </v:textbox>
                <w10:wrap type="topAndBottom" anchorx="page"/>
              </v:shape>
            </w:pict>
          </mc:Fallback>
        </mc:AlternateContent>
      </w:r>
      <w:r>
        <mc:AlternateContent>
          <mc:Choice Requires="wps">
            <w:drawing>
              <wp:anchor distT="25400" distB="0" distL="0" distR="0" simplePos="0" relativeHeight="125829380" behindDoc="0" locked="0" layoutInCell="1" allowOverlap="1">
                <wp:simplePos x="0" y="0"/>
                <wp:positionH relativeFrom="page">
                  <wp:posOffset>4037965</wp:posOffset>
                </wp:positionH>
                <wp:positionV relativeFrom="paragraph">
                  <wp:posOffset>25400</wp:posOffset>
                </wp:positionV>
                <wp:extent cx="2170430" cy="225425"/>
                <wp:wrapTopAndBottom/>
                <wp:docPr id="3" name="Shape 3"/>
                <a:graphic xmlns:a="http://schemas.openxmlformats.org/drawingml/2006/main">
                  <a:graphicData uri="http://schemas.microsoft.com/office/word/2010/wordprocessingShape">
                    <wps:wsp>
                      <wps:cNvSpPr txBox="1"/>
                      <wps:spPr>
                        <a:xfrm>
                          <a:ext cx="2170430"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dne …………………</w:t>
                            </w:r>
                          </w:p>
                        </w:txbxContent>
                      </wps:txbx>
                      <wps:bodyPr wrap="none" lIns="0" tIns="0" rIns="0" bIns="0">
                        <a:noAutoFit/>
                      </wps:bodyPr>
                    </wps:wsp>
                  </a:graphicData>
                </a:graphic>
              </wp:anchor>
            </w:drawing>
          </mc:Choice>
          <mc:Fallback>
            <w:pict>
              <v:shape id="_x0000_s1029" type="#_x0000_t202" style="position:absolute;margin-left:317.94999999999999pt;margin-top:2.pt;width:170.90000000000001pt;height:17.75pt;z-index:-125829373;mso-wrap-distance-left:0;mso-wrap-distance-top:2.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dne …………………</w:t>
                      </w:r>
                    </w:p>
                  </w:txbxContent>
                </v:textbox>
                <w10:wrap type="topAndBottom" anchorx="page"/>
              </v:shape>
            </w:pict>
          </mc:Fallback>
        </mc:AlternateContent>
      </w:r>
    </w:p>
    <w:p>
      <w:pPr>
        <w:widowControl w:val="0"/>
        <w:spacing w:line="1" w:lineRule="exact"/>
      </w:pPr>
      <w:r>
        <mc:AlternateContent>
          <mc:Choice Requires="wps">
            <w:drawing>
              <wp:anchor distT="88900" distB="0" distL="0" distR="0" simplePos="0" relativeHeight="125829382" behindDoc="0" locked="0" layoutInCell="1" allowOverlap="1">
                <wp:simplePos x="0" y="0"/>
                <wp:positionH relativeFrom="page">
                  <wp:posOffset>886460</wp:posOffset>
                </wp:positionH>
                <wp:positionV relativeFrom="paragraph">
                  <wp:posOffset>88900</wp:posOffset>
                </wp:positionV>
                <wp:extent cx="1191895" cy="231775"/>
                <wp:wrapTopAndBottom/>
                <wp:docPr id="5" name="Shape 5"/>
                <a:graphic xmlns:a="http://schemas.openxmlformats.org/drawingml/2006/main">
                  <a:graphicData uri="http://schemas.microsoft.com/office/word/2010/wordprocessingShape">
                    <wps:wsp>
                      <wps:cNvSpPr txBox="1"/>
                      <wps:spPr>
                        <a:xfrm>
                          <a:ext cx="1191895" cy="2317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cs-CZ" w:eastAsia="cs-CZ" w:bidi="cs-CZ"/>
                              </w:rPr>
                              <w:t>Za prodávajícího:</w:t>
                            </w:r>
                          </w:p>
                        </w:txbxContent>
                      </wps:txbx>
                      <wps:bodyPr wrap="none" lIns="0" tIns="0" rIns="0" bIns="0">
                        <a:noAutoFit/>
                      </wps:bodyPr>
                    </wps:wsp>
                  </a:graphicData>
                </a:graphic>
              </wp:anchor>
            </w:drawing>
          </mc:Choice>
          <mc:Fallback>
            <w:pict>
              <v:shape id="_x0000_s1031" type="#_x0000_t202" style="position:absolute;margin-left:69.799999999999997pt;margin-top:7.pt;width:93.850000000000009pt;height:18.25pt;z-index:-125829371;mso-wrap-distance-left:0;mso-wrap-distance-top:7.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cs-CZ" w:eastAsia="cs-CZ" w:bidi="cs-CZ"/>
                        </w:rPr>
                        <w:t>Za prodávajícího:</w:t>
                      </w:r>
                    </w:p>
                  </w:txbxContent>
                </v:textbox>
                <w10:wrap type="topAndBottom" anchorx="page"/>
              </v:shape>
            </w:pict>
          </mc:Fallback>
        </mc:AlternateContent>
      </w:r>
      <w:r>
        <mc:AlternateContent>
          <mc:Choice Requires="wps">
            <w:drawing>
              <wp:anchor distT="88900" distB="0" distL="0" distR="0" simplePos="0" relativeHeight="125829384" behindDoc="0" locked="0" layoutInCell="1" allowOverlap="1">
                <wp:simplePos x="0" y="0"/>
                <wp:positionH relativeFrom="page">
                  <wp:posOffset>4037965</wp:posOffset>
                </wp:positionH>
                <wp:positionV relativeFrom="paragraph">
                  <wp:posOffset>88900</wp:posOffset>
                </wp:positionV>
                <wp:extent cx="981710" cy="231775"/>
                <wp:wrapTopAndBottom/>
                <wp:docPr id="7" name="Shape 7"/>
                <a:graphic xmlns:a="http://schemas.openxmlformats.org/drawingml/2006/main">
                  <a:graphicData uri="http://schemas.microsoft.com/office/word/2010/wordprocessingShape">
                    <wps:wsp>
                      <wps:cNvSpPr txBox="1"/>
                      <wps:spPr>
                        <a:xfrm>
                          <a:ext cx="981710" cy="2317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b/>
                                <w:bCs/>
                                <w:i/>
                                <w:iCs/>
                                <w:color w:val="000000"/>
                                <w:spacing w:val="0"/>
                                <w:w w:val="100"/>
                                <w:position w:val="0"/>
                                <w:shd w:val="clear" w:color="auto" w:fill="auto"/>
                                <w:lang w:val="cs-CZ" w:eastAsia="cs-CZ" w:bidi="cs-CZ"/>
                              </w:rPr>
                              <w:t>Za kupujícího:</w:t>
                            </w:r>
                          </w:p>
                        </w:txbxContent>
                      </wps:txbx>
                      <wps:bodyPr wrap="none" lIns="0" tIns="0" rIns="0" bIns="0">
                        <a:noAutoFit/>
                      </wps:bodyPr>
                    </wps:wsp>
                  </a:graphicData>
                </a:graphic>
              </wp:anchor>
            </w:drawing>
          </mc:Choice>
          <mc:Fallback>
            <w:pict>
              <v:shape id="_x0000_s1033" type="#_x0000_t202" style="position:absolute;margin-left:317.94999999999999pt;margin-top:7.pt;width:77.299999999999997pt;height:18.25pt;z-index:-125829369;mso-wrap-distance-left:0;mso-wrap-distance-top:7.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b/>
                          <w:bCs/>
                          <w:i/>
                          <w:iCs/>
                          <w:color w:val="000000"/>
                          <w:spacing w:val="0"/>
                          <w:w w:val="100"/>
                          <w:position w:val="0"/>
                          <w:shd w:val="clear" w:color="auto" w:fill="auto"/>
                          <w:lang w:val="cs-CZ" w:eastAsia="cs-CZ" w:bidi="cs-CZ"/>
                        </w:rPr>
                        <w:t>Za kupujícího:</w:t>
                      </w:r>
                    </w:p>
                  </w:txbxContent>
                </v:textbox>
                <w10:wrap type="topAndBottom" anchorx="page"/>
              </v:shape>
            </w:pict>
          </mc:Fallback>
        </mc:AlternateContent>
      </w:r>
    </w:p>
    <w:p>
      <w:pPr>
        <w:widowControl w:val="0"/>
        <w:spacing w:line="1" w:lineRule="exact"/>
        <w:sectPr>
          <w:headerReference w:type="default" r:id="rId5"/>
          <w:footerReference w:type="default" r:id="rId6"/>
          <w:footnotePr>
            <w:pos w:val="pageBottom"/>
            <w:numFmt w:val="decimal"/>
            <w:numRestart w:val="continuous"/>
          </w:footnotePr>
          <w:pgSz w:w="11909" w:h="16838"/>
          <w:pgMar w:top="1113" w:left="1393" w:right="1385" w:bottom="1089" w:header="0" w:footer="3" w:gutter="0"/>
          <w:pgNumType w:start="1"/>
          <w:cols w:space="720"/>
          <w:noEndnote/>
          <w:rtlGutter w:val="0"/>
          <w:docGrid w:linePitch="360"/>
        </w:sectPr>
      </w:pPr>
      <w:r>
        <mc:AlternateContent>
          <mc:Choice Requires="wps">
            <w:drawing>
              <wp:anchor distT="876300" distB="0" distL="0" distR="0" simplePos="0" relativeHeight="125829386" behindDoc="0" locked="0" layoutInCell="1" allowOverlap="1">
                <wp:simplePos x="0" y="0"/>
                <wp:positionH relativeFrom="page">
                  <wp:posOffset>886460</wp:posOffset>
                </wp:positionH>
                <wp:positionV relativeFrom="paragraph">
                  <wp:posOffset>876300</wp:posOffset>
                </wp:positionV>
                <wp:extent cx="1898650" cy="237490"/>
                <wp:wrapTopAndBottom/>
                <wp:docPr id="13" name="Shape 13"/>
                <a:graphic xmlns:a="http://schemas.openxmlformats.org/drawingml/2006/main">
                  <a:graphicData uri="http://schemas.microsoft.com/office/word/2010/wordprocessingShape">
                    <wps:wsp>
                      <wps:cNvSpPr txBox="1"/>
                      <wps:spPr>
                        <a:xfrm>
                          <a:ext cx="1898650" cy="237490"/>
                        </a:xfrm>
                        <a:prstGeom prst="rect"/>
                        <a:noFill/>
                      </wps:spPr>
                      <wps:txbx>
                        <w:txbxContent>
                          <w:p>
                            <w:pPr>
                              <w:pStyle w:val="Style2"/>
                              <w:keepNext w:val="0"/>
                              <w:keepLines w:val="0"/>
                              <w:widowControl w:val="0"/>
                              <w:shd w:val="clear" w:color="auto" w:fill="auto"/>
                              <w:tabs>
                                <w:tab w:leader="underscore" w:pos="2933"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ab/>
                            </w:r>
                          </w:p>
                        </w:txbxContent>
                      </wps:txbx>
                      <wps:bodyPr wrap="none" lIns="0" tIns="0" rIns="0" bIns="0">
                        <a:noAutoFit/>
                      </wps:bodyPr>
                    </wps:wsp>
                  </a:graphicData>
                </a:graphic>
              </wp:anchor>
            </w:drawing>
          </mc:Choice>
          <mc:Fallback>
            <w:pict>
              <v:shape id="_x0000_s1039" type="#_x0000_t202" style="position:absolute;margin-left:69.799999999999997pt;margin-top:69.pt;width:149.5pt;height:18.699999999999999pt;z-index:-125829367;mso-wrap-distance-left:0;mso-wrap-distance-top:69.pt;mso-wrap-distance-right:0;mso-position-horizontal-relative:page" filled="f" stroked="f">
                <v:textbox inset="0,0,0,0">
                  <w:txbxContent>
                    <w:p>
                      <w:pPr>
                        <w:pStyle w:val="Style2"/>
                        <w:keepNext w:val="0"/>
                        <w:keepLines w:val="0"/>
                        <w:widowControl w:val="0"/>
                        <w:shd w:val="clear" w:color="auto" w:fill="auto"/>
                        <w:tabs>
                          <w:tab w:leader="underscore" w:pos="2933"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ab/>
                      </w:r>
                    </w:p>
                  </w:txbxContent>
                </v:textbox>
                <w10:wrap type="topAndBottom" anchorx="page"/>
              </v:shape>
            </w:pict>
          </mc:Fallback>
        </mc:AlternateContent>
      </w:r>
      <w:r>
        <mc:AlternateContent>
          <mc:Choice Requires="wps">
            <w:drawing>
              <wp:anchor distT="876300" distB="0" distL="0" distR="0" simplePos="0" relativeHeight="125829388" behindDoc="0" locked="0" layoutInCell="1" allowOverlap="1">
                <wp:simplePos x="0" y="0"/>
                <wp:positionH relativeFrom="page">
                  <wp:posOffset>4037965</wp:posOffset>
                </wp:positionH>
                <wp:positionV relativeFrom="paragraph">
                  <wp:posOffset>876300</wp:posOffset>
                </wp:positionV>
                <wp:extent cx="2365375" cy="237490"/>
                <wp:wrapTopAndBottom/>
                <wp:docPr id="15" name="Shape 15"/>
                <a:graphic xmlns:a="http://schemas.openxmlformats.org/drawingml/2006/main">
                  <a:graphicData uri="http://schemas.microsoft.com/office/word/2010/wordprocessingShape">
                    <wps:wsp>
                      <wps:cNvSpPr txBox="1"/>
                      <wps:spPr>
                        <a:xfrm>
                          <a:ext cx="2365375" cy="237490"/>
                        </a:xfrm>
                        <a:prstGeom prst="rect"/>
                        <a:noFill/>
                      </wps:spPr>
                      <wps:txbx>
                        <w:txbxContent>
                          <w:p>
                            <w:pPr>
                              <w:pStyle w:val="Style2"/>
                              <w:keepNext w:val="0"/>
                              <w:keepLines w:val="0"/>
                              <w:widowControl w:val="0"/>
                              <w:shd w:val="clear" w:color="auto" w:fill="auto"/>
                              <w:tabs>
                                <w:tab w:leader="underscore" w:pos="3667"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ab/>
                            </w:r>
                          </w:p>
                        </w:txbxContent>
                      </wps:txbx>
                      <wps:bodyPr wrap="none" lIns="0" tIns="0" rIns="0" bIns="0">
                        <a:noAutoFit/>
                      </wps:bodyPr>
                    </wps:wsp>
                  </a:graphicData>
                </a:graphic>
              </wp:anchor>
            </w:drawing>
          </mc:Choice>
          <mc:Fallback>
            <w:pict>
              <v:shape id="_x0000_s1041" type="#_x0000_t202" style="position:absolute;margin-left:317.94999999999999pt;margin-top:69.pt;width:186.25pt;height:18.699999999999999pt;z-index:-125829365;mso-wrap-distance-left:0;mso-wrap-distance-top:69.pt;mso-wrap-distance-right:0;mso-position-horizontal-relative:page" filled="f" stroked="f">
                <v:textbox inset="0,0,0,0">
                  <w:txbxContent>
                    <w:p>
                      <w:pPr>
                        <w:pStyle w:val="Style2"/>
                        <w:keepNext w:val="0"/>
                        <w:keepLines w:val="0"/>
                        <w:widowControl w:val="0"/>
                        <w:shd w:val="clear" w:color="auto" w:fill="auto"/>
                        <w:tabs>
                          <w:tab w:leader="underscore" w:pos="3667"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ab/>
                      </w:r>
                    </w:p>
                  </w:txbxContent>
                </v:textbox>
                <w10:wrap type="topAndBottom" anchorx="page"/>
              </v:shape>
            </w:pict>
          </mc:Fallback>
        </mc:AlternateContent>
      </w:r>
    </w:p>
    <w:p>
      <w:pPr>
        <w:widowControl w:val="0"/>
        <w:spacing w:line="127" w:lineRule="exact"/>
        <w:rPr>
          <w:sz w:val="10"/>
          <w:szCs w:val="10"/>
        </w:rPr>
      </w:pPr>
    </w:p>
    <w:p>
      <w:pPr>
        <w:widowControl w:val="0"/>
        <w:spacing w:line="1" w:lineRule="exact"/>
        <w:sectPr>
          <w:footnotePr>
            <w:pos w:val="pageBottom"/>
            <w:numFmt w:val="decimal"/>
            <w:numRestart w:val="continuous"/>
          </w:footnotePr>
          <w:type w:val="continuous"/>
          <w:pgSz w:w="11909" w:h="16838"/>
          <w:pgMar w:top="1205" w:left="0" w:right="0" w:bottom="1133"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114300" distR="114300" simplePos="0" relativeHeight="125829390" behindDoc="0" locked="0" layoutInCell="1" allowOverlap="1">
                <wp:simplePos x="0" y="0"/>
                <wp:positionH relativeFrom="page">
                  <wp:posOffset>4037965</wp:posOffset>
                </wp:positionH>
                <wp:positionV relativeFrom="paragraph">
                  <wp:posOffset>12700</wp:posOffset>
                </wp:positionV>
                <wp:extent cx="1810385" cy="396240"/>
                <wp:wrapSquare wrapText="left"/>
                <wp:docPr id="17" name="Shape 17"/>
                <a:graphic xmlns:a="http://schemas.openxmlformats.org/drawingml/2006/main">
                  <a:graphicData uri="http://schemas.microsoft.com/office/word/2010/wordprocessingShape">
                    <wps:wsp>
                      <wps:cNvSpPr txBox="1"/>
                      <wps:spPr>
                        <a:xfrm>
                          <a:ext cx="1810385" cy="3962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generální ředitel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txbxContent>
                      </wps:txbx>
                      <wps:bodyPr lIns="0" tIns="0" rIns="0" bIns="0">
                        <a:noAutoFit/>
                      </wps:bodyPr>
                    </wps:wsp>
                  </a:graphicData>
                </a:graphic>
              </wp:anchor>
            </w:drawing>
          </mc:Choice>
          <mc:Fallback>
            <w:pict>
              <v:shape id="_x0000_s1043" type="#_x0000_t202" style="position:absolute;margin-left:317.94999999999999pt;margin-top:1.pt;width:142.55000000000001pt;height:31.199999999999999pt;z-index:-12582936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generální ředitel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txbxContent>
                </v:textbox>
                <w10:wrap type="square" side="left" anchorx="page"/>
              </v:shape>
            </w:pict>
          </mc:Fallback>
        </mc:AlternateContent>
      </w:r>
      <w:r>
        <w:rPr>
          <w:b/>
          <w:bCs/>
          <w:color w:val="000000"/>
          <w:spacing w:val="0"/>
          <w:w w:val="100"/>
          <w:position w:val="0"/>
          <w:shd w:val="clear" w:color="auto" w:fill="auto"/>
          <w:lang w:val="cs-CZ" w:eastAsia="cs-CZ" w:bidi="cs-CZ"/>
        </w:rPr>
        <w:t>jednatel</w:t>
      </w:r>
    </w:p>
    <w:p>
      <w:pPr>
        <w:pStyle w:val="Style2"/>
        <w:keepNext w:val="0"/>
        <w:keepLines w:val="0"/>
        <w:widowControl w:val="0"/>
        <w:shd w:val="clear" w:color="auto" w:fill="auto"/>
        <w:bidi w:val="0"/>
        <w:spacing w:before="0" w:after="1200" w:line="240" w:lineRule="auto"/>
        <w:ind w:left="0" w:right="0" w:firstLine="0"/>
        <w:jc w:val="left"/>
      </w:pPr>
      <w:r>
        <w:rPr>
          <w:b/>
          <w:bCs/>
          <w:color w:val="000000"/>
          <w:spacing w:val="0"/>
          <w:w w:val="100"/>
          <w:position w:val="0"/>
          <w:shd w:val="clear" w:color="auto" w:fill="auto"/>
          <w:lang w:val="cs-CZ" w:eastAsia="cs-CZ" w:bidi="cs-CZ"/>
        </w:rPr>
        <w:t>Petrohradská, společnost s ručením omezeným</w:t>
      </w:r>
    </w:p>
    <w:p>
      <w:pPr>
        <w:pStyle w:val="Style2"/>
        <w:keepNext w:val="0"/>
        <w:keepLines w:val="0"/>
        <w:widowControl w:val="0"/>
        <w:shd w:val="clear" w:color="auto" w:fill="auto"/>
        <w:tabs>
          <w:tab w:leader="underscore" w:pos="2933" w:val="left"/>
        </w:tabs>
        <w:bidi w:val="0"/>
        <w:spacing w:before="0" w:after="180" w:line="240" w:lineRule="auto"/>
        <w:ind w:left="0" w:right="0" w:firstLine="0"/>
        <w:jc w:val="left"/>
      </w:pPr>
      <w:r>
        <w:rPr>
          <w:b/>
          <w:bCs/>
          <w:color w:val="000000"/>
          <w:spacing w:val="0"/>
          <w:w w:val="100"/>
          <w:position w:val="0"/>
          <w:shd w:val="clear" w:color="auto" w:fill="auto"/>
          <w:lang w:val="cs-CZ" w:eastAsia="cs-CZ" w:bidi="cs-CZ"/>
        </w:rPr>
        <w:tab/>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jednatel</w:t>
      </w:r>
    </w:p>
    <w:p>
      <w:pPr>
        <w:pStyle w:val="Style2"/>
        <w:keepNext w:val="0"/>
        <w:keepLines w:val="0"/>
        <w:widowControl w:val="0"/>
        <w:shd w:val="clear" w:color="auto" w:fill="auto"/>
        <w:bidi w:val="0"/>
        <w:spacing w:before="0" w:after="680" w:line="240" w:lineRule="auto"/>
        <w:ind w:left="0" w:right="0" w:firstLine="0"/>
        <w:jc w:val="left"/>
      </w:pPr>
      <w:r>
        <w:rPr>
          <w:b/>
          <w:bCs/>
          <w:color w:val="000000"/>
          <w:spacing w:val="0"/>
          <w:w w:val="100"/>
          <w:position w:val="0"/>
          <w:shd w:val="clear" w:color="auto" w:fill="auto"/>
          <w:lang w:val="cs-CZ" w:eastAsia="cs-CZ" w:bidi="cs-CZ"/>
        </w:rPr>
        <w:t>Petrohradská, společnost s ručením omezeným</w:t>
      </w:r>
    </w:p>
    <w:sectPr>
      <w:footnotePr>
        <w:pos w:val="pageBottom"/>
        <w:numFmt w:val="decimal"/>
        <w:numRestart w:val="continuous"/>
      </w:footnotePr>
      <w:pgSz w:w="11909" w:h="16838"/>
      <w:pgMar w:top="1205" w:left="1394" w:right="1389" w:bottom="1133"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3745230</wp:posOffset>
              </wp:positionH>
              <wp:positionV relativeFrom="page">
                <wp:posOffset>10063480</wp:posOffset>
              </wp:positionV>
              <wp:extent cx="76200" cy="189230"/>
              <wp:wrapNone/>
              <wp:docPr id="11" name="Shape 11"/>
              <a:graphic xmlns:a="http://schemas.openxmlformats.org/drawingml/2006/main">
                <a:graphicData uri="http://schemas.microsoft.com/office/word/2010/wordprocessingShape">
                  <wps:wsp>
                    <wps:cNvSpPr txBox="1"/>
                    <wps:spPr>
                      <a:xfrm>
                        <a:ext cx="76200" cy="1892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w:eastAsia="Arial" w:hAnsi="Arial" w:cs="Arial"/>
                                <w:color w:val="000000"/>
                                <w:spacing w:val="0"/>
                                <w:w w:val="100"/>
                                <w:position w:val="0"/>
                                <w:sz w:val="22"/>
                                <w:szCs w:val="22"/>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7" type="#_x0000_t202" style="position:absolute;margin-left:294.90000000000003pt;margin-top:792.39999999999998pt;width:6.pt;height:14.9pt;z-index:-18874406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w:eastAsia="Arial" w:hAnsi="Arial" w:cs="Arial"/>
                          <w:color w:val="000000"/>
                          <w:spacing w:val="0"/>
                          <w:w w:val="100"/>
                          <w:position w:val="0"/>
                          <w:sz w:val="22"/>
                          <w:szCs w:val="22"/>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4412615</wp:posOffset>
              </wp:positionH>
              <wp:positionV relativeFrom="page">
                <wp:posOffset>405130</wp:posOffset>
              </wp:positionV>
              <wp:extent cx="2172970" cy="155575"/>
              <wp:wrapNone/>
              <wp:docPr id="9" name="Shape 9"/>
              <a:graphic xmlns:a="http://schemas.openxmlformats.org/drawingml/2006/main">
                <a:graphicData uri="http://schemas.microsoft.com/office/word/2010/wordprocessingShape">
                  <wps:wsp>
                    <wps:cNvSpPr txBox="1"/>
                    <wps:spPr>
                      <a:xfrm>
                        <a:ext cx="2172970" cy="15557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Povodí Ohře, s.p.: 699/2024</w:t>
                          </w:r>
                        </w:p>
                      </w:txbxContent>
                    </wps:txbx>
                    <wps:bodyPr wrap="none" lIns="0" tIns="0" rIns="0" bIns="0">
                      <a:spAutoFit/>
                    </wps:bodyPr>
                  </wps:wsp>
                </a:graphicData>
              </a:graphic>
            </wp:anchor>
          </w:drawing>
        </mc:Choice>
        <mc:Fallback>
          <w:pict>
            <v:shape id="_x0000_s1035" type="#_x0000_t202" style="position:absolute;margin-left:347.44999999999999pt;margin-top:31.900000000000002pt;width:171.09999999999999pt;height:12.25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Povodí Ohře, s.p.: 699/2024</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6"/>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2"/>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9">
    <w:name w:val="Char Style 9"/>
    <w:basedOn w:val="DefaultParagraphFont"/>
    <w:link w:val="Style8"/>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bCs/>
      <w:i w:val="0"/>
      <w:iCs w:val="0"/>
      <w:smallCaps w:val="0"/>
      <w:strike w:val="0"/>
      <w:sz w:val="22"/>
      <w:szCs w:val="22"/>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2"/>
      <w:szCs w:val="22"/>
      <w:u w:val="none"/>
    </w:rPr>
  </w:style>
  <w:style w:type="character" w:customStyle="1" w:styleId="CharStyle19">
    <w:name w:val="Char Style 19"/>
    <w:basedOn w:val="DefaultParagraphFont"/>
    <w:link w:val="Style18"/>
    <w:rPr>
      <w:rFonts w:ascii="Arial" w:eastAsia="Arial" w:hAnsi="Arial" w:cs="Arial"/>
      <w:b/>
      <w:bCs/>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8">
    <w:name w:val="Style 8"/>
    <w:basedOn w:val="Normal"/>
    <w:link w:val="CharStyle9"/>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ind w:firstLine="190"/>
    </w:pPr>
    <w:rPr>
      <w:rFonts w:ascii="Arial" w:eastAsia="Arial" w:hAnsi="Arial" w:cs="Arial"/>
      <w:b/>
      <w:bCs/>
      <w:i w:val="0"/>
      <w:iCs w:val="0"/>
      <w:smallCaps w:val="0"/>
      <w:strike w:val="0"/>
      <w:sz w:val="22"/>
      <w:szCs w:val="22"/>
      <w:u w:val="none"/>
    </w:rPr>
  </w:style>
  <w:style w:type="paragraph" w:customStyle="1" w:styleId="Style14">
    <w:name w:val="Style 14"/>
    <w:basedOn w:val="Normal"/>
    <w:link w:val="CharStyle15"/>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18">
    <w:name w:val="Style 18"/>
    <w:basedOn w:val="Normal"/>
    <w:link w:val="CharStyle19"/>
    <w:pPr>
      <w:widowControl w:val="0"/>
      <w:shd w:val="clear" w:color="auto" w:fill="FFFFFF"/>
      <w:spacing w:after="60"/>
      <w:jc w:val="center"/>
      <w:outlineLvl w:val="0"/>
    </w:pPr>
    <w:rPr>
      <w:rFonts w:ascii="Arial" w:eastAsia="Arial" w:hAnsi="Arial" w:cs="Arial"/>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Kupní smlouva</dc:title>
  <dc:subject/>
  <dc:creator>Ruml</dc:creator>
  <cp:keywords/>
</cp:coreProperties>
</file>