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672" w:rsidRDefault="00F16672">
      <w:pPr>
        <w:pStyle w:val="Nzev"/>
      </w:pPr>
      <w:r>
        <w:t>KUPNÍ SMLOUVA</w:t>
      </w:r>
    </w:p>
    <w:p w:rsidR="00F16672" w:rsidRDefault="00F16672">
      <w:pPr>
        <w:jc w:val="center"/>
        <w:rPr>
          <w:sz w:val="23"/>
          <w:szCs w:val="23"/>
        </w:rPr>
      </w:pPr>
    </w:p>
    <w:p w:rsidR="00F16672" w:rsidRDefault="00F16672">
      <w:pPr>
        <w:jc w:val="center"/>
      </w:pPr>
      <w:r>
        <w:t>uzavřená dle § 2079 zákona č. 89/2012 Sb., občanský zákoník, ve znění pozdějších předpisů (dále jen „</w:t>
      </w:r>
      <w:r>
        <w:rPr>
          <w:b/>
          <w:bCs/>
        </w:rPr>
        <w:t>občanský zákoník</w:t>
      </w:r>
      <w:r>
        <w:t>“), níže uvedeného dne, měsíce a roku mezi těmito smluvními stranami:</w:t>
      </w:r>
    </w:p>
    <w:p w:rsidR="00F16672" w:rsidRDefault="00F16672"/>
    <w:p w:rsidR="00F16672" w:rsidRDefault="00B27160">
      <w:pPr>
        <w:rPr>
          <w:b/>
          <w:bCs/>
        </w:rPr>
      </w:pPr>
      <w:r>
        <w:rPr>
          <w:b/>
          <w:bCs/>
        </w:rPr>
        <w:t xml:space="preserve">FAN </w:t>
      </w:r>
      <w:r w:rsidR="00035AD1">
        <w:rPr>
          <w:b/>
          <w:bCs/>
        </w:rPr>
        <w:t>COMPUTER BRNO</w:t>
      </w:r>
      <w:r w:rsidR="00F16672">
        <w:rPr>
          <w:b/>
          <w:bCs/>
        </w:rPr>
        <w:t xml:space="preserve"> s.r.o.</w:t>
      </w:r>
    </w:p>
    <w:p w:rsidR="00F16672" w:rsidRDefault="00F16672">
      <w:r>
        <w:t>IČ: 60720654</w:t>
      </w:r>
    </w:p>
    <w:p w:rsidR="00F16672" w:rsidRDefault="00F16672">
      <w:r>
        <w:t>DIČ: CZ60720654</w:t>
      </w:r>
    </w:p>
    <w:p w:rsidR="00F16672" w:rsidRDefault="00F16672">
      <w:r>
        <w:t>se sídlem:  Vlárská 953/22</w:t>
      </w:r>
      <w:r w:rsidR="00B27160">
        <w:t>,</w:t>
      </w:r>
      <w:r w:rsidR="001C1B0B">
        <w:t xml:space="preserve"> Slatina,</w:t>
      </w:r>
      <w:r w:rsidR="00B27160">
        <w:t xml:space="preserve"> 627 00 Brno</w:t>
      </w:r>
    </w:p>
    <w:p w:rsidR="00F16672" w:rsidRDefault="00F16672">
      <w:r>
        <w:t>zastoupena: Vítězslavem Kubáčem, jednatelem společnosti</w:t>
      </w:r>
    </w:p>
    <w:p w:rsidR="00F16672" w:rsidRDefault="00F16672">
      <w:r>
        <w:t>bankovní spojení: Fio banka a.s.</w:t>
      </w:r>
    </w:p>
    <w:p w:rsidR="00F16672" w:rsidRDefault="00F16672">
      <w:r>
        <w:t>číslo účtu: 2400150832/2010</w:t>
      </w:r>
    </w:p>
    <w:p w:rsidR="00F16672" w:rsidRDefault="00F16672">
      <w:r>
        <w:t>zapsána v obchodním rejstříku vedeném Krajským obchodním soudem v Brno, oddíl C, vložka 16476</w:t>
      </w:r>
    </w:p>
    <w:p w:rsidR="00F16672" w:rsidRDefault="00F16672">
      <w:pPr>
        <w:rPr>
          <w:rStyle w:val="platne1"/>
        </w:rPr>
      </w:pPr>
    </w:p>
    <w:p w:rsidR="00F16672" w:rsidRDefault="00F16672">
      <w:pPr>
        <w:rPr>
          <w:rStyle w:val="platne1"/>
        </w:rPr>
      </w:pPr>
      <w:r>
        <w:rPr>
          <w:rStyle w:val="platne1"/>
        </w:rPr>
        <w:t>jako prodávajícím (dále jen „</w:t>
      </w:r>
      <w:r>
        <w:rPr>
          <w:rStyle w:val="platne1"/>
          <w:b/>
          <w:bCs/>
        </w:rPr>
        <w:t>Prodávající</w:t>
      </w:r>
      <w:r>
        <w:rPr>
          <w:rStyle w:val="platne1"/>
        </w:rPr>
        <w:t>“) na straně jedné</w:t>
      </w:r>
    </w:p>
    <w:p w:rsidR="00F16672" w:rsidRDefault="00F16672">
      <w:pPr>
        <w:rPr>
          <w:rStyle w:val="platne1"/>
        </w:rPr>
      </w:pPr>
    </w:p>
    <w:p w:rsidR="00F16672" w:rsidRDefault="00F16672">
      <w:pPr>
        <w:rPr>
          <w:rStyle w:val="platne1"/>
        </w:rPr>
      </w:pPr>
      <w:r>
        <w:rPr>
          <w:rStyle w:val="platne1"/>
        </w:rPr>
        <w:t>a</w:t>
      </w:r>
    </w:p>
    <w:p w:rsidR="00F16672" w:rsidRDefault="00F16672">
      <w:pPr>
        <w:rPr>
          <w:rStyle w:val="platne1"/>
        </w:rPr>
      </w:pPr>
    </w:p>
    <w:p w:rsidR="00F16672" w:rsidRDefault="00F16672">
      <w:pPr>
        <w:rPr>
          <w:b/>
          <w:bCs/>
        </w:rPr>
      </w:pPr>
      <w:r>
        <w:rPr>
          <w:b/>
          <w:bCs/>
        </w:rPr>
        <w:t xml:space="preserve">Fakultní nemocnice Brno </w:t>
      </w:r>
    </w:p>
    <w:p w:rsidR="00F16672" w:rsidRDefault="00F16672">
      <w:r>
        <w:t>IČ: 65269705</w:t>
      </w:r>
    </w:p>
    <w:p w:rsidR="00F16672" w:rsidRDefault="00F16672">
      <w:r>
        <w:t>DIČ: CZ65269705</w:t>
      </w:r>
    </w:p>
    <w:p w:rsidR="00F16672" w:rsidRDefault="00F16672">
      <w:r>
        <w:t xml:space="preserve">se sídlem: Brno, Jihlavská 20, PSČ 625 00 </w:t>
      </w:r>
    </w:p>
    <w:p w:rsidR="00F16672" w:rsidRDefault="00F16672">
      <w:r>
        <w:t xml:space="preserve">zastoupena: MUDr. Ivem Rovným, MBA, ředitel </w:t>
      </w:r>
    </w:p>
    <w:p w:rsidR="00F16672" w:rsidRDefault="00F16672">
      <w:r>
        <w:t>bankovní spojení: Česká národní banka</w:t>
      </w:r>
    </w:p>
    <w:p w:rsidR="00F16672" w:rsidRDefault="00F16672">
      <w:r>
        <w:t>číslo bankovního účtu: 71234621/0710</w:t>
      </w:r>
    </w:p>
    <w:p w:rsidR="00F16672" w:rsidRDefault="00F16672"/>
    <w:p w:rsidR="00F16672" w:rsidRDefault="00F16672">
      <w:pPr>
        <w:spacing w:line="240" w:lineRule="auto"/>
      </w:pPr>
      <w:r>
        <w:t>FN Brno je státní příspěvková organizace zřízená rozhodnutím Ministerstva zdravotnictví. Nemá zákonnou povinnost zápisu do obchodního rejstříku, je zapsána v živnostenském rejstříku vedeném Živnostenským úřadem města Brna,</w:t>
      </w:r>
    </w:p>
    <w:p w:rsidR="00F16672" w:rsidRDefault="00F16672">
      <w:pPr>
        <w:spacing w:line="240" w:lineRule="auto"/>
      </w:pPr>
    </w:p>
    <w:p w:rsidR="00F16672" w:rsidRDefault="00F16672">
      <w:pPr>
        <w:rPr>
          <w:rStyle w:val="platne1"/>
        </w:rPr>
      </w:pPr>
    </w:p>
    <w:p w:rsidR="00F16672" w:rsidRDefault="00F16672">
      <w:pPr>
        <w:rPr>
          <w:rStyle w:val="platne1"/>
        </w:rPr>
      </w:pPr>
      <w:r>
        <w:rPr>
          <w:rStyle w:val="platne1"/>
        </w:rPr>
        <w:t>jako kupujícím (dále jen „</w:t>
      </w:r>
      <w:r>
        <w:rPr>
          <w:rStyle w:val="platne1"/>
          <w:b/>
          <w:bCs/>
        </w:rPr>
        <w:t>Kupující</w:t>
      </w:r>
      <w:r>
        <w:rPr>
          <w:rStyle w:val="platne1"/>
        </w:rPr>
        <w:t>“) na straně druhé,</w:t>
      </w:r>
    </w:p>
    <w:p w:rsidR="00F16672" w:rsidRDefault="00F16672">
      <w:pPr>
        <w:rPr>
          <w:rStyle w:val="platne1"/>
        </w:rPr>
      </w:pPr>
    </w:p>
    <w:p w:rsidR="00F16672" w:rsidRDefault="00F16672">
      <w:pPr>
        <w:rPr>
          <w:rStyle w:val="platne1"/>
        </w:rPr>
      </w:pPr>
      <w:r>
        <w:rPr>
          <w:rStyle w:val="platne1"/>
        </w:rPr>
        <w:t>a to v následujícím znění:</w:t>
      </w:r>
    </w:p>
    <w:p w:rsidR="00F16672" w:rsidRDefault="00F16672">
      <w:pPr>
        <w:spacing w:after="60"/>
        <w:rPr>
          <w:rStyle w:val="platne1"/>
        </w:rPr>
      </w:pPr>
    </w:p>
    <w:p w:rsidR="00F16672" w:rsidRPr="00BF1A20" w:rsidRDefault="00F16672">
      <w:pPr>
        <w:spacing w:line="240" w:lineRule="auto"/>
        <w:jc w:val="left"/>
        <w:rPr>
          <w:b/>
          <w:bCs/>
          <w:caps/>
        </w:rPr>
      </w:pPr>
      <w:r>
        <w:br w:type="page"/>
      </w:r>
    </w:p>
    <w:p w:rsidR="00F16672" w:rsidRPr="00BF1A20" w:rsidRDefault="00F16672">
      <w:pPr>
        <w:pStyle w:val="Nadpis1"/>
      </w:pPr>
      <w:r w:rsidRPr="00BF1A20">
        <w:t>Účel smlouvy</w:t>
      </w:r>
    </w:p>
    <w:p w:rsidR="00F16672" w:rsidRPr="00BF1A20" w:rsidRDefault="00F16672">
      <w:pPr>
        <w:jc w:val="center"/>
        <w:rPr>
          <w:b/>
          <w:bCs/>
        </w:rPr>
      </w:pPr>
    </w:p>
    <w:p w:rsidR="00F16672" w:rsidRPr="00BF1A20" w:rsidRDefault="00F16672">
      <w:pPr>
        <w:pStyle w:val="Odstavecsmlouvy"/>
      </w:pPr>
      <w:bookmarkStart w:id="0" w:name="_Ref526843050"/>
      <w:r w:rsidRPr="00BF1A20">
        <w:t>Účelem této kupní smlouvy (dále též jen „</w:t>
      </w:r>
      <w:r w:rsidRPr="00BF1A20">
        <w:rPr>
          <w:b/>
          <w:bCs/>
        </w:rPr>
        <w:t>smlouva</w:t>
      </w:r>
      <w:r w:rsidRPr="00BF1A20">
        <w:t>“) je sjednání podmínek dodávky zboží v rámci veřejné zakázky „Výkonná PC pracovní stanice“ (dále jen „</w:t>
      </w:r>
      <w:r w:rsidRPr="00BF1A20">
        <w:rPr>
          <w:b/>
          <w:bCs/>
        </w:rPr>
        <w:t>Veřejná zakázka</w:t>
      </w:r>
      <w:r w:rsidRPr="00BF1A20">
        <w:t>“).</w:t>
      </w:r>
    </w:p>
    <w:p w:rsidR="00F16672" w:rsidRPr="00BF1A20" w:rsidRDefault="00F16672">
      <w:pPr>
        <w:jc w:val="center"/>
        <w:rPr>
          <w:b/>
          <w:bCs/>
        </w:rPr>
      </w:pPr>
    </w:p>
    <w:p w:rsidR="00F16672" w:rsidRPr="00BF1A20" w:rsidRDefault="00F16672">
      <w:pPr>
        <w:pStyle w:val="Odstavecsmlouvy"/>
      </w:pPr>
      <w:r w:rsidRPr="00BF1A20">
        <w:t>Jednotlivá ustanovení této smlouvy budou vykládána v souladu se zadávací dokumentací k Veřejné zakázce, případně v souladu s výzvou k podání nabídek nebo obdobným dokumentem, jde-li o veřejnou zakázku malého rozsahu (dále pro oba případy jen „</w:t>
      </w:r>
      <w:r w:rsidRPr="00BF1A20">
        <w:rPr>
          <w:b/>
          <w:bCs/>
        </w:rPr>
        <w:t>Zadávací dokumentace</w:t>
      </w:r>
      <w:r w:rsidRPr="00BF1A20">
        <w:t>“).</w:t>
      </w:r>
    </w:p>
    <w:p w:rsidR="00F16672" w:rsidRPr="00BF1A20" w:rsidRDefault="00F16672">
      <w:pPr>
        <w:pStyle w:val="Odstavecsmlouvy"/>
        <w:numPr>
          <w:ilvl w:val="0"/>
          <w:numId w:val="0"/>
        </w:numPr>
        <w:ind w:left="567"/>
      </w:pPr>
    </w:p>
    <w:p w:rsidR="00F16672" w:rsidRPr="00BF1A20" w:rsidRDefault="00F16672">
      <w:pPr>
        <w:pStyle w:val="Odstavecsmlouvy"/>
      </w:pPr>
      <w:r w:rsidRPr="00BF1A20">
        <w:t xml:space="preserve">Prodávající touto smlouvou garantuje Kupujícímu splnění zadání Veřejné zakázky a všech z toho vyplývajících podmínek a povinností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 Pro vyloučení pochybností se uvádí, že Zadávací dokumentace se považuje za součást vymezení předmětu této smlouvy. </w:t>
      </w:r>
    </w:p>
    <w:p w:rsidR="00F16672" w:rsidRPr="00BF1A20" w:rsidRDefault="00F16672">
      <w:pPr>
        <w:jc w:val="center"/>
        <w:rPr>
          <w:b/>
          <w:bCs/>
        </w:rPr>
      </w:pPr>
    </w:p>
    <w:p w:rsidR="00F16672" w:rsidRPr="00BF1A20" w:rsidRDefault="00F16672">
      <w:pPr>
        <w:pStyle w:val="Nadpis1"/>
      </w:pPr>
      <w:r w:rsidRPr="00BF1A20">
        <w:t>Předmět smlouvy</w:t>
      </w:r>
    </w:p>
    <w:p w:rsidR="00F16672" w:rsidRPr="00BF1A20" w:rsidRDefault="00F16672">
      <w:pPr>
        <w:pStyle w:val="Odstavecsmlouvy"/>
        <w:numPr>
          <w:ilvl w:val="0"/>
          <w:numId w:val="0"/>
        </w:numPr>
        <w:ind w:left="720"/>
      </w:pPr>
    </w:p>
    <w:p w:rsidR="00F16672" w:rsidRPr="00BF1A20" w:rsidRDefault="00F16672">
      <w:pPr>
        <w:pStyle w:val="Odstavecsmlouvy"/>
      </w:pPr>
      <w:r w:rsidRPr="00BF1A20">
        <w:t>Předmětem této smlouvy je sjednání závazku Prodávajícího dodat Kupujícímu řádně a včas dále specifikované zboží, a to za podmínek sjednaných dále v této smlouvě, sjednání závazku Prodávajícího převést na Kupujícího vlastnické právo ke zboží a dále sjednání závazku Kupujícího řádně a včas dodané zboží převzít a zaplatit za něj Prodávajícímu sjednanou Kupní cenu.</w:t>
      </w:r>
    </w:p>
    <w:p w:rsidR="00F16672" w:rsidRPr="00BF1A20" w:rsidRDefault="00F16672">
      <w:pPr>
        <w:pStyle w:val="Odstavecsmlouvy"/>
        <w:numPr>
          <w:ilvl w:val="0"/>
          <w:numId w:val="0"/>
        </w:numPr>
        <w:ind w:left="567"/>
      </w:pPr>
    </w:p>
    <w:p w:rsidR="00F16672" w:rsidRPr="00BF1A20" w:rsidRDefault="00F16672">
      <w:pPr>
        <w:pStyle w:val="Odstavecsmlouvy"/>
      </w:pPr>
      <w:r w:rsidRPr="00BF1A20">
        <w:t>Prodávající je povinen s odbornou péčí profesionála dodat Kupujícímu zboží, jehož specifikace včetně příslušenství je obsažena v příloze č. 1 této smlouvy (dále jen „</w:t>
      </w:r>
      <w:r w:rsidRPr="00BF1A20">
        <w:rPr>
          <w:b/>
          <w:bCs/>
        </w:rPr>
        <w:t>Zboží</w:t>
      </w:r>
      <w:r w:rsidRPr="00BF1A20">
        <w:t>“), a to v počtech kusů a v množství dle specifikace uvedené v příloze č. 1 této smlouvy.</w:t>
      </w:r>
    </w:p>
    <w:p w:rsidR="00F16672" w:rsidRPr="00BF1A20" w:rsidRDefault="00F16672">
      <w:pPr>
        <w:pStyle w:val="Odstavecsmlouvy"/>
        <w:numPr>
          <w:ilvl w:val="0"/>
          <w:numId w:val="0"/>
        </w:numPr>
        <w:ind w:left="567"/>
      </w:pPr>
    </w:p>
    <w:p w:rsidR="00F16672" w:rsidRPr="00BF1A20" w:rsidRDefault="00F16672">
      <w:pPr>
        <w:pStyle w:val="Odstavecsmlouvy"/>
      </w:pPr>
      <w:r w:rsidRPr="00BF1A20">
        <w:t>Prodávající je ve lhůtě sjednané pro dodání Zboží provést v prostředí Kupujícího kompletaci, zapojení instalaci, konfiguraci a montáž Zboží včetně dalších plnění uvedených v příloze č. 1 této smlouvy (veškeré tyto práce dále jen „</w:t>
      </w:r>
      <w:r w:rsidRPr="00BF1A20">
        <w:rPr>
          <w:b/>
          <w:bCs/>
        </w:rPr>
        <w:t>Instalace</w:t>
      </w:r>
      <w:r w:rsidRPr="00BF1A20">
        <w:t>“; montáž samostatně dále jen „</w:t>
      </w:r>
      <w:r w:rsidRPr="00BF1A20">
        <w:rPr>
          <w:b/>
          <w:bCs/>
        </w:rPr>
        <w:t>Montáž</w:t>
      </w:r>
      <w:r w:rsidRPr="00BF1A20">
        <w:t xml:space="preserve">“). Při provádění Montáže je Prodávající povinen postupovat podle čl. </w:t>
      </w:r>
      <w:r w:rsidRPr="00BF1A20">
        <w:fldChar w:fldCharType="begin"/>
      </w:r>
      <w:r w:rsidRPr="00BF1A20">
        <w:instrText xml:space="preserve"> REF _Ref31278541 \n \h </w:instrText>
      </w:r>
      <w:r w:rsidR="00BF1A20" w:rsidRPr="00BF1A20">
        <w:instrText xml:space="preserve"> \* MERGEFORMAT </w:instrText>
      </w:r>
      <w:r w:rsidRPr="00BF1A20">
        <w:fldChar w:fldCharType="separate"/>
      </w:r>
      <w:r w:rsidRPr="00BF1A20">
        <w:t>IV</w:t>
      </w:r>
      <w:r w:rsidRPr="00BF1A20">
        <w:fldChar w:fldCharType="end"/>
      </w:r>
      <w:r w:rsidRPr="00BF1A20">
        <w:t xml:space="preserve"> této smlouvy.</w:t>
      </w:r>
    </w:p>
    <w:p w:rsidR="00F16672" w:rsidRPr="00BF1A20" w:rsidRDefault="00F16672">
      <w:pPr>
        <w:pStyle w:val="Odstavecsmlouvy"/>
        <w:numPr>
          <w:ilvl w:val="0"/>
          <w:numId w:val="0"/>
        </w:numPr>
        <w:ind w:left="567"/>
      </w:pPr>
    </w:p>
    <w:p w:rsidR="00F16672" w:rsidRPr="00BF1A20" w:rsidRDefault="00F16672">
      <w:pPr>
        <w:pStyle w:val="Odstavecsmlouvy"/>
      </w:pPr>
      <w:r w:rsidRPr="00BF1A20">
        <w:t>Prodávající je povinen předat Kupujícímu společně se Zbožím veškerou dokumentaci nutnou k převzetí a řádnému užívání Zboží a dokumentaci, kterou vyžadují příslušné právní předpisy (tyto a následující doklady dále souhrnně jen „</w:t>
      </w:r>
      <w:r w:rsidRPr="00BF1A20">
        <w:rPr>
          <w:b/>
          <w:bCs/>
        </w:rPr>
        <w:t>Doklady</w:t>
      </w:r>
      <w:r w:rsidRPr="00BF1A20">
        <w:t>“), případně včetně nezbytného software, a to zejména:</w:t>
      </w:r>
    </w:p>
    <w:p w:rsidR="00F16672" w:rsidRPr="00BF1A20" w:rsidRDefault="00F16672">
      <w:pPr>
        <w:pStyle w:val="Psmenoodstavce"/>
      </w:pPr>
      <w:r w:rsidRPr="00BF1A20">
        <w:t>ovladače k hardware, ledaže jsou tyto ovladače volně ke stažení z webu dodavatele nebo výrobce a Prodávající tuto skutečnost včetně webové adresy uvedl ve své nabídce na Veřejnou zakázku;</w:t>
      </w:r>
    </w:p>
    <w:p w:rsidR="00F16672" w:rsidRPr="00BF1A20" w:rsidRDefault="00F16672">
      <w:pPr>
        <w:pStyle w:val="Psmenoodstavce"/>
      </w:pPr>
      <w:r w:rsidRPr="00BF1A20">
        <w:t>písemná zpráva, ve které bude uvedena konfigurace Zboží provedená v rámci Instalace a v případě jeho naprogramování rovněž úplné znění zdrojového kódu, ledaže Kupující Prodávajícímu oznámí, že tuto zprávu nepožaduje;</w:t>
      </w:r>
    </w:p>
    <w:p w:rsidR="00F16672" w:rsidRPr="00BF1A20" w:rsidRDefault="00F16672">
      <w:pPr>
        <w:pStyle w:val="Psmenoodstavce"/>
      </w:pPr>
      <w:r w:rsidRPr="00BF1A20">
        <w:t>tzv. datasheety ke Zboží;</w:t>
      </w:r>
    </w:p>
    <w:p w:rsidR="00F16672" w:rsidRPr="00BF1A20" w:rsidRDefault="00F16672">
      <w:pPr>
        <w:pStyle w:val="Psmenoodstavce"/>
      </w:pPr>
      <w:r w:rsidRPr="00BF1A20">
        <w:t>prohlášení o shodě dle zákona č. 22/1997 Sb., o technických požadavcích na výrobky, ve znění pozdějších předpisů, a to v českém jazyce.</w:t>
      </w:r>
    </w:p>
    <w:p w:rsidR="00F16672" w:rsidRPr="00BF1A20" w:rsidRDefault="00F16672">
      <w:pPr>
        <w:pStyle w:val="Odstavecsmlouvy"/>
        <w:numPr>
          <w:ilvl w:val="0"/>
          <w:numId w:val="0"/>
        </w:numPr>
        <w:ind w:left="567"/>
      </w:pPr>
    </w:p>
    <w:p w:rsidR="00F16672" w:rsidRPr="00BF1A20" w:rsidRDefault="00F16672">
      <w:pPr>
        <w:pStyle w:val="Odstavecsmlouvy"/>
      </w:pPr>
      <w:r w:rsidRPr="00BF1A20">
        <w:t xml:space="preserve">V případě, že součástí Zboží nebo Dokladů je autorské dílo, zejména počítačový program, je Prodávající povinen poskytnout plnění podle této smlouvy tak, aby Kupující měl nejpozději při převzetí Zboží k takovému autorskému dílu dostatek užívacích práv (licenci), a to v rozsahu nezbytném pro řádné užívání Zboží a všech jeho součástí, všemi způsoby, bez omezení počtu </w:t>
      </w:r>
      <w:r w:rsidRPr="00BF1A20">
        <w:lastRenderedPageBreak/>
        <w:t>užití, bez omezení počtu uživatelů, bez časového a územního omezení a nejméně v rozsahu, který vyplývá z přílohy č. 1 této smlouvy a z účelového určení Zboží.</w:t>
      </w:r>
    </w:p>
    <w:p w:rsidR="00F16672" w:rsidRPr="00BF1A20" w:rsidRDefault="00F16672">
      <w:pPr>
        <w:jc w:val="center"/>
        <w:rPr>
          <w:b/>
          <w:bCs/>
        </w:rPr>
      </w:pPr>
    </w:p>
    <w:p w:rsidR="00F16672" w:rsidRPr="00BF1A20" w:rsidRDefault="00F16672">
      <w:pPr>
        <w:pStyle w:val="Odstavecsmlouvy"/>
      </w:pPr>
      <w:r w:rsidRPr="00BF1A20">
        <w:t>Jestliže je to pro splnění určité povinnosti sjednané v této smlouvě nezbytné, je druhá smluvní strana povinna poskytnout povinné smluvní straně nezbytnou součinnost. V případě nedostatku této součinnosti se na dobu trvání tohoto nedostatku zastavuje běh lhůty pro splnění takové povinnosti, a to od okamžiku, kdy bylo druhé smluvní straně doručeno písemné oznámení povinné smluvní strany o tomto nedostatku součinnosti. Bez tohoto oznámení se běh příslušné lhůty nezastavuje.</w:t>
      </w:r>
    </w:p>
    <w:p w:rsidR="00F16672" w:rsidRPr="00BF1A20" w:rsidRDefault="00F16672">
      <w:pPr>
        <w:jc w:val="center"/>
        <w:rPr>
          <w:b/>
          <w:bCs/>
        </w:rPr>
      </w:pPr>
    </w:p>
    <w:p w:rsidR="00F16672" w:rsidRPr="00BF1A20" w:rsidRDefault="00F16672">
      <w:pPr>
        <w:pStyle w:val="Nadpis1"/>
      </w:pPr>
      <w:bookmarkStart w:id="1" w:name="_Ref477351956"/>
      <w:r w:rsidRPr="00BF1A20">
        <w:t>Dodací podmínky</w:t>
      </w:r>
    </w:p>
    <w:p w:rsidR="00F16672" w:rsidRPr="00BF1A20" w:rsidRDefault="00F16672">
      <w:pPr>
        <w:pStyle w:val="Odstavecsmlouvy"/>
        <w:numPr>
          <w:ilvl w:val="0"/>
          <w:numId w:val="0"/>
        </w:numPr>
        <w:ind w:left="567"/>
      </w:pPr>
    </w:p>
    <w:p w:rsidR="00F16672" w:rsidRPr="00BF1A20" w:rsidRDefault="00F16672">
      <w:pPr>
        <w:pStyle w:val="Odstavecsmlouvy"/>
      </w:pPr>
      <w:r w:rsidRPr="00BF1A20">
        <w:t>Prodávající se zavazuje dodat Zboží</w:t>
      </w:r>
      <w:r w:rsidRPr="00BF1A20">
        <w:rPr>
          <w:b/>
          <w:bCs/>
        </w:rPr>
        <w:t xml:space="preserve"> 6 týdnů </w:t>
      </w:r>
      <w:r w:rsidRPr="00BF1A20">
        <w:t>od nabytí účinnosti této smlouvy a Kupující se zavazuje řádně dodané Zboží převzít.</w:t>
      </w:r>
    </w:p>
    <w:p w:rsidR="00F16672" w:rsidRPr="00BF1A20" w:rsidRDefault="00F16672">
      <w:pPr>
        <w:pStyle w:val="Odstavecsmlouvy"/>
        <w:numPr>
          <w:ilvl w:val="0"/>
          <w:numId w:val="0"/>
        </w:numPr>
        <w:ind w:left="567"/>
      </w:pPr>
    </w:p>
    <w:p w:rsidR="00F16672" w:rsidRPr="00BF1A20" w:rsidRDefault="00F16672">
      <w:pPr>
        <w:pStyle w:val="Odstavecsmlouvy"/>
      </w:pPr>
      <w:r w:rsidRPr="00BF1A20">
        <w:t>Místem dodání Zboží je FN Brno, Interní kardiologická klinika, Jihlavská 20, 625 00 Brno.</w:t>
      </w:r>
    </w:p>
    <w:p w:rsidR="00F16672" w:rsidRPr="00BF1A20" w:rsidRDefault="00F16672">
      <w:pPr>
        <w:pStyle w:val="Odstavecsmlouvy"/>
        <w:numPr>
          <w:ilvl w:val="0"/>
          <w:numId w:val="0"/>
        </w:numPr>
        <w:ind w:left="567"/>
      </w:pPr>
    </w:p>
    <w:p w:rsidR="00F16672" w:rsidRPr="00BF1A20" w:rsidRDefault="00F16672">
      <w:pPr>
        <w:pStyle w:val="Odstavecsmlouvy"/>
      </w:pPr>
      <w:r w:rsidRPr="00BF1A20">
        <w:t xml:space="preserve">Prodávající se zavazuje oznámit Kupujícímu konkrétní termín dodání Zboží pět pracovních dnů před plánovaným termínem dodání </w:t>
      </w:r>
      <w:r w:rsidR="008C531D">
        <w:t xml:space="preserve">xxxxxxxxxxxx </w:t>
      </w:r>
      <w:r w:rsidRPr="00BF1A20">
        <w:t xml:space="preserve">na   e-mail: </w:t>
      </w:r>
      <w:r w:rsidR="008C531D">
        <w:t>xxxxxxxxxxx</w:t>
      </w:r>
      <w:bookmarkStart w:id="2" w:name="_GoBack"/>
      <w:bookmarkEnd w:id="2"/>
      <w:r w:rsidRPr="00BF1A20">
        <w:t xml:space="preserve"> Bez těchto oznámení není Kupující povinen Zboží převzít.</w:t>
      </w:r>
    </w:p>
    <w:p w:rsidR="00F16672" w:rsidRPr="00BF1A20" w:rsidRDefault="00F16672">
      <w:pPr>
        <w:pStyle w:val="Odstavecsmlouvy"/>
        <w:numPr>
          <w:ilvl w:val="0"/>
          <w:numId w:val="0"/>
        </w:numPr>
        <w:ind w:left="567"/>
      </w:pPr>
    </w:p>
    <w:p w:rsidR="00F16672" w:rsidRPr="00BF1A20" w:rsidRDefault="00F16672">
      <w:pPr>
        <w:pStyle w:val="Odstavecsmlouvy"/>
      </w:pPr>
      <w:r w:rsidRPr="00BF1A20">
        <w:t>Zástupci Prodávajícího a Kupujícího sepíší a podepíší při dodání písemný předávací protokol o řádném předání a převzetí Zboží, o řádném provedení Instalace včetně Montáže (dále jen „</w:t>
      </w:r>
      <w:r w:rsidRPr="00BF1A20">
        <w:rPr>
          <w:b/>
          <w:bCs/>
        </w:rPr>
        <w:t>Předávací protokol</w:t>
      </w:r>
      <w:r w:rsidRPr="00BF1A20">
        <w:t xml:space="preserve">“). Prodávající i Kupující jsou oprávněni v Předávacím protokolu uvést jakékoliv záznamy, připomínky či výhrady, které se však nepovažují za změnu této smlouvy či dodatek k této smlouvě. Neuvedení jakýchkoliv (i zjevných) vad nebo nedodělků do Předávacího protokolu neomezuje Kupujícího v právu během Záruční doby oznamovat zjištěné vady Prodávajícímu. </w:t>
      </w:r>
    </w:p>
    <w:p w:rsidR="00F16672" w:rsidRPr="00BF1A20" w:rsidRDefault="00F16672">
      <w:pPr>
        <w:pStyle w:val="Odstavecsmlouvy"/>
        <w:numPr>
          <w:ilvl w:val="0"/>
          <w:numId w:val="0"/>
        </w:numPr>
        <w:ind w:left="567"/>
      </w:pPr>
    </w:p>
    <w:p w:rsidR="00F16672" w:rsidRPr="00BF1A20" w:rsidRDefault="00F16672">
      <w:pPr>
        <w:pStyle w:val="Odstavecsmlouvy"/>
      </w:pPr>
      <w:r w:rsidRPr="00BF1A20">
        <w:t>Nebezpečí škody na jednotlivých položkách Zboží přechází na Kupujícího okamžikem podpisu Kupujícího na příslušném dodacím listu vyhotoveném Prodávajícím, čímž Kupující dodání příslušných položek Zboží potvrdí. Kupující si však může vymínit, že nebezpečí škody na věci přechází u některých nebo všech položek Zboží až okamžikem podpisu Předávacího protokolu oběma smluvními stranami. Jedno vyhotovení dodacího listu náleží vždy Kupujícímu. Nebezpečí škody na díle, které je výsledkem Montáže, a na věcech, u kterých nedošlo k přechodu nebezpečí škody podle věty první, přechází na Kupujícího okamžikem podpisu Předávacího protokolu oběma smluvními stranami. Vlastnické právo ke Zboží a k dílu, které je výsledkem Montáže, přechází na Kupujícího okamžikem podpisu Předávacího protokolu oběma smluvními stranami.</w:t>
      </w:r>
    </w:p>
    <w:p w:rsidR="00F16672" w:rsidRPr="00BF1A20" w:rsidRDefault="00F16672">
      <w:pPr>
        <w:pStyle w:val="Odstavecsmlouvy"/>
        <w:numPr>
          <w:ilvl w:val="0"/>
          <w:numId w:val="0"/>
        </w:numPr>
        <w:ind w:left="567"/>
      </w:pPr>
    </w:p>
    <w:p w:rsidR="00F16672" w:rsidRPr="00BF1A20" w:rsidRDefault="00F16672">
      <w:pPr>
        <w:pStyle w:val="Odstavecsmlouvy"/>
      </w:pPr>
      <w:r w:rsidRPr="00BF1A20">
        <w:t>Pokud je součástí Zboží počítačový program a během Záruční doby dojde k jeho aktualizaci, je Prodávající povinen i bez výzvy Kupujícího bez zbytečného odkladu po vydání takové aktualizace provést instruktáž obsluhujícího personálu Kupujícího, a to bez nároku na další úplatu nad rámec Kupní ceny.</w:t>
      </w:r>
    </w:p>
    <w:p w:rsidR="00F16672" w:rsidRPr="00BF1A20" w:rsidRDefault="00F16672">
      <w:pPr>
        <w:pStyle w:val="Odstavecsmlouvy"/>
        <w:numPr>
          <w:ilvl w:val="0"/>
          <w:numId w:val="0"/>
        </w:numPr>
        <w:ind w:left="567"/>
      </w:pPr>
    </w:p>
    <w:p w:rsidR="00F16672" w:rsidRPr="00BF1A20" w:rsidRDefault="00F16672">
      <w:pPr>
        <w:pStyle w:val="Nadpis1"/>
      </w:pPr>
      <w:bookmarkStart w:id="3" w:name="_Ref31278541"/>
      <w:r w:rsidRPr="00BF1A20">
        <w:t>Montáž</w:t>
      </w:r>
      <w:bookmarkEnd w:id="3"/>
    </w:p>
    <w:p w:rsidR="00F16672" w:rsidRPr="00BF1A20" w:rsidRDefault="00F16672">
      <w:pPr>
        <w:jc w:val="center"/>
        <w:rPr>
          <w:b/>
          <w:bCs/>
        </w:rPr>
      </w:pPr>
    </w:p>
    <w:p w:rsidR="00F16672" w:rsidRPr="00BF1A20" w:rsidRDefault="00F16672">
      <w:pPr>
        <w:pStyle w:val="Odstavecsmlouvy"/>
      </w:pPr>
      <w:r w:rsidRPr="00BF1A20">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 zákona č. 181/2014 Sb., o kybernetické bezpečnosti, ve znění pozdějších předpisů (dále jen „</w:t>
      </w:r>
      <w:r w:rsidRPr="00BF1A20">
        <w:rPr>
          <w:b/>
          <w:bCs/>
        </w:rPr>
        <w:t>ZKB</w:t>
      </w:r>
      <w:r w:rsidRPr="00BF1A20">
        <w:t xml:space="preserve">“). Prodávající je povinen při provádění Montáže dodržovat pokyny Kupujícího, které nejsou v rozporu s touto smlouvou, právními předpisy ani Zadávací dokumentací. Prodávající je povinen Montáž provést v místech označených Kupujícím </w:t>
      </w:r>
      <w:r w:rsidRPr="00BF1A20">
        <w:lastRenderedPageBreak/>
        <w:t xml:space="preserve">a touto smlouvou v rozsahu a způsobem, které Kupujícímu umožní řádné a nerušené užívání Zboží v souladu s touto smlouvou, Zadávací dokumentací a jeho účelovým určením, ledaže z této smlouvy nebo z jejích příloh vyplývá něco jiného. </w:t>
      </w:r>
    </w:p>
    <w:p w:rsidR="00F16672" w:rsidRPr="00BF1A20" w:rsidRDefault="00F16672">
      <w:pPr>
        <w:pStyle w:val="Odstavecsmlouvy"/>
        <w:numPr>
          <w:ilvl w:val="0"/>
          <w:numId w:val="0"/>
        </w:numPr>
        <w:ind w:left="567"/>
      </w:pPr>
    </w:p>
    <w:p w:rsidR="00F16672" w:rsidRPr="00BF1A20" w:rsidRDefault="00F16672">
      <w:pPr>
        <w:pStyle w:val="Odstavecsmlouvy"/>
      </w:pPr>
      <w:r w:rsidRPr="00BF1A20">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rsidR="00F16672" w:rsidRPr="00BF1A20" w:rsidRDefault="00F16672">
      <w:pPr>
        <w:pStyle w:val="Odstavecsmlouvy"/>
        <w:numPr>
          <w:ilvl w:val="0"/>
          <w:numId w:val="0"/>
        </w:numPr>
        <w:ind w:left="567"/>
      </w:pPr>
    </w:p>
    <w:p w:rsidR="00F16672" w:rsidRPr="00BF1A20" w:rsidRDefault="00F16672">
      <w:pPr>
        <w:pStyle w:val="Odstavecsmlouvy"/>
      </w:pPr>
      <w:r w:rsidRPr="00BF1A20">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 užitých při provádění Montáže a za koordinaci provádění Montáže.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rsidR="00F16672" w:rsidRPr="00BF1A20" w:rsidRDefault="00F16672">
      <w:pPr>
        <w:pStyle w:val="Odstavecsmlouvy"/>
        <w:numPr>
          <w:ilvl w:val="0"/>
          <w:numId w:val="0"/>
        </w:numPr>
        <w:ind w:left="567"/>
      </w:pPr>
    </w:p>
    <w:p w:rsidR="00F16672" w:rsidRPr="00BF1A20" w:rsidRDefault="00F16672">
      <w:pPr>
        <w:pStyle w:val="Odstavecsmlouvy"/>
      </w:pPr>
      <w:r w:rsidRPr="00BF1A20">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rsidR="00F16672" w:rsidRPr="00BF1A20" w:rsidRDefault="00F16672"/>
    <w:p w:rsidR="00F16672" w:rsidRPr="00BF1A20" w:rsidRDefault="00F16672">
      <w:pPr>
        <w:pStyle w:val="Nadpis1"/>
      </w:pPr>
      <w:r w:rsidRPr="00BF1A20">
        <w:t>Kupní cena</w:t>
      </w:r>
      <w:bookmarkEnd w:id="1"/>
      <w:r w:rsidRPr="00BF1A20">
        <w:t xml:space="preserve"> a platební podmínky</w:t>
      </w:r>
    </w:p>
    <w:p w:rsidR="00F16672" w:rsidRPr="00BF1A20" w:rsidRDefault="00F16672">
      <w:pPr>
        <w:pStyle w:val="Zkladntext3"/>
        <w:ind w:left="709"/>
        <w:rPr>
          <w:sz w:val="22"/>
          <w:szCs w:val="22"/>
        </w:rPr>
      </w:pPr>
    </w:p>
    <w:p w:rsidR="00F16672" w:rsidRPr="00BF1A20" w:rsidRDefault="00F16672">
      <w:pPr>
        <w:pStyle w:val="Odstavecsmlouvy"/>
      </w:pPr>
      <w:bookmarkStart w:id="4" w:name="_Ref501115214"/>
      <w:r w:rsidRPr="00BF1A20">
        <w:t>Kupní cena se sjednává jako cena pevná a konečná za veškerá plnění, která je Prodávající povinen podle této smlouvy poskytnout Kupujícímu, a činí (dále a výše jen „</w:t>
      </w:r>
      <w:r w:rsidRPr="00BF1A20">
        <w:rPr>
          <w:b/>
          <w:bCs/>
        </w:rPr>
        <w:t>Kupní cena</w:t>
      </w:r>
      <w:r w:rsidRPr="00BF1A20">
        <w:t>“)</w:t>
      </w:r>
      <w:bookmarkEnd w:id="4"/>
      <w:r w:rsidRPr="00BF1A20">
        <w:t>:</w:t>
      </w:r>
    </w:p>
    <w:p w:rsidR="00F16672" w:rsidRPr="00BF1A20" w:rsidRDefault="00F16672">
      <w:pPr>
        <w:pStyle w:val="Odstavecsmlouvy"/>
        <w:numPr>
          <w:ilvl w:val="0"/>
          <w:numId w:val="0"/>
        </w:numPr>
        <w:ind w:left="567"/>
      </w:pPr>
    </w:p>
    <w:tbl>
      <w:tblPr>
        <w:tblW w:w="8427" w:type="dxa"/>
        <w:tblInd w:w="1155" w:type="dxa"/>
        <w:tblLook w:val="0000" w:firstRow="0" w:lastRow="0" w:firstColumn="0" w:lastColumn="0" w:noHBand="0" w:noVBand="0"/>
      </w:tblPr>
      <w:tblGrid>
        <w:gridCol w:w="5398"/>
        <w:gridCol w:w="3029"/>
      </w:tblGrid>
      <w:tr w:rsidR="00F16672" w:rsidRPr="00BF1A20" w:rsidTr="00BF1A20">
        <w:trPr>
          <w:trHeight w:val="303"/>
        </w:trPr>
        <w:tc>
          <w:tcPr>
            <w:tcW w:w="5398" w:type="dxa"/>
            <w:tcBorders>
              <w:top w:val="nil"/>
              <w:left w:val="nil"/>
              <w:bottom w:val="nil"/>
              <w:right w:val="nil"/>
            </w:tcBorders>
          </w:tcPr>
          <w:p w:rsidR="00F16672" w:rsidRPr="00BF1A20" w:rsidRDefault="00F16672">
            <w:pPr>
              <w:pStyle w:val="Zkladntext3"/>
              <w:rPr>
                <w:b/>
                <w:bCs/>
                <w:sz w:val="22"/>
                <w:szCs w:val="22"/>
              </w:rPr>
            </w:pPr>
            <w:r w:rsidRPr="00BF1A20">
              <w:rPr>
                <w:b/>
                <w:bCs/>
                <w:sz w:val="22"/>
                <w:szCs w:val="22"/>
              </w:rPr>
              <w:t>Kupní cena bez DPH:</w:t>
            </w:r>
          </w:p>
        </w:tc>
        <w:tc>
          <w:tcPr>
            <w:tcW w:w="3029" w:type="dxa"/>
            <w:tcBorders>
              <w:top w:val="nil"/>
              <w:left w:val="nil"/>
              <w:bottom w:val="nil"/>
              <w:right w:val="nil"/>
            </w:tcBorders>
          </w:tcPr>
          <w:p w:rsidR="00F16672" w:rsidRPr="00BF1A20" w:rsidRDefault="00F16672">
            <w:pPr>
              <w:pStyle w:val="Zkladntext3"/>
              <w:rPr>
                <w:b/>
                <w:bCs/>
                <w:sz w:val="22"/>
                <w:szCs w:val="22"/>
              </w:rPr>
            </w:pPr>
            <w:r w:rsidRPr="00BF1A20">
              <w:rPr>
                <w:b/>
                <w:bCs/>
                <w:sz w:val="22"/>
                <w:szCs w:val="22"/>
              </w:rPr>
              <w:t>345</w:t>
            </w:r>
            <w:r w:rsidR="00BF1A20">
              <w:rPr>
                <w:b/>
                <w:bCs/>
                <w:sz w:val="22"/>
                <w:szCs w:val="22"/>
              </w:rPr>
              <w:t xml:space="preserve"> </w:t>
            </w:r>
            <w:r w:rsidRPr="00BF1A20">
              <w:rPr>
                <w:b/>
                <w:bCs/>
                <w:sz w:val="22"/>
                <w:szCs w:val="22"/>
              </w:rPr>
              <w:t>606,- Kč</w:t>
            </w:r>
          </w:p>
        </w:tc>
      </w:tr>
      <w:tr w:rsidR="00F16672" w:rsidRPr="00BF1A20" w:rsidTr="00BF1A20">
        <w:trPr>
          <w:trHeight w:val="320"/>
        </w:trPr>
        <w:tc>
          <w:tcPr>
            <w:tcW w:w="5398" w:type="dxa"/>
            <w:tcBorders>
              <w:top w:val="nil"/>
              <w:left w:val="nil"/>
              <w:bottom w:val="nil"/>
              <w:right w:val="nil"/>
            </w:tcBorders>
          </w:tcPr>
          <w:p w:rsidR="00F16672" w:rsidRPr="00BF1A20" w:rsidRDefault="00F16672">
            <w:pPr>
              <w:pStyle w:val="Zkladntext3"/>
              <w:rPr>
                <w:b/>
                <w:bCs/>
                <w:sz w:val="22"/>
                <w:szCs w:val="22"/>
              </w:rPr>
            </w:pPr>
            <w:r w:rsidRPr="00BF1A20">
              <w:rPr>
                <w:b/>
                <w:bCs/>
                <w:sz w:val="22"/>
                <w:szCs w:val="22"/>
              </w:rPr>
              <w:t>DPH 21 %:</w:t>
            </w:r>
          </w:p>
        </w:tc>
        <w:tc>
          <w:tcPr>
            <w:tcW w:w="3029" w:type="dxa"/>
            <w:tcBorders>
              <w:top w:val="nil"/>
              <w:left w:val="nil"/>
              <w:bottom w:val="nil"/>
              <w:right w:val="nil"/>
            </w:tcBorders>
          </w:tcPr>
          <w:p w:rsidR="00F16672" w:rsidRPr="00BF1A20" w:rsidRDefault="00BF1A20">
            <w:pPr>
              <w:pStyle w:val="Zkladntext3"/>
              <w:rPr>
                <w:b/>
                <w:bCs/>
                <w:sz w:val="22"/>
                <w:szCs w:val="22"/>
              </w:rPr>
            </w:pPr>
            <w:r>
              <w:rPr>
                <w:b/>
                <w:bCs/>
                <w:sz w:val="22"/>
                <w:szCs w:val="22"/>
              </w:rPr>
              <w:t xml:space="preserve">  </w:t>
            </w:r>
            <w:r w:rsidR="00F16672" w:rsidRPr="00BF1A20">
              <w:rPr>
                <w:b/>
                <w:bCs/>
                <w:sz w:val="22"/>
                <w:szCs w:val="22"/>
              </w:rPr>
              <w:t>72</w:t>
            </w:r>
            <w:r>
              <w:rPr>
                <w:b/>
                <w:bCs/>
                <w:sz w:val="22"/>
                <w:szCs w:val="22"/>
              </w:rPr>
              <w:t xml:space="preserve"> </w:t>
            </w:r>
            <w:r w:rsidR="00F16672" w:rsidRPr="00BF1A20">
              <w:rPr>
                <w:b/>
                <w:bCs/>
                <w:sz w:val="22"/>
                <w:szCs w:val="22"/>
              </w:rPr>
              <w:t>577,- Kč</w:t>
            </w:r>
          </w:p>
        </w:tc>
      </w:tr>
      <w:tr w:rsidR="00F16672" w:rsidRPr="00BF1A20" w:rsidTr="00BF1A20">
        <w:trPr>
          <w:trHeight w:val="320"/>
        </w:trPr>
        <w:tc>
          <w:tcPr>
            <w:tcW w:w="5398" w:type="dxa"/>
            <w:tcBorders>
              <w:top w:val="nil"/>
              <w:left w:val="nil"/>
              <w:bottom w:val="nil"/>
              <w:right w:val="nil"/>
            </w:tcBorders>
          </w:tcPr>
          <w:p w:rsidR="00F16672" w:rsidRPr="00BF1A20" w:rsidRDefault="00F16672">
            <w:pPr>
              <w:pStyle w:val="Zkladntext3"/>
              <w:rPr>
                <w:b/>
                <w:bCs/>
                <w:sz w:val="22"/>
                <w:szCs w:val="22"/>
              </w:rPr>
            </w:pPr>
            <w:r w:rsidRPr="00BF1A20">
              <w:rPr>
                <w:b/>
                <w:bCs/>
                <w:sz w:val="22"/>
                <w:szCs w:val="22"/>
              </w:rPr>
              <w:t>Kupní cena včetně DPH:</w:t>
            </w:r>
          </w:p>
        </w:tc>
        <w:tc>
          <w:tcPr>
            <w:tcW w:w="3029" w:type="dxa"/>
            <w:tcBorders>
              <w:top w:val="nil"/>
              <w:left w:val="nil"/>
              <w:bottom w:val="nil"/>
              <w:right w:val="nil"/>
            </w:tcBorders>
          </w:tcPr>
          <w:p w:rsidR="00F16672" w:rsidRPr="00BF1A20" w:rsidRDefault="00F16672">
            <w:pPr>
              <w:pStyle w:val="Zkladntext3"/>
              <w:rPr>
                <w:b/>
                <w:bCs/>
                <w:sz w:val="22"/>
                <w:szCs w:val="22"/>
              </w:rPr>
            </w:pPr>
            <w:r w:rsidRPr="00BF1A20">
              <w:rPr>
                <w:b/>
                <w:bCs/>
                <w:sz w:val="22"/>
                <w:szCs w:val="22"/>
              </w:rPr>
              <w:t>418</w:t>
            </w:r>
            <w:r w:rsidR="00BF1A20">
              <w:rPr>
                <w:b/>
                <w:bCs/>
                <w:sz w:val="22"/>
                <w:szCs w:val="22"/>
              </w:rPr>
              <w:t xml:space="preserve"> </w:t>
            </w:r>
            <w:r w:rsidRPr="00BF1A20">
              <w:rPr>
                <w:b/>
                <w:bCs/>
                <w:sz w:val="22"/>
                <w:szCs w:val="22"/>
              </w:rPr>
              <w:t>183,- Kč</w:t>
            </w:r>
          </w:p>
        </w:tc>
      </w:tr>
    </w:tbl>
    <w:p w:rsidR="00F16672" w:rsidRPr="00BF1A20" w:rsidRDefault="00F16672">
      <w:pPr>
        <w:pStyle w:val="Odstavecsmlouvy"/>
        <w:numPr>
          <w:ilvl w:val="0"/>
          <w:numId w:val="0"/>
        </w:numPr>
        <w:ind w:left="567"/>
      </w:pPr>
    </w:p>
    <w:p w:rsidR="00F16672" w:rsidRPr="00BF1A20" w:rsidRDefault="00F16672">
      <w:pPr>
        <w:pStyle w:val="Odstavecsmlouvy"/>
      </w:pPr>
      <w:r w:rsidRPr="00BF1A20">
        <w:t xml:space="preserve">Kupní cena je sjednána jako maximální a zahrnuje kromě ceny Zboží a nákladů na provedení Instalace včetně Montáže také veškeré náklady související s dopravou Zboží do místa dodání, a to včetně naložení, složení, cel, kurzových rozdílů, obalů, Dokladů, pojištění během dopravy, správních poplatků, daní a recyklačního poplatku (pouze u zboží, které tomuto poplatku podle zákona č. 185/2001 Sb., o odpadech, ve znění pozdějších předpisů, podléhá). </w:t>
      </w:r>
    </w:p>
    <w:p w:rsidR="00F16672" w:rsidRPr="00BF1A20" w:rsidRDefault="00F16672">
      <w:pPr>
        <w:pStyle w:val="Odstavecsmlouvy"/>
        <w:numPr>
          <w:ilvl w:val="0"/>
          <w:numId w:val="0"/>
        </w:numPr>
        <w:ind w:left="567"/>
      </w:pPr>
    </w:p>
    <w:p w:rsidR="00F16672" w:rsidRPr="00BF1A20" w:rsidRDefault="00F16672">
      <w:pPr>
        <w:pStyle w:val="Odstavecsmlouvy"/>
      </w:pPr>
      <w:r w:rsidRPr="00BF1A20">
        <w:t>Prodávající potvrzuje, že Kupní cena zcela odpovídá nabídce Prodávajícího předložené v zadávacím řízení na Veřejnou zakázku, ve kterém byla jeho nabídka vybrána jako nejvhodnější. V případě rozporu mezi touto smlouvou a nabídkou Prodávajícího uhradí Kupující kupní cenu pro Kupujícího výhodnější.</w:t>
      </w:r>
    </w:p>
    <w:p w:rsidR="00F16672" w:rsidRPr="00BF1A20" w:rsidRDefault="00F16672">
      <w:pPr>
        <w:pStyle w:val="Odstavecsmlouvy"/>
        <w:numPr>
          <w:ilvl w:val="0"/>
          <w:numId w:val="0"/>
        </w:numPr>
        <w:ind w:left="567"/>
      </w:pPr>
    </w:p>
    <w:p w:rsidR="00F16672" w:rsidRPr="00BF1A20" w:rsidRDefault="00F16672">
      <w:pPr>
        <w:pStyle w:val="Odstavecsmlouvy"/>
      </w:pPr>
      <w:r w:rsidRPr="00BF1A20">
        <w:t xml:space="preserve">Kupující se zavazuje uhradit Kupní cenu na základě faktury – daňového dokladu vystavené Prodávajícím po splnění dodávky a předání předmětu plnění Kupujícímu, tj. po podpisu Předávacího protokolu Kupujícím. Prodávající není oprávněn vystavit fakturu dříve. Splatnost faktury je </w:t>
      </w:r>
      <w:r w:rsidR="00B175B2" w:rsidRPr="00BF1A20">
        <w:t>3</w:t>
      </w:r>
      <w:r w:rsidRPr="00BF1A20">
        <w:t>0 dnů od data vystavení faktury. Prodávající doručí fakturu Kupujícímu bez zbytečného odkladu po jejím vystavení. Datum uskutečnění zdanitelného plnění bude shodné s datem podpisu Předávacího protokolu Kupujícím. Faktura musí splňovat veškeré podmínky této smlouvy, veškeré náležitosti daňového a účetního dokladu stanovené právními předpisy, zejména musí splňovat ustanovení zákona č. 235/2004 Sb., o dani z přidané hodnoty, ve znění pozdějších předpisů (dále jen „</w:t>
      </w:r>
      <w:r w:rsidRPr="00BF1A20">
        <w:rPr>
          <w:b/>
          <w:bCs/>
        </w:rPr>
        <w:t>ZDPH</w:t>
      </w:r>
      <w:r w:rsidRPr="00BF1A20">
        <w:t>“), a musí na ní být uvedena Kupní cena, označení této smlouvy a datum splatnosti v souladu s touto smlouvou, jinak je Kupující oprávněn vrátit fakturu Prodávajícímu k přepracování či doplnění. V takovém případě běží nová lhůta splatnosti ode dne doručení opravené faktury Kupujícímu.</w:t>
      </w:r>
    </w:p>
    <w:p w:rsidR="00F16672" w:rsidRPr="00BF1A20" w:rsidRDefault="00F16672">
      <w:pPr>
        <w:pStyle w:val="Odstavecsmlouvy"/>
        <w:numPr>
          <w:ilvl w:val="0"/>
          <w:numId w:val="0"/>
        </w:numPr>
        <w:ind w:left="567"/>
      </w:pPr>
    </w:p>
    <w:p w:rsidR="00F16672" w:rsidRPr="00BF1A20" w:rsidRDefault="00F16672">
      <w:pPr>
        <w:pStyle w:val="Odstavecsmlouvy"/>
      </w:pPr>
      <w:r w:rsidRPr="00BF1A20">
        <w:rPr>
          <w:color w:val="000000"/>
        </w:rPr>
        <w:t>Částka přeúčtovaného poplatku na recyklaci elektroodpadu dle zákona č. 185/2001 Sb., o odpadech, ve znění pozdějších předpisů, bude na faktuře uvedena zvlášť.</w:t>
      </w:r>
    </w:p>
    <w:p w:rsidR="00F16672" w:rsidRPr="00BF1A20" w:rsidRDefault="00F16672">
      <w:pPr>
        <w:pStyle w:val="Odstavecsmlouvy"/>
        <w:numPr>
          <w:ilvl w:val="0"/>
          <w:numId w:val="0"/>
        </w:numPr>
        <w:ind w:left="567"/>
      </w:pPr>
    </w:p>
    <w:p w:rsidR="00F16672" w:rsidRPr="00BF1A20" w:rsidRDefault="00F16672">
      <w:pPr>
        <w:pStyle w:val="Odstavecsmlouvy"/>
      </w:pPr>
      <w:r w:rsidRPr="00BF1A20">
        <w:rPr>
          <w:color w:val="000000"/>
        </w:rPr>
        <w:t>Na plnění podléhající režimu přenesené daňové povinnosti bude vystavena zvláštní faktura. Kupní cena za takové plnění bude účtována bez DPH, pouze s uvedením příslušející sazby DPH.</w:t>
      </w:r>
    </w:p>
    <w:p w:rsidR="00F16672" w:rsidRPr="00BF1A20" w:rsidRDefault="00F16672">
      <w:pPr>
        <w:pStyle w:val="Odstavecsmlouvy"/>
        <w:numPr>
          <w:ilvl w:val="0"/>
          <w:numId w:val="0"/>
        </w:numPr>
        <w:ind w:left="567"/>
      </w:pPr>
    </w:p>
    <w:p w:rsidR="00F16672" w:rsidRPr="00BF1A20" w:rsidRDefault="00F16672">
      <w:pPr>
        <w:pStyle w:val="Odstavecsmlouvy"/>
      </w:pPr>
      <w:r w:rsidRPr="00BF1A20">
        <w:rPr>
          <w:color w:val="000000"/>
        </w:rPr>
        <w:t xml:space="preserve">Úhrady budou prováděny bezhotovostním převodem z bankovního účtu </w:t>
      </w:r>
      <w:r w:rsidRPr="00BF1A20">
        <w:t>Kupujícího</w:t>
      </w:r>
      <w:r w:rsidRPr="00BF1A20">
        <w:rPr>
          <w:color w:val="000000"/>
        </w:rPr>
        <w:t xml:space="preserve"> na bankovní účet </w:t>
      </w:r>
      <w:r w:rsidRPr="00BF1A20">
        <w:t>Prodávajícího uvedený v záhlaví této smlouvy</w:t>
      </w:r>
      <w:r w:rsidRPr="00BF1A20">
        <w:rPr>
          <w:color w:val="000000"/>
        </w:rPr>
        <w:t xml:space="preserve">. Dnem úhrady se rozumí den odepsání příslušné částky z bankovního účtu </w:t>
      </w:r>
      <w:r w:rsidRPr="00BF1A20">
        <w:t>Kupujícího</w:t>
      </w:r>
      <w:r w:rsidRPr="00BF1A20">
        <w:rPr>
          <w:color w:val="000000"/>
        </w:rPr>
        <w:t>.</w:t>
      </w:r>
    </w:p>
    <w:p w:rsidR="00F16672" w:rsidRPr="00BF1A20" w:rsidRDefault="00F16672">
      <w:pPr>
        <w:pStyle w:val="Odstavecsmlouvy"/>
        <w:numPr>
          <w:ilvl w:val="0"/>
          <w:numId w:val="0"/>
        </w:numPr>
        <w:ind w:left="567"/>
      </w:pPr>
    </w:p>
    <w:p w:rsidR="00F16672" w:rsidRPr="00BF1A20" w:rsidRDefault="00F16672">
      <w:pPr>
        <w:pStyle w:val="Odstavecsmlouvy"/>
      </w:pPr>
      <w:r w:rsidRPr="00BF1A20">
        <w:rPr>
          <w:color w:val="000000"/>
        </w:rPr>
        <w:t xml:space="preserve">V případě, že v okamžiku uskutečnění zdanitelného plnění bude </w:t>
      </w:r>
      <w:r w:rsidRPr="00BF1A20">
        <w:t>Prodávající</w:t>
      </w:r>
      <w:r w:rsidRPr="00BF1A20">
        <w:rPr>
          <w:color w:val="000000"/>
        </w:rPr>
        <w:t xml:space="preserve"> zapsán v registru plátců daně z přidané hodnoty jako nespolehlivý plátce, </w:t>
      </w:r>
      <w:r w:rsidRPr="00BF1A20">
        <w:t xml:space="preserve">případně budou naplněny další podmínky § 109 ZDPH, </w:t>
      </w:r>
      <w:r w:rsidRPr="00BF1A20">
        <w:rPr>
          <w:color w:val="000000"/>
        </w:rPr>
        <w:t xml:space="preserve">má </w:t>
      </w:r>
      <w:r w:rsidRPr="00BF1A20">
        <w:t>Kupující</w:t>
      </w:r>
      <w:r w:rsidRPr="00BF1A20">
        <w:rPr>
          <w:color w:val="000000"/>
        </w:rPr>
        <w:t xml:space="preserve"> právo uhradit za </w:t>
      </w:r>
      <w:r w:rsidRPr="00BF1A20">
        <w:t>Prodávajícího</w:t>
      </w:r>
      <w:r w:rsidRPr="00BF1A20">
        <w:rPr>
          <w:color w:val="000000"/>
        </w:rPr>
        <w:t xml:space="preserve"> DPH z tohoto zdanitelného plnění, aniž by byl vyzván jako ručitel správcem daně </w:t>
      </w:r>
      <w:r w:rsidRPr="00BF1A20">
        <w:t>Prodávajícího</w:t>
      </w:r>
      <w:r w:rsidRPr="00BF1A20">
        <w:rPr>
          <w:color w:val="000000"/>
        </w:rPr>
        <w:t xml:space="preserve">, a to postupem dle § 109a ZDPH. </w:t>
      </w:r>
      <w:r w:rsidRPr="00BF1A20">
        <w:t>Stejným způsobem bude postupováno, pokud Prodávající uvede ve smlouvě bankovní účet, který není uveden v registru plátců daně z přidané hodnoty nebo bude evidován jako nespolehlivá osoba.</w:t>
      </w:r>
    </w:p>
    <w:p w:rsidR="00F16672" w:rsidRPr="00BF1A20" w:rsidRDefault="00F16672">
      <w:pPr>
        <w:pStyle w:val="Odstavecsmlouvy"/>
        <w:numPr>
          <w:ilvl w:val="0"/>
          <w:numId w:val="0"/>
        </w:numPr>
        <w:ind w:left="567"/>
      </w:pPr>
    </w:p>
    <w:p w:rsidR="00F16672" w:rsidRPr="00BF1A20" w:rsidRDefault="00F16672">
      <w:pPr>
        <w:pStyle w:val="Odstavecsmlouvy"/>
      </w:pPr>
      <w:r w:rsidRPr="00BF1A20">
        <w:rPr>
          <w:color w:val="000000"/>
        </w:rPr>
        <w:t xml:space="preserve">Pokud </w:t>
      </w:r>
      <w:r w:rsidRPr="00BF1A20">
        <w:t>Kupující</w:t>
      </w:r>
      <w:r w:rsidRPr="00BF1A20">
        <w:rPr>
          <w:color w:val="000000"/>
        </w:rPr>
        <w:t xml:space="preserve"> uhradí částku ve výši DPH na účet správce daně </w:t>
      </w:r>
      <w:r w:rsidRPr="00BF1A20">
        <w:t>Prodávajícího</w:t>
      </w:r>
      <w:r w:rsidRPr="00BF1A20">
        <w:rPr>
          <w:color w:val="000000"/>
        </w:rPr>
        <w:t xml:space="preserve"> a zbývající částku sjednané ceny (tj. relevantní část bez DPH) </w:t>
      </w:r>
      <w:r w:rsidRPr="00BF1A20">
        <w:t>Prodávajícímu</w:t>
      </w:r>
      <w:r w:rsidRPr="00BF1A20">
        <w:rPr>
          <w:color w:val="000000"/>
        </w:rPr>
        <w:t xml:space="preserve">, považuje se jeho závazek uhradit sjednanou cenu za splněný. </w:t>
      </w:r>
    </w:p>
    <w:p w:rsidR="00F16672" w:rsidRPr="00BF1A20" w:rsidRDefault="00F16672">
      <w:pPr>
        <w:pStyle w:val="Odstavecsmlouvy"/>
        <w:numPr>
          <w:ilvl w:val="0"/>
          <w:numId w:val="0"/>
        </w:numPr>
        <w:ind w:left="567"/>
      </w:pPr>
    </w:p>
    <w:p w:rsidR="00F16672" w:rsidRPr="00BF1A20" w:rsidRDefault="00F16672">
      <w:pPr>
        <w:pStyle w:val="Odstavecsmlouvy"/>
      </w:pPr>
      <w:r w:rsidRPr="00BF1A20">
        <w:t>Prodávající</w:t>
      </w:r>
      <w:r w:rsidRPr="00BF1A20">
        <w:rPr>
          <w:color w:val="000000"/>
        </w:rPr>
        <w:t xml:space="preserve"> je oprávněn postoupit své peněžité pohledávky za </w:t>
      </w:r>
      <w:r w:rsidRPr="00BF1A20">
        <w:t>Kupujícím</w:t>
      </w:r>
      <w:r w:rsidRPr="00BF1A20">
        <w:rPr>
          <w:color w:val="000000"/>
        </w:rPr>
        <w:t xml:space="preserve"> výhradně po předchozím písemném souhlasu </w:t>
      </w:r>
      <w:r w:rsidRPr="00BF1A20">
        <w:t>Kupujícího</w:t>
      </w:r>
      <w:r w:rsidRPr="00BF1A20">
        <w:rPr>
          <w:color w:val="000000"/>
        </w:rPr>
        <w:t xml:space="preserve">, jinak je postoupení vůči </w:t>
      </w:r>
      <w:r w:rsidRPr="00BF1A20">
        <w:t>Kupujícímu</w:t>
      </w:r>
      <w:r w:rsidRPr="00BF1A20">
        <w:rPr>
          <w:color w:val="000000"/>
        </w:rPr>
        <w:t xml:space="preserve"> neúčinné. </w:t>
      </w:r>
      <w:r w:rsidRPr="00BF1A20">
        <w:t>Prodávající</w:t>
      </w:r>
      <w:r w:rsidRPr="00BF1A20">
        <w:rPr>
          <w:color w:val="000000"/>
        </w:rPr>
        <w:t xml:space="preserve"> je oprávněn započítat své peněžité pohledávky za </w:t>
      </w:r>
      <w:r w:rsidRPr="00BF1A20">
        <w:t>Kupujícím</w:t>
      </w:r>
      <w:r w:rsidRPr="00BF1A20">
        <w:rPr>
          <w:color w:val="000000"/>
        </w:rPr>
        <w:t xml:space="preserve"> výhradně na základě písemné dohody obou smluvních stran, jinak je započtení pohledávek neplatné.</w:t>
      </w:r>
    </w:p>
    <w:p w:rsidR="00F16672" w:rsidRPr="00BF1A20" w:rsidRDefault="00F16672">
      <w:pPr>
        <w:rPr>
          <w:b/>
          <w:bCs/>
        </w:rPr>
      </w:pPr>
    </w:p>
    <w:bookmarkEnd w:id="0"/>
    <w:p w:rsidR="00F16672" w:rsidRPr="00BF1A20" w:rsidRDefault="00F16672">
      <w:pPr>
        <w:pStyle w:val="Nadpis1"/>
      </w:pPr>
      <w:r w:rsidRPr="00BF1A20">
        <w:t>Kvalita zboží a odpovědnost za vady</w:t>
      </w:r>
    </w:p>
    <w:p w:rsidR="00F16672" w:rsidRPr="00BF1A20" w:rsidRDefault="00F16672">
      <w:pPr>
        <w:pStyle w:val="Odstavecsmlouvy"/>
        <w:numPr>
          <w:ilvl w:val="0"/>
          <w:numId w:val="0"/>
        </w:numPr>
        <w:ind w:left="567"/>
      </w:pPr>
    </w:p>
    <w:p w:rsidR="00F16672" w:rsidRPr="00BF1A20" w:rsidRDefault="00F16672">
      <w:pPr>
        <w:pStyle w:val="Odstavecsmlouvy"/>
      </w:pPr>
      <w:r w:rsidRPr="00BF1A20">
        <w:t>Prodávající je povinen dodat Zboží Kupujícímu v jakosti a provedení podle této smlouvy a podle přílohy č. 1 této smlouvy. Není-li v této smlouvě nebo v příloze č. 1 této smlouvy sjednáno jinak, je Prodávající povinen Kupujícímu dodat Zboží zcela nové, v plně funkčním stavu, v jakosti a technickém provedení odpovídajícímu platným předpisům Evropské unie a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 souvisejících předpisů, v platném znění.</w:t>
      </w:r>
    </w:p>
    <w:p w:rsidR="00F16672" w:rsidRPr="00BF1A20" w:rsidRDefault="00F16672">
      <w:pPr>
        <w:pStyle w:val="Odstavecsmlouvy"/>
        <w:numPr>
          <w:ilvl w:val="0"/>
          <w:numId w:val="0"/>
        </w:numPr>
        <w:ind w:left="567"/>
      </w:pPr>
    </w:p>
    <w:p w:rsidR="00F16672" w:rsidRPr="00BF1A20" w:rsidRDefault="00F16672">
      <w:pPr>
        <w:pStyle w:val="Odstavecsmlouvy"/>
      </w:pPr>
      <w:r w:rsidRPr="00BF1A20">
        <w:t>Prodávající prohlašuje, že Zboží zcela odpovídá podmínkám stanoveným v této smlouvě a Zadávací dokumentaci, je způsobilé k užití v souladu s jeho účelovým určením a je prosto vad faktických i právních. Prodávající se zavazuje, že v okamžiku převodu vlastnického práva ke Zboží nebudou na Zboží váznout žádná práva třetích osob, a to zejména žádné předkupní právo, zástavní právo ani právo nájmu.</w:t>
      </w:r>
    </w:p>
    <w:p w:rsidR="00F16672" w:rsidRPr="00BF1A20" w:rsidRDefault="00F16672">
      <w:pPr>
        <w:pStyle w:val="Odstavecsmlouvy"/>
        <w:numPr>
          <w:ilvl w:val="0"/>
          <w:numId w:val="0"/>
        </w:numPr>
        <w:ind w:left="567"/>
      </w:pPr>
    </w:p>
    <w:p w:rsidR="00F16672" w:rsidRPr="00BF1A20" w:rsidRDefault="00F16672">
      <w:pPr>
        <w:pStyle w:val="Odstavecsmlouvy"/>
        <w:rPr>
          <w:color w:val="000000"/>
        </w:rPr>
      </w:pPr>
      <w:r w:rsidRPr="00BF1A20">
        <w:t xml:space="preserve">Prodávající poskytuje kupujícímu záruku za jakost Zboží a montážních prací, tj. Montáže, po dobu </w:t>
      </w:r>
      <w:r w:rsidRPr="00BF1A20">
        <w:rPr>
          <w:b/>
          <w:bCs/>
        </w:rPr>
        <w:t>24 měsíců</w:t>
      </w:r>
      <w:r w:rsidRPr="00BF1A20">
        <w:t xml:space="preserve"> ode dne podpisu Předávacího protokolu Kupujícím (tato doba včetně počátku jejího běhu dále a výše jen „</w:t>
      </w:r>
      <w:r w:rsidRPr="00BF1A20">
        <w:rPr>
          <w:b/>
          <w:bCs/>
        </w:rPr>
        <w:t>Záruční doba</w:t>
      </w:r>
      <w:r w:rsidRPr="00BF1A20">
        <w:t xml:space="preserve">“). Obsahem této záruky za jakost je závazek Prodávajícího, že Zboží a Montáž budou v Záruční době způsobilé pro použití k obvyklému účelu a že si nejméně po tuto dobu zachovají své vlastnosti sjednané v této smlouvě a specifikované v Zadávací dokumentaci. Montáž má vady zejména tehdy, jestliže má vady materiál použitý při Montáže nebo jestliže provedení Montáže nemá vlastnosti stanovené touto smlouvou nebo Zadávací dokumentací, právními předpisy, technickými normami a v rozsahu, ve kterém nejsou vlastnosti Montáže takto stanoveny, vlastnosti obvyklé. Obsahem této záruky jsou rovněž záruky a garance specifikované v příloze č. 1 této smlouvy. Prodávající tedy poskytuje Kupujícímu záruku za jakost Zboží a Montáže v délkách uvedených v předaných záručních listech nebo uvedených v příloze č. 1 této smlouvy podle toho, co je delší, vždy však nejméně po celou Záruční dobu. Obsahem této záruky za jakost je dále závazek Prodávajícího, že montážní práce, tj. Montáž, včetně použitého materiálu budou v Záruční době způsobilé pro použití k obvyklému účelu, prosté vad a nedodělků a že si nejméně po tuto dobu zachovají své vlastnosti sjednané v této smlouvě a specifikované v Zadávací dokumentaci. </w:t>
      </w:r>
    </w:p>
    <w:p w:rsidR="00F16672" w:rsidRPr="00BF1A20" w:rsidRDefault="00F16672">
      <w:pPr>
        <w:pStyle w:val="Odstavecsmlouvy"/>
        <w:numPr>
          <w:ilvl w:val="0"/>
          <w:numId w:val="0"/>
        </w:numPr>
        <w:ind w:left="567"/>
      </w:pPr>
    </w:p>
    <w:p w:rsidR="00F16672" w:rsidRPr="00BF1A20" w:rsidRDefault="00F16672">
      <w:pPr>
        <w:pStyle w:val="Odstavecsmlouvy"/>
        <w:rPr>
          <w:color w:val="000000"/>
        </w:rPr>
      </w:pPr>
      <w:r w:rsidRPr="00BF1A20">
        <w:t>Prodávající je povinen zahájit práce na odstranění vady Zboží nebo vady nebo nedodělku Montáže oznámených během Záruční doby do 1 pracovního dne od jejich oznámení Prodávajícímu, ledaže z přílohy č. 1 této smlouvy vyplývá lhůta jiná. Prodávající je povinen vadu či nedodělek odstranit, tj. uvést Zboží nebo Montáž do bezvadného stavu do 3 pracovních dnů od jejich oznámení Prodávajícímu, ledaže z přílohy č. 1 této smlouvy vyplývá lhůta jiná. Smluvní strany se však s ohledem na charakter a závažnost vady či nedodělku mohou dohodnout na lhůtě delší.</w:t>
      </w:r>
    </w:p>
    <w:p w:rsidR="00F16672" w:rsidRPr="00BF1A20" w:rsidRDefault="00F16672">
      <w:pPr>
        <w:pStyle w:val="Odstavecsmlouvy"/>
        <w:numPr>
          <w:ilvl w:val="0"/>
          <w:numId w:val="0"/>
        </w:numPr>
        <w:ind w:left="567"/>
      </w:pPr>
    </w:p>
    <w:p w:rsidR="00F16672" w:rsidRPr="00BF1A20" w:rsidRDefault="00F16672">
      <w:pPr>
        <w:pStyle w:val="Odstavecsmlouvy"/>
      </w:pPr>
      <w:r w:rsidRPr="00BF1A20">
        <w:t>Kupující je vedle práv z vadného plnění a práv vyplývajících ze sjednané nebo poskytnuté záruky za jakost oprávněn uplatňovat i jakékoliv jiné nároky související s dodáním vadného Zboží (např. nárok na náhradu újmy) nebo související s vadami či nedodělky Montáže.</w:t>
      </w:r>
    </w:p>
    <w:p w:rsidR="00F16672" w:rsidRPr="00BF1A20" w:rsidRDefault="00F16672">
      <w:pPr>
        <w:pStyle w:val="Odstavecsmlouvy"/>
        <w:numPr>
          <w:ilvl w:val="0"/>
          <w:numId w:val="0"/>
        </w:numPr>
        <w:ind w:left="567"/>
      </w:pPr>
    </w:p>
    <w:p w:rsidR="00F16672" w:rsidRPr="00BF1A20" w:rsidRDefault="00F16672">
      <w:pPr>
        <w:pStyle w:val="Odstavecsmlouvy"/>
      </w:pPr>
      <w:r w:rsidRPr="00BF1A20">
        <w:t>Má-li Zboží vady jakosti, je Prodávající povinen bez zbytečného odkladu po oznámení vad Kupujícím dodat Kupujícímu náhradní zboží za zboží vadné nebo vrátit Kupujícímu cenu vadného zboží. Volba nároku náleží Kupujícímu.</w:t>
      </w:r>
    </w:p>
    <w:p w:rsidR="00F16672" w:rsidRPr="00BF1A20" w:rsidRDefault="00F16672">
      <w:pPr>
        <w:pStyle w:val="Odstavecsmlouvy"/>
        <w:numPr>
          <w:ilvl w:val="0"/>
          <w:numId w:val="0"/>
        </w:numPr>
        <w:ind w:left="567"/>
      </w:pPr>
    </w:p>
    <w:p w:rsidR="00F16672" w:rsidRPr="00BF1A20" w:rsidRDefault="00F16672">
      <w:pPr>
        <w:pStyle w:val="Odstavecsmlouvy"/>
      </w:pPr>
      <w:bookmarkStart w:id="5" w:name="_Ref98432582"/>
      <w:r w:rsidRPr="00BF1A20">
        <w:t>Prodávající bere na vědomí, že Kupující bude provádět testování (skenování) položek Zboží za účelem zjištění jejich kybernetických bezpečnostních zranitelností (dále jen „</w:t>
      </w:r>
      <w:r w:rsidRPr="00BF1A20">
        <w:rPr>
          <w:b/>
          <w:bCs/>
        </w:rPr>
        <w:t>zranitelnost</w:t>
      </w:r>
      <w:r w:rsidRPr="00BF1A20">
        <w:t xml:space="preserve">“), ledaže položka Zboží ani celek, do kterého je zapojena, neumožňují komunikaci prostřednictvím počítačové sítě. Zranitelnost zjištěná při testování popsaná pomocí údajů z databáze CVE (Common Vulnerabilities and Exposures; dostupná z </w:t>
      </w:r>
      <w:hyperlink r:id="rId7" w:history="1">
        <w:r w:rsidRPr="00BF1A20">
          <w:rPr>
            <w:rStyle w:val="Hypertextovodkaz"/>
          </w:rPr>
          <w:t>https://cve.mitre.org/</w:t>
        </w:r>
      </w:hyperlink>
      <w:r w:rsidRPr="00BF1A20">
        <w:t>) se považuje za skrytou vadu Zboží. Za skrytou vadu Zboží podle tohoto odstavce se považuje rovněž zranitelnost, která nebyla zjištěna při testování, avšak je publikovaná ve vztahu ke Zboží nebo položce Zboží v databázi CVE, ledaže Prodávající prokáže, že taková zranitelnost na Zboží nedopadá. Závažnost vady podle tohoto odstavce (dále jen „</w:t>
      </w:r>
      <w:r w:rsidRPr="00BF1A20">
        <w:rPr>
          <w:b/>
          <w:bCs/>
        </w:rPr>
        <w:t>severita</w:t>
      </w:r>
      <w:r w:rsidRPr="00BF1A20">
        <w:t xml:space="preserve">“) bude ohodnocena dle standardu CVSS (Common Vulnerability Scoring System; dostupný z </w:t>
      </w:r>
      <w:hyperlink r:id="rId8" w:history="1">
        <w:r w:rsidRPr="00BF1A20">
          <w:rPr>
            <w:rStyle w:val="Hypertextovodkaz"/>
          </w:rPr>
          <w:t>https://www.first.org/cvss/</w:t>
        </w:r>
      </w:hyperlink>
      <w:r w:rsidRPr="00BF1A20">
        <w:t xml:space="preserve">). Vady podle tohoto odstavce oznámené Prodávajícímu v Záruční době je Prodávající povinen </w:t>
      </w:r>
      <w:r w:rsidRPr="00BF1A20">
        <w:rPr>
          <w:b/>
          <w:bCs/>
          <w:u w:val="single"/>
        </w:rPr>
        <w:t>bezplatně</w:t>
      </w:r>
      <w:r w:rsidRPr="00BF1A20">
        <w:t xml:space="preserve"> odstranit, přičemž odstraněním takové vady se rozumí zejména provedení aktualizace programového vybavení nebo implementace bezpečnostního opatření, které zamezí možnosti využití dotčené zranitelnosti, 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Zboží nebo položky Zboží,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severity následovně:</w:t>
      </w:r>
      <w:bookmarkEnd w:id="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3919"/>
        <w:gridCol w:w="4132"/>
      </w:tblGrid>
      <w:tr w:rsidR="00F16672" w:rsidRPr="00BF1A20">
        <w:tc>
          <w:tcPr>
            <w:tcW w:w="1512" w:type="dxa"/>
          </w:tcPr>
          <w:p w:rsidR="00F16672" w:rsidRPr="00BF1A20" w:rsidRDefault="00F16672">
            <w:pPr>
              <w:rPr>
                <w:b/>
                <w:bCs/>
              </w:rPr>
            </w:pPr>
            <w:r w:rsidRPr="00BF1A20">
              <w:rPr>
                <w:b/>
                <w:bCs/>
              </w:rPr>
              <w:t>Úroveň zranitelnosti</w:t>
            </w:r>
          </w:p>
        </w:tc>
        <w:tc>
          <w:tcPr>
            <w:tcW w:w="3919" w:type="dxa"/>
          </w:tcPr>
          <w:p w:rsidR="00F16672" w:rsidRPr="00BF1A20" w:rsidRDefault="00F16672">
            <w:pPr>
              <w:rPr>
                <w:b/>
                <w:bCs/>
              </w:rPr>
            </w:pPr>
            <w:r w:rsidRPr="00BF1A20">
              <w:rPr>
                <w:b/>
                <w:bCs/>
              </w:rPr>
              <w:t>Severita vady</w:t>
            </w:r>
          </w:p>
        </w:tc>
        <w:tc>
          <w:tcPr>
            <w:tcW w:w="4132" w:type="dxa"/>
          </w:tcPr>
          <w:p w:rsidR="00F16672" w:rsidRPr="00BF1A20" w:rsidRDefault="00F16672">
            <w:pPr>
              <w:jc w:val="left"/>
              <w:rPr>
                <w:b/>
                <w:bCs/>
              </w:rPr>
            </w:pPr>
            <w:r w:rsidRPr="00BF1A20">
              <w:rPr>
                <w:b/>
                <w:bCs/>
              </w:rPr>
              <w:t>Lhůta, ve které je Prodávající povinen vadu odstranit</w:t>
            </w:r>
          </w:p>
        </w:tc>
      </w:tr>
      <w:tr w:rsidR="00F16672" w:rsidRPr="00BF1A20">
        <w:tc>
          <w:tcPr>
            <w:tcW w:w="1512" w:type="dxa"/>
            <w:shd w:val="clear" w:color="auto" w:fill="92D050"/>
          </w:tcPr>
          <w:p w:rsidR="00F16672" w:rsidRPr="00BF1A20" w:rsidRDefault="00F16672">
            <w:r w:rsidRPr="00BF1A20">
              <w:t>Nízká</w:t>
            </w:r>
          </w:p>
        </w:tc>
        <w:tc>
          <w:tcPr>
            <w:tcW w:w="3919" w:type="dxa"/>
          </w:tcPr>
          <w:p w:rsidR="00F16672" w:rsidRPr="00BF1A20" w:rsidRDefault="00F16672">
            <w:r w:rsidRPr="00BF1A20">
              <w:t>Menší než 4,0</w:t>
            </w:r>
          </w:p>
        </w:tc>
        <w:tc>
          <w:tcPr>
            <w:tcW w:w="4132" w:type="dxa"/>
          </w:tcPr>
          <w:p w:rsidR="00F16672" w:rsidRPr="00BF1A20" w:rsidRDefault="00F16672">
            <w:r w:rsidRPr="00BF1A20">
              <w:t>2 měsíce</w:t>
            </w:r>
          </w:p>
        </w:tc>
      </w:tr>
      <w:tr w:rsidR="00F16672" w:rsidRPr="00BF1A20">
        <w:tc>
          <w:tcPr>
            <w:tcW w:w="1512" w:type="dxa"/>
            <w:shd w:val="clear" w:color="auto" w:fill="FFFF00"/>
          </w:tcPr>
          <w:p w:rsidR="00F16672" w:rsidRPr="00BF1A20" w:rsidRDefault="00F16672">
            <w:r w:rsidRPr="00BF1A20">
              <w:t>Střední</w:t>
            </w:r>
          </w:p>
        </w:tc>
        <w:tc>
          <w:tcPr>
            <w:tcW w:w="3919" w:type="dxa"/>
          </w:tcPr>
          <w:p w:rsidR="00F16672" w:rsidRPr="00BF1A20" w:rsidRDefault="00F16672">
            <w:r w:rsidRPr="00BF1A20">
              <w:t>Větší nebo rovna 4,0 a menší než 7,0</w:t>
            </w:r>
          </w:p>
        </w:tc>
        <w:tc>
          <w:tcPr>
            <w:tcW w:w="4132" w:type="dxa"/>
          </w:tcPr>
          <w:p w:rsidR="00F16672" w:rsidRPr="00BF1A20" w:rsidRDefault="00F16672">
            <w:r w:rsidRPr="00BF1A20">
              <w:t>1 měsíc</w:t>
            </w:r>
          </w:p>
        </w:tc>
      </w:tr>
      <w:tr w:rsidR="00F16672" w:rsidRPr="00BF1A20">
        <w:tc>
          <w:tcPr>
            <w:tcW w:w="1512" w:type="dxa"/>
            <w:shd w:val="clear" w:color="auto" w:fill="FFC000"/>
          </w:tcPr>
          <w:p w:rsidR="00F16672" w:rsidRPr="00BF1A20" w:rsidRDefault="00F16672">
            <w:r w:rsidRPr="00BF1A20">
              <w:t>Vysoká</w:t>
            </w:r>
          </w:p>
        </w:tc>
        <w:tc>
          <w:tcPr>
            <w:tcW w:w="3919" w:type="dxa"/>
          </w:tcPr>
          <w:p w:rsidR="00F16672" w:rsidRPr="00BF1A20" w:rsidRDefault="00F16672">
            <w:r w:rsidRPr="00BF1A20">
              <w:t>Větší nebo rovna 7,0 a menší než 9,0</w:t>
            </w:r>
          </w:p>
        </w:tc>
        <w:tc>
          <w:tcPr>
            <w:tcW w:w="4132" w:type="dxa"/>
          </w:tcPr>
          <w:p w:rsidR="00F16672" w:rsidRPr="00BF1A20" w:rsidRDefault="00F16672">
            <w:r w:rsidRPr="00BF1A20">
              <w:t>10 pracovních dnů</w:t>
            </w:r>
          </w:p>
        </w:tc>
      </w:tr>
      <w:tr w:rsidR="00F16672" w:rsidRPr="00BF1A20">
        <w:tc>
          <w:tcPr>
            <w:tcW w:w="1512" w:type="dxa"/>
            <w:shd w:val="clear" w:color="auto" w:fill="FF0000"/>
          </w:tcPr>
          <w:p w:rsidR="00F16672" w:rsidRPr="00BF1A20" w:rsidRDefault="00F16672">
            <w:r w:rsidRPr="00BF1A20">
              <w:t>Kritická</w:t>
            </w:r>
          </w:p>
        </w:tc>
        <w:tc>
          <w:tcPr>
            <w:tcW w:w="3919" w:type="dxa"/>
          </w:tcPr>
          <w:p w:rsidR="00F16672" w:rsidRPr="00BF1A20" w:rsidRDefault="00F16672">
            <w:r w:rsidRPr="00BF1A20">
              <w:t>Větší nebo rovna 9,0</w:t>
            </w:r>
          </w:p>
        </w:tc>
        <w:tc>
          <w:tcPr>
            <w:tcW w:w="4132" w:type="dxa"/>
          </w:tcPr>
          <w:p w:rsidR="00F16672" w:rsidRPr="00BF1A20" w:rsidRDefault="00F16672">
            <w:r w:rsidRPr="00BF1A20">
              <w:t>5 pracovních dnů</w:t>
            </w:r>
          </w:p>
        </w:tc>
      </w:tr>
    </w:tbl>
    <w:p w:rsidR="00F16672" w:rsidRPr="00BF1A20" w:rsidRDefault="00F16672">
      <w:pPr>
        <w:spacing w:line="240" w:lineRule="auto"/>
        <w:jc w:val="center"/>
        <w:rPr>
          <w:b/>
          <w:bCs/>
        </w:rPr>
      </w:pPr>
    </w:p>
    <w:p w:rsidR="00F16672" w:rsidRPr="00BF1A20" w:rsidRDefault="00F16672">
      <w:pPr>
        <w:pStyle w:val="Nadpis1"/>
      </w:pPr>
      <w:r w:rsidRPr="00BF1A20">
        <w:t>Sankce a odstoupení od smlouvy</w:t>
      </w:r>
    </w:p>
    <w:p w:rsidR="00F16672" w:rsidRPr="00BF1A20" w:rsidRDefault="00F16672">
      <w:pPr>
        <w:jc w:val="center"/>
        <w:rPr>
          <w:b/>
          <w:bCs/>
        </w:rPr>
      </w:pPr>
    </w:p>
    <w:p w:rsidR="00F16672" w:rsidRPr="00BF1A20" w:rsidRDefault="00F16672">
      <w:pPr>
        <w:pStyle w:val="Odstavecsmlouvy"/>
      </w:pPr>
      <w:r w:rsidRPr="00BF1A20">
        <w:t>Prodávající se zavazuje nahradit Kupujícímu veškerou újmu, která mu vznikne v případě, kdy třetí osoba úspěšně uplatní autorskoprávní nebo jiný nárok vyplývající z právní vady Zboží, Dokladů nebo kterékoli jejich části.</w:t>
      </w:r>
    </w:p>
    <w:p w:rsidR="00F16672" w:rsidRPr="00BF1A20" w:rsidRDefault="00F16672">
      <w:pPr>
        <w:pStyle w:val="Odstavecsmlouvy"/>
        <w:numPr>
          <w:ilvl w:val="0"/>
          <w:numId w:val="0"/>
        </w:numPr>
        <w:ind w:left="567"/>
      </w:pPr>
    </w:p>
    <w:p w:rsidR="00F16672" w:rsidRPr="00BF1A20" w:rsidRDefault="00F16672">
      <w:pPr>
        <w:pStyle w:val="Odstavecsmlouvy"/>
      </w:pPr>
      <w:r w:rsidRPr="00BF1A20">
        <w:t xml:space="preserve">Bude-li Prodávající v prodlení s dodáním Zboží řádně a včas, má Kupující nárok na smluvní pokutu ve výši 1000,- Kč (slovy: jedentisíc korun českých), a to za každý takový případ a za každý započatý den prodlení. </w:t>
      </w:r>
    </w:p>
    <w:p w:rsidR="00F16672" w:rsidRPr="00BF1A20" w:rsidRDefault="00F16672">
      <w:pPr>
        <w:pStyle w:val="Odstavecsmlouvy"/>
        <w:numPr>
          <w:ilvl w:val="0"/>
          <w:numId w:val="0"/>
        </w:numPr>
        <w:ind w:left="567"/>
      </w:pPr>
    </w:p>
    <w:p w:rsidR="00F16672" w:rsidRPr="00BF1A20" w:rsidRDefault="00F16672">
      <w:pPr>
        <w:pStyle w:val="Odstavecsmlouvy"/>
      </w:pPr>
      <w:r w:rsidRPr="00BF1A20">
        <w:t xml:space="preserve">Prodávající je pro případ prodlení se zahájením prací na odstranění Kupujícím oznámených vad Zboží, vad nebo nedodělků Montáže nebo vad dle odst. </w:t>
      </w:r>
      <w:r w:rsidRPr="00BF1A20">
        <w:fldChar w:fldCharType="begin"/>
      </w:r>
      <w:r w:rsidRPr="00BF1A20">
        <w:instrText xml:space="preserve"> REF _Ref98432582 \n \h </w:instrText>
      </w:r>
      <w:r w:rsidR="00BF1A20" w:rsidRPr="00BF1A20">
        <w:instrText xml:space="preserve"> \* MERGEFORMAT </w:instrText>
      </w:r>
      <w:r w:rsidRPr="00BF1A20">
        <w:fldChar w:fldCharType="separate"/>
      </w:r>
      <w:r w:rsidRPr="00BF1A20">
        <w:t>VI.7</w:t>
      </w:r>
      <w:r w:rsidRPr="00BF1A20">
        <w:fldChar w:fldCharType="end"/>
      </w:r>
      <w:r w:rsidRPr="00BF1A20">
        <w:t xml:space="preserve"> této smlouvy povinen uhradit Kupujícímu smluvní pokutu ve výši 1000,- Kč (slovy: jedentisíc korun českých), a to za každý takový případ a za každý pracovní den prodlení. Prodávající je pro případ prodlení s odstraněním Kupujícím oznámených vad Zboží, vad nebo nedodělků Montáže nebo vad dle odst. </w:t>
      </w:r>
      <w:r w:rsidRPr="00BF1A20">
        <w:fldChar w:fldCharType="begin"/>
      </w:r>
      <w:r w:rsidRPr="00BF1A20">
        <w:instrText xml:space="preserve"> REF _Ref98432582 \n \h </w:instrText>
      </w:r>
      <w:r w:rsidR="00BF1A20" w:rsidRPr="00BF1A20">
        <w:instrText xml:space="preserve"> \* MERGEFORMAT </w:instrText>
      </w:r>
      <w:r w:rsidRPr="00BF1A20">
        <w:fldChar w:fldCharType="separate"/>
      </w:r>
      <w:r w:rsidRPr="00BF1A20">
        <w:t>VI.7</w:t>
      </w:r>
      <w:r w:rsidRPr="00BF1A20">
        <w:fldChar w:fldCharType="end"/>
      </w:r>
      <w:r w:rsidRPr="00BF1A20">
        <w:t xml:space="preserve"> této smlouvy povinen uhradit Kupujícímu smluvní pokutu ve výši 1000,- Kč (slovy: jedentisíc korun českých), a to za každý takový případ a za každý pracovní den prodlení.</w:t>
      </w:r>
    </w:p>
    <w:p w:rsidR="00F16672" w:rsidRPr="00BF1A20" w:rsidRDefault="00F16672">
      <w:pPr>
        <w:pStyle w:val="Odstavecsmlouvy"/>
        <w:numPr>
          <w:ilvl w:val="0"/>
          <w:numId w:val="0"/>
        </w:numPr>
        <w:ind w:left="567"/>
      </w:pPr>
    </w:p>
    <w:p w:rsidR="00F16672" w:rsidRPr="00BF1A20" w:rsidRDefault="00F16672">
      <w:pPr>
        <w:pStyle w:val="Odstavecsmlouvy"/>
      </w:pPr>
      <w:r w:rsidRPr="00BF1A20">
        <w:t>Uplatněná či již uhrazená smluvní pokuta nemá vliv na uplatnění nároku Kupujícího na náhradu škody, kterou lze vymáhat samostatně vedle smluvní pokuty v celém rozsahu, tj. částka smluvní pokuty se do výše náhrady škody nezapočítává. Zaplacením smluvní pokuty není dotčena povinnost Prodávajícího splnit závazky vyplývající z této smlouvy.</w:t>
      </w:r>
    </w:p>
    <w:p w:rsidR="00F16672" w:rsidRPr="00BF1A20" w:rsidRDefault="00F16672">
      <w:pPr>
        <w:pStyle w:val="Odstavecsmlouvy"/>
        <w:numPr>
          <w:ilvl w:val="0"/>
          <w:numId w:val="0"/>
        </w:numPr>
        <w:ind w:left="567"/>
      </w:pPr>
    </w:p>
    <w:p w:rsidR="00F16672" w:rsidRPr="00BF1A20" w:rsidRDefault="00F16672">
      <w:pPr>
        <w:pStyle w:val="Odstavecsmlouvy"/>
      </w:pPr>
      <w:r w:rsidRPr="00BF1A20">
        <w:t>Splatnost smluvních pokut je 21 kalendářních dnů po doručení oznámení o uložení smluvní pokuty Prodávajícímu. Kupující si vyhrazuje právo na určení způsobu úhrady smluvní pokuty, a to i formou zápočtu proti kterékoliv splatné pohledávce Prodávajícího za Kupujícím.</w:t>
      </w:r>
    </w:p>
    <w:p w:rsidR="00F16672" w:rsidRPr="00BF1A20" w:rsidRDefault="00F16672">
      <w:pPr>
        <w:pStyle w:val="Odstavecsmlouvy"/>
        <w:numPr>
          <w:ilvl w:val="0"/>
          <w:numId w:val="0"/>
        </w:numPr>
        <w:ind w:left="567"/>
      </w:pPr>
    </w:p>
    <w:p w:rsidR="00F16672" w:rsidRPr="00BF1A20" w:rsidRDefault="00F16672">
      <w:pPr>
        <w:pStyle w:val="Odstavecsmlouvy"/>
      </w:pPr>
      <w:r w:rsidRPr="00BF1A20">
        <w:t xml:space="preserve">Podstatným porušením této smlouvy, které opravňuje Kupujícího k odstoupení od této smlouvy, je rozpor vlastností dodaného Zboží s vlastnostmi Zboží uvedenými v příloze č. 1 této smlouvy nebo s vlastnostmi požadovanými Zadávací dokumentací. Za podstatné porušení této smlouvy, které opravňuje Kupujícího k odstoupení od této smlouvy, se považuje rovněž prodlení Prodávajícího se splněním kterékoli jeho povinnosti sjednané v této smlouvě delší než třicet kalendářních dnů. </w:t>
      </w:r>
    </w:p>
    <w:p w:rsidR="00F16672" w:rsidRPr="00BF1A20" w:rsidRDefault="00F16672">
      <w:pPr>
        <w:jc w:val="center"/>
        <w:rPr>
          <w:b/>
          <w:bCs/>
        </w:rPr>
      </w:pPr>
    </w:p>
    <w:p w:rsidR="00F16672" w:rsidRPr="00BF1A20" w:rsidRDefault="00F16672">
      <w:pPr>
        <w:pStyle w:val="Nadpis1"/>
      </w:pPr>
      <w:r w:rsidRPr="00BF1A20">
        <w:t>Závěrečná ujednání</w:t>
      </w:r>
    </w:p>
    <w:p w:rsidR="00F16672" w:rsidRPr="00BF1A20" w:rsidRDefault="00F16672">
      <w:pPr>
        <w:jc w:val="center"/>
        <w:rPr>
          <w:b/>
          <w:bCs/>
        </w:rPr>
      </w:pPr>
    </w:p>
    <w:p w:rsidR="00F16672" w:rsidRPr="00BF1A20" w:rsidRDefault="00F16672">
      <w:pPr>
        <w:pStyle w:val="Odstavecsmlouvy"/>
      </w:pPr>
      <w:r w:rsidRPr="00BF1A20">
        <w:t>Prodávající s ohledem na povinnosti Kupujícího vyplývající zejména ze zákona č. 340/2015 Sb., zákon o registru smluv, ve znění pozdějších předpisů (dále jen „</w:t>
      </w:r>
      <w:r w:rsidRPr="00BF1A20">
        <w:rPr>
          <w:b/>
          <w:bCs/>
        </w:rPr>
        <w:t>zákon o registru smluv</w:t>
      </w:r>
      <w:r w:rsidRPr="00BF1A20">
        <w:t>“), souhlasí se zveřejněním veškerých informací týkajících se závazkového vztahu založeného mezi Prodávajícím a Kupujícím touto smlouvou, zejména vlastního obsahu této smlouvy. Zveřejnění provede Kupující. Tato smlouva se však v registru smluv neuveřejní v rozsahu, ve kterém je její obsah obchodním tajemstvím.</w:t>
      </w:r>
    </w:p>
    <w:p w:rsidR="00F16672" w:rsidRPr="00BF1A20" w:rsidRDefault="00F16672">
      <w:pPr>
        <w:pStyle w:val="Odstavecsmlouvy"/>
        <w:numPr>
          <w:ilvl w:val="0"/>
          <w:numId w:val="0"/>
        </w:numPr>
        <w:ind w:left="567"/>
      </w:pPr>
    </w:p>
    <w:p w:rsidR="00F16672" w:rsidRPr="00BF1A20" w:rsidRDefault="00F16672">
      <w:pPr>
        <w:pStyle w:val="Odstavecsmlouvy"/>
      </w:pPr>
      <w:r w:rsidRPr="00BF1A20">
        <w:t xml:space="preserve">Tato smlouva nabývá účinnosti </w:t>
      </w:r>
      <w:r w:rsidRPr="00BF1A20">
        <w:rPr>
          <w:b/>
          <w:bCs/>
        </w:rPr>
        <w:t>dnem uveřejnění</w:t>
      </w:r>
      <w:r w:rsidRPr="00BF1A20">
        <w:t xml:space="preserve"> v registru smluv.</w:t>
      </w:r>
    </w:p>
    <w:p w:rsidR="00F16672" w:rsidRPr="00BF1A20" w:rsidRDefault="00F16672">
      <w:pPr>
        <w:pStyle w:val="Odstavecsmlouvy"/>
        <w:numPr>
          <w:ilvl w:val="0"/>
          <w:numId w:val="0"/>
        </w:numPr>
        <w:ind w:left="567"/>
      </w:pPr>
    </w:p>
    <w:p w:rsidR="00F16672" w:rsidRPr="00BF1A20" w:rsidRDefault="00F16672">
      <w:pPr>
        <w:pStyle w:val="Odstavecsmlouvy"/>
      </w:pPr>
      <w:r w:rsidRPr="00BF1A20">
        <w:t xml:space="preserve">Prodávající na sebe přebírá nebezpečí změny okolností dle § 1765 odst. 2 občanského zákoníku. </w:t>
      </w:r>
    </w:p>
    <w:p w:rsidR="00F16672" w:rsidRPr="00BF1A20" w:rsidRDefault="00F16672">
      <w:pPr>
        <w:pStyle w:val="Odstavecsmlouvy"/>
        <w:numPr>
          <w:ilvl w:val="0"/>
          <w:numId w:val="0"/>
        </w:numPr>
        <w:ind w:left="567"/>
      </w:pPr>
    </w:p>
    <w:p w:rsidR="00F16672" w:rsidRPr="00BF1A20" w:rsidRDefault="00F16672">
      <w:pPr>
        <w:pStyle w:val="Odstavecsmlouvy"/>
      </w:pPr>
      <w:r w:rsidRPr="00BF1A20">
        <w:t>Ukončením účinnosti této smlouvy 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smlouvy.</w:t>
      </w:r>
    </w:p>
    <w:p w:rsidR="00F16672" w:rsidRPr="00BF1A20" w:rsidRDefault="00F16672">
      <w:pPr>
        <w:pStyle w:val="Odstavecsmlouvy"/>
        <w:numPr>
          <w:ilvl w:val="0"/>
          <w:numId w:val="0"/>
        </w:numPr>
        <w:ind w:left="567"/>
      </w:pPr>
    </w:p>
    <w:p w:rsidR="00F16672" w:rsidRPr="00BF1A20" w:rsidRDefault="00F16672">
      <w:pPr>
        <w:pStyle w:val="Odstavecsmlouvy"/>
      </w:pPr>
      <w:r w:rsidRPr="00BF1A20">
        <w:t>Osoby podepisující tuto smlouvu jménem Prodávajícího prohlašují, že podle stanov společnosti, společenské smlouvy nebo jiného obdobného organizačního předpisu jsou oprávněny tuto smlouvu podepsat a k platnosti této smlouvy není třeba podpisu jiné osoby.</w:t>
      </w:r>
    </w:p>
    <w:p w:rsidR="00F16672" w:rsidRPr="00BF1A20" w:rsidRDefault="00F16672">
      <w:pPr>
        <w:pStyle w:val="Odstavecsmlouvy"/>
        <w:numPr>
          <w:ilvl w:val="0"/>
          <w:numId w:val="0"/>
        </w:numPr>
        <w:ind w:left="567"/>
      </w:pPr>
    </w:p>
    <w:p w:rsidR="00F16672" w:rsidRPr="00BF1A20" w:rsidRDefault="00F16672">
      <w:pPr>
        <w:pStyle w:val="Odstavecsmlouvy"/>
      </w:pPr>
      <w:r w:rsidRPr="00BF1A20">
        <w:t xml:space="preserve">Prodávající prohlašuje, že se nenachází v úpadku ve smyslu zákona </w:t>
      </w:r>
      <w:r w:rsidRPr="00BF1A20">
        <w:br/>
        <w:t>č. 182/2006 Sb., o úpadku a způsobech jeho řešení (insolvenční zákon), ve znění pozdějších předpisů, zejména není předlužen a je schopen plnit své splatné závazky, přičemž jeho hospodářská situace nevykazuje žádné známky hrozícího úpadku. Prodávající dále prohlašuje, že na jeho majetek nebyl prohlášen konkurs, ani mu nebyla povolena reorganizace, ani vůči němu není vedeno insolvenční řízení.</w:t>
      </w:r>
    </w:p>
    <w:p w:rsidR="00F16672" w:rsidRPr="00BF1A20" w:rsidRDefault="00F16672">
      <w:pPr>
        <w:pStyle w:val="Odstavecsmlouvy"/>
        <w:numPr>
          <w:ilvl w:val="0"/>
          <w:numId w:val="0"/>
        </w:numPr>
        <w:ind w:left="567"/>
      </w:pPr>
    </w:p>
    <w:p w:rsidR="00F16672" w:rsidRPr="00BF1A20" w:rsidRDefault="00F16672">
      <w:pPr>
        <w:pStyle w:val="Odstavecsmlouvy"/>
      </w:pPr>
      <w:r w:rsidRPr="00BF1A20">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F16672" w:rsidRPr="00BF1A20" w:rsidRDefault="00F16672">
      <w:pPr>
        <w:pStyle w:val="Odstavecsmlouvy"/>
        <w:numPr>
          <w:ilvl w:val="0"/>
          <w:numId w:val="0"/>
        </w:numPr>
        <w:ind w:left="567"/>
      </w:pPr>
    </w:p>
    <w:p w:rsidR="00F16672" w:rsidRPr="00BF1A20" w:rsidRDefault="00F16672">
      <w:pPr>
        <w:pStyle w:val="Odstavecsmlouvy"/>
      </w:pPr>
      <w:r w:rsidRPr="00BF1A20">
        <w:t>Jakékoliv změny či doplňky této smlouvy lze činit pouze formou písemných číslovaných dodatků podepsaných oběma smluvními stranami. Odstoupení od této smlouvy lze provést pouze písemnou formou.</w:t>
      </w:r>
    </w:p>
    <w:p w:rsidR="00F16672" w:rsidRPr="00BF1A20" w:rsidRDefault="00F16672">
      <w:pPr>
        <w:pStyle w:val="Odstavecsmlouvy"/>
        <w:numPr>
          <w:ilvl w:val="0"/>
          <w:numId w:val="0"/>
        </w:numPr>
        <w:ind w:left="567"/>
      </w:pPr>
    </w:p>
    <w:p w:rsidR="00F16672" w:rsidRPr="00BF1A20" w:rsidRDefault="00F16672">
      <w:pPr>
        <w:pStyle w:val="Odstavecsmlouvy"/>
      </w:pPr>
      <w:r w:rsidRPr="00BF1A20">
        <w:rPr>
          <w:snapToGrid w:val="0"/>
        </w:rPr>
        <w:t>Tato smlouva je sepsána ve dvou vyhotoveních stejné platnosti a závaznosti, přičemž Prodávající obdrží jedno vyhotovení a Kupující obdrží jedno vyhotovení.</w:t>
      </w:r>
    </w:p>
    <w:p w:rsidR="00F16672" w:rsidRPr="00BF1A20" w:rsidRDefault="00F16672">
      <w:pPr>
        <w:pStyle w:val="Odstavecsmlouvy"/>
        <w:numPr>
          <w:ilvl w:val="0"/>
          <w:numId w:val="0"/>
        </w:numPr>
        <w:ind w:left="567"/>
      </w:pPr>
    </w:p>
    <w:p w:rsidR="00F16672" w:rsidRPr="00BF1A20" w:rsidRDefault="00F16672">
      <w:pPr>
        <w:pStyle w:val="Odstavecsmlouvy"/>
      </w:pPr>
      <w:r w:rsidRPr="00BF1A20">
        <w:t>Nedílnou součástí této smlouvy jsou tyto její přílohy:</w:t>
      </w:r>
    </w:p>
    <w:p w:rsidR="00F16672" w:rsidRPr="00BF1A20" w:rsidRDefault="00F16672">
      <w:pPr>
        <w:pStyle w:val="Odstavecsmlouvy"/>
        <w:numPr>
          <w:ilvl w:val="0"/>
          <w:numId w:val="0"/>
        </w:numPr>
        <w:ind w:left="1416"/>
      </w:pPr>
      <w:r w:rsidRPr="00BF1A20">
        <w:t>Příloha č. 1: Specifikace Zboží a dalších plnění.</w:t>
      </w:r>
    </w:p>
    <w:p w:rsidR="00F16672" w:rsidRPr="00BF1A20" w:rsidRDefault="00F16672">
      <w:pPr>
        <w:pStyle w:val="Odstavecsmlouvy"/>
        <w:numPr>
          <w:ilvl w:val="0"/>
          <w:numId w:val="0"/>
        </w:numPr>
        <w:ind w:left="567"/>
      </w:pPr>
    </w:p>
    <w:p w:rsidR="00F16672" w:rsidRPr="00BF1A20" w:rsidRDefault="00F16672">
      <w:pPr>
        <w:pStyle w:val="Odstavecsmlouvy"/>
      </w:pPr>
      <w:r w:rsidRPr="00BF1A20">
        <w:t>Smluvní strany prohlašují, že se důkladně seznámily s obsahem této smlouvy, kterému zcela rozumí a plně vyjadřuje jejich svobodnou a vážnou vůli.</w:t>
      </w:r>
    </w:p>
    <w:p w:rsidR="00F16672" w:rsidRPr="00BF1A20" w:rsidRDefault="00F1667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2" w:type="dxa"/>
        <w:tblLook w:val="0000" w:firstRow="0" w:lastRow="0" w:firstColumn="0" w:lastColumn="0" w:noHBand="0" w:noVBand="0"/>
      </w:tblPr>
      <w:tblGrid>
        <w:gridCol w:w="4077"/>
        <w:gridCol w:w="1134"/>
        <w:gridCol w:w="4212"/>
      </w:tblGrid>
      <w:tr w:rsidR="00F16672" w:rsidRPr="00BF1A20">
        <w:tc>
          <w:tcPr>
            <w:tcW w:w="4077" w:type="dxa"/>
            <w:tcBorders>
              <w:top w:val="nil"/>
              <w:left w:val="nil"/>
              <w:bottom w:val="nil"/>
              <w:right w:val="nil"/>
            </w:tcBorders>
          </w:tcPr>
          <w:p w:rsidR="00F16672" w:rsidRPr="00BF1A20" w:rsidRDefault="00F16672" w:rsidP="00BF1A20">
            <w:pPr>
              <w:pStyle w:val="slovn"/>
              <w:numPr>
                <w:ilvl w:val="0"/>
                <w:numId w:val="0"/>
              </w:numPr>
              <w:tabs>
                <w:tab w:val="num" w:pos="567"/>
              </w:tabs>
              <w:spacing w:after="0" w:line="280" w:lineRule="atLeast"/>
              <w:jc w:val="left"/>
              <w:rPr>
                <w:sz w:val="22"/>
                <w:szCs w:val="22"/>
              </w:rPr>
            </w:pPr>
            <w:r w:rsidRPr="00BF1A20">
              <w:rPr>
                <w:sz w:val="22"/>
                <w:szCs w:val="22"/>
              </w:rPr>
              <w:t xml:space="preserve">V Brně dne </w:t>
            </w:r>
          </w:p>
        </w:tc>
        <w:tc>
          <w:tcPr>
            <w:tcW w:w="1134" w:type="dxa"/>
            <w:tcBorders>
              <w:top w:val="nil"/>
              <w:left w:val="nil"/>
              <w:bottom w:val="nil"/>
              <w:right w:val="nil"/>
            </w:tcBorders>
          </w:tcPr>
          <w:p w:rsidR="00F16672" w:rsidRPr="00BF1A20" w:rsidRDefault="00F16672">
            <w:pPr>
              <w:pStyle w:val="slovn"/>
              <w:numPr>
                <w:ilvl w:val="0"/>
                <w:numId w:val="0"/>
              </w:numPr>
              <w:tabs>
                <w:tab w:val="num" w:pos="567"/>
              </w:tabs>
              <w:spacing w:after="0" w:line="280" w:lineRule="atLeast"/>
              <w:rPr>
                <w:sz w:val="22"/>
                <w:szCs w:val="22"/>
              </w:rPr>
            </w:pPr>
          </w:p>
        </w:tc>
        <w:tc>
          <w:tcPr>
            <w:tcW w:w="4212" w:type="dxa"/>
            <w:tcBorders>
              <w:top w:val="nil"/>
              <w:left w:val="nil"/>
              <w:bottom w:val="nil"/>
              <w:right w:val="nil"/>
            </w:tcBorders>
          </w:tcPr>
          <w:p w:rsidR="00F16672" w:rsidRPr="00BF1A20" w:rsidRDefault="00F16672">
            <w:pPr>
              <w:pStyle w:val="slovn"/>
              <w:numPr>
                <w:ilvl w:val="0"/>
                <w:numId w:val="0"/>
              </w:numPr>
              <w:tabs>
                <w:tab w:val="num" w:pos="567"/>
              </w:tabs>
              <w:spacing w:after="0" w:line="280" w:lineRule="atLeast"/>
              <w:rPr>
                <w:sz w:val="22"/>
                <w:szCs w:val="22"/>
              </w:rPr>
            </w:pPr>
            <w:r w:rsidRPr="00BF1A20">
              <w:rPr>
                <w:sz w:val="22"/>
                <w:szCs w:val="22"/>
              </w:rPr>
              <w:t>V Brně dne</w:t>
            </w:r>
          </w:p>
        </w:tc>
      </w:tr>
      <w:tr w:rsidR="00F16672" w:rsidRPr="00BF1A20">
        <w:tc>
          <w:tcPr>
            <w:tcW w:w="4077" w:type="dxa"/>
            <w:tcBorders>
              <w:top w:val="nil"/>
              <w:left w:val="nil"/>
              <w:bottom w:val="single" w:sz="4" w:space="0" w:color="auto"/>
              <w:right w:val="nil"/>
            </w:tcBorders>
          </w:tcPr>
          <w:p w:rsidR="00F16672" w:rsidRPr="00BF1A20" w:rsidRDefault="00F16672">
            <w:pPr>
              <w:pStyle w:val="slovn"/>
              <w:numPr>
                <w:ilvl w:val="0"/>
                <w:numId w:val="0"/>
              </w:numPr>
              <w:tabs>
                <w:tab w:val="num" w:pos="567"/>
              </w:tabs>
              <w:spacing w:after="0" w:line="280" w:lineRule="atLeast"/>
              <w:rPr>
                <w:sz w:val="22"/>
                <w:szCs w:val="22"/>
              </w:rPr>
            </w:pPr>
          </w:p>
          <w:p w:rsidR="00F16672" w:rsidRPr="00BF1A20" w:rsidRDefault="00F16672">
            <w:pPr>
              <w:pStyle w:val="slovn"/>
              <w:numPr>
                <w:ilvl w:val="0"/>
                <w:numId w:val="0"/>
              </w:numPr>
              <w:tabs>
                <w:tab w:val="num" w:pos="567"/>
              </w:tabs>
              <w:spacing w:after="0" w:line="280" w:lineRule="atLeast"/>
              <w:rPr>
                <w:sz w:val="22"/>
                <w:szCs w:val="22"/>
              </w:rPr>
            </w:pPr>
          </w:p>
          <w:p w:rsidR="00B175B2" w:rsidRPr="00BF1A20" w:rsidRDefault="00B175B2">
            <w:pPr>
              <w:pStyle w:val="slovn"/>
              <w:numPr>
                <w:ilvl w:val="0"/>
                <w:numId w:val="0"/>
              </w:numPr>
              <w:tabs>
                <w:tab w:val="num" w:pos="567"/>
              </w:tabs>
              <w:spacing w:after="0" w:line="280" w:lineRule="atLeast"/>
              <w:rPr>
                <w:sz w:val="22"/>
                <w:szCs w:val="22"/>
              </w:rPr>
            </w:pPr>
          </w:p>
          <w:p w:rsidR="00B175B2" w:rsidRPr="00BF1A20" w:rsidRDefault="00B175B2">
            <w:pPr>
              <w:pStyle w:val="slovn"/>
              <w:numPr>
                <w:ilvl w:val="0"/>
                <w:numId w:val="0"/>
              </w:numPr>
              <w:tabs>
                <w:tab w:val="num" w:pos="567"/>
              </w:tabs>
              <w:spacing w:after="0" w:line="280" w:lineRule="atLeast"/>
              <w:rPr>
                <w:sz w:val="22"/>
                <w:szCs w:val="22"/>
              </w:rPr>
            </w:pPr>
          </w:p>
          <w:p w:rsidR="00F16672" w:rsidRPr="00BF1A20" w:rsidRDefault="00F16672">
            <w:pPr>
              <w:pStyle w:val="slovn"/>
              <w:numPr>
                <w:ilvl w:val="0"/>
                <w:numId w:val="0"/>
              </w:numPr>
              <w:tabs>
                <w:tab w:val="num" w:pos="567"/>
              </w:tabs>
              <w:spacing w:after="0" w:line="280" w:lineRule="atLeast"/>
              <w:rPr>
                <w:sz w:val="22"/>
                <w:szCs w:val="22"/>
              </w:rPr>
            </w:pPr>
          </w:p>
        </w:tc>
        <w:tc>
          <w:tcPr>
            <w:tcW w:w="1134" w:type="dxa"/>
            <w:tcBorders>
              <w:top w:val="nil"/>
              <w:left w:val="nil"/>
              <w:bottom w:val="nil"/>
              <w:right w:val="nil"/>
            </w:tcBorders>
          </w:tcPr>
          <w:p w:rsidR="00F16672" w:rsidRPr="00BF1A20" w:rsidRDefault="00F16672">
            <w:pPr>
              <w:pStyle w:val="slovn"/>
              <w:numPr>
                <w:ilvl w:val="0"/>
                <w:numId w:val="0"/>
              </w:numPr>
              <w:tabs>
                <w:tab w:val="num" w:pos="567"/>
              </w:tabs>
              <w:spacing w:after="0" w:line="280" w:lineRule="atLeast"/>
              <w:rPr>
                <w:sz w:val="22"/>
                <w:szCs w:val="22"/>
              </w:rPr>
            </w:pPr>
          </w:p>
        </w:tc>
        <w:tc>
          <w:tcPr>
            <w:tcW w:w="4212" w:type="dxa"/>
            <w:tcBorders>
              <w:top w:val="nil"/>
              <w:left w:val="nil"/>
              <w:bottom w:val="single" w:sz="4" w:space="0" w:color="auto"/>
              <w:right w:val="nil"/>
            </w:tcBorders>
          </w:tcPr>
          <w:p w:rsidR="00F16672" w:rsidRPr="00BF1A20" w:rsidRDefault="00F16672">
            <w:pPr>
              <w:pStyle w:val="slovn"/>
              <w:numPr>
                <w:ilvl w:val="0"/>
                <w:numId w:val="0"/>
              </w:numPr>
              <w:tabs>
                <w:tab w:val="num" w:pos="567"/>
              </w:tabs>
              <w:spacing w:after="0" w:line="280" w:lineRule="atLeast"/>
              <w:rPr>
                <w:sz w:val="22"/>
                <w:szCs w:val="22"/>
              </w:rPr>
            </w:pPr>
          </w:p>
        </w:tc>
      </w:tr>
      <w:tr w:rsidR="00F16672" w:rsidRPr="00BF1A20">
        <w:tc>
          <w:tcPr>
            <w:tcW w:w="4077" w:type="dxa"/>
            <w:tcBorders>
              <w:top w:val="single" w:sz="4" w:space="0" w:color="auto"/>
              <w:left w:val="nil"/>
              <w:bottom w:val="nil"/>
              <w:right w:val="nil"/>
            </w:tcBorders>
          </w:tcPr>
          <w:p w:rsidR="00F16672" w:rsidRPr="00BF1A20" w:rsidRDefault="00F16672">
            <w:pPr>
              <w:pStyle w:val="slovn"/>
              <w:numPr>
                <w:ilvl w:val="0"/>
                <w:numId w:val="0"/>
              </w:numPr>
              <w:tabs>
                <w:tab w:val="num" w:pos="567"/>
              </w:tabs>
              <w:spacing w:after="0" w:line="280" w:lineRule="atLeast"/>
              <w:jc w:val="center"/>
              <w:rPr>
                <w:b/>
                <w:bCs/>
                <w:sz w:val="22"/>
                <w:szCs w:val="22"/>
              </w:rPr>
            </w:pPr>
            <w:r w:rsidRPr="00BF1A20">
              <w:rPr>
                <w:b/>
                <w:bCs/>
                <w:sz w:val="22"/>
                <w:szCs w:val="22"/>
              </w:rPr>
              <w:t>Vítězslav Kubáč</w:t>
            </w:r>
          </w:p>
          <w:p w:rsidR="00F16672" w:rsidRPr="00BF1A20" w:rsidRDefault="00F16672">
            <w:pPr>
              <w:pStyle w:val="slovn"/>
              <w:numPr>
                <w:ilvl w:val="0"/>
                <w:numId w:val="0"/>
              </w:numPr>
              <w:tabs>
                <w:tab w:val="num" w:pos="567"/>
              </w:tabs>
              <w:spacing w:after="0" w:line="280" w:lineRule="atLeast"/>
              <w:jc w:val="center"/>
              <w:rPr>
                <w:sz w:val="22"/>
                <w:szCs w:val="22"/>
              </w:rPr>
            </w:pPr>
            <w:r w:rsidRPr="00BF1A20">
              <w:rPr>
                <w:sz w:val="22"/>
                <w:szCs w:val="22"/>
              </w:rPr>
              <w:t>Jednatel společnosti</w:t>
            </w:r>
          </w:p>
        </w:tc>
        <w:tc>
          <w:tcPr>
            <w:tcW w:w="1134" w:type="dxa"/>
            <w:tcBorders>
              <w:top w:val="nil"/>
              <w:left w:val="nil"/>
              <w:bottom w:val="nil"/>
              <w:right w:val="nil"/>
            </w:tcBorders>
          </w:tcPr>
          <w:p w:rsidR="00F16672" w:rsidRPr="00BF1A20" w:rsidRDefault="00F16672">
            <w:pPr>
              <w:pStyle w:val="slovn"/>
              <w:numPr>
                <w:ilvl w:val="0"/>
                <w:numId w:val="0"/>
              </w:numPr>
              <w:tabs>
                <w:tab w:val="num" w:pos="567"/>
              </w:tabs>
              <w:spacing w:after="0" w:line="280" w:lineRule="atLeast"/>
              <w:rPr>
                <w:sz w:val="22"/>
                <w:szCs w:val="22"/>
              </w:rPr>
            </w:pPr>
          </w:p>
        </w:tc>
        <w:tc>
          <w:tcPr>
            <w:tcW w:w="4212" w:type="dxa"/>
            <w:tcBorders>
              <w:top w:val="single" w:sz="4" w:space="0" w:color="auto"/>
              <w:left w:val="nil"/>
              <w:bottom w:val="nil"/>
              <w:right w:val="nil"/>
            </w:tcBorders>
          </w:tcPr>
          <w:p w:rsidR="00F16672" w:rsidRPr="00BF1A20" w:rsidRDefault="00F16672">
            <w:pPr>
              <w:pStyle w:val="slovn"/>
              <w:numPr>
                <w:ilvl w:val="0"/>
                <w:numId w:val="0"/>
              </w:numPr>
              <w:tabs>
                <w:tab w:val="num" w:pos="567"/>
              </w:tabs>
              <w:spacing w:after="0" w:line="280" w:lineRule="atLeast"/>
              <w:jc w:val="center"/>
              <w:rPr>
                <w:b/>
                <w:bCs/>
                <w:sz w:val="22"/>
                <w:szCs w:val="22"/>
              </w:rPr>
            </w:pPr>
            <w:r w:rsidRPr="00BF1A20">
              <w:rPr>
                <w:b/>
                <w:bCs/>
                <w:sz w:val="22"/>
                <w:szCs w:val="22"/>
              </w:rPr>
              <w:t>Fakultní nemocnice Brno</w:t>
            </w:r>
          </w:p>
          <w:p w:rsidR="00F16672" w:rsidRPr="00BF1A20" w:rsidRDefault="00F16672">
            <w:pPr>
              <w:pStyle w:val="slovn"/>
              <w:numPr>
                <w:ilvl w:val="0"/>
                <w:numId w:val="0"/>
              </w:numPr>
              <w:tabs>
                <w:tab w:val="num" w:pos="567"/>
              </w:tabs>
              <w:spacing w:after="0" w:line="280" w:lineRule="atLeast"/>
              <w:jc w:val="center"/>
              <w:rPr>
                <w:sz w:val="22"/>
                <w:szCs w:val="22"/>
              </w:rPr>
            </w:pPr>
            <w:r w:rsidRPr="00BF1A20">
              <w:rPr>
                <w:sz w:val="22"/>
                <w:szCs w:val="22"/>
              </w:rPr>
              <w:t>MUDr. Ivo Rovný, MBA, ředitel</w:t>
            </w:r>
          </w:p>
        </w:tc>
      </w:tr>
    </w:tbl>
    <w:p w:rsidR="00F16672" w:rsidRPr="00BF1A20" w:rsidRDefault="00F16672"/>
    <w:p w:rsidR="00F16672" w:rsidRPr="00BF1A20" w:rsidRDefault="00F16672">
      <w:pPr>
        <w:jc w:val="center"/>
        <w:rPr>
          <w:b/>
          <w:bCs/>
        </w:rPr>
      </w:pPr>
      <w:r w:rsidRPr="00BF1A20">
        <w:br w:type="page"/>
      </w:r>
      <w:r w:rsidRPr="00BF1A20">
        <w:rPr>
          <w:b/>
          <w:bCs/>
        </w:rPr>
        <w:t>PŘÍLOHA Č. 1</w:t>
      </w:r>
    </w:p>
    <w:p w:rsidR="00F16672" w:rsidRPr="00BF1A20" w:rsidRDefault="00F16672">
      <w:pPr>
        <w:jc w:val="center"/>
        <w:rPr>
          <w:b/>
          <w:bCs/>
        </w:rPr>
      </w:pPr>
    </w:p>
    <w:p w:rsidR="00F16672" w:rsidRPr="00BF1A20" w:rsidRDefault="00F16672">
      <w:pPr>
        <w:jc w:val="center"/>
        <w:rPr>
          <w:b/>
          <w:bCs/>
        </w:rPr>
      </w:pPr>
      <w:r w:rsidRPr="00BF1A20">
        <w:rPr>
          <w:b/>
          <w:bCs/>
        </w:rPr>
        <w:t>Specifikace Zboží a dalších plnění</w:t>
      </w:r>
    </w:p>
    <w:p w:rsidR="00F16672" w:rsidRPr="00BF1A20" w:rsidRDefault="00F16672">
      <w:pPr>
        <w:pStyle w:val="Nadpis4"/>
      </w:pPr>
      <w:r w:rsidRPr="00BF1A20">
        <w:t>Specifikace nabízeného Speciálního PC</w:t>
      </w:r>
    </w:p>
    <w:p w:rsidR="00F16672" w:rsidRPr="00BF1A20" w:rsidRDefault="00F16672">
      <w:pPr>
        <w:jc w:val="center"/>
        <w:rPr>
          <w:rFonts w:eastAsia="TimesNewRoman"/>
          <w:b/>
          <w:bCs/>
        </w:rPr>
      </w:pPr>
    </w:p>
    <w:tbl>
      <w:tblPr>
        <w:tblW w:w="10564" w:type="dxa"/>
        <w:tblInd w:w="-13" w:type="dxa"/>
        <w:tblCellMar>
          <w:left w:w="0" w:type="dxa"/>
          <w:right w:w="0" w:type="dxa"/>
        </w:tblCellMar>
        <w:tblLook w:val="0000" w:firstRow="0" w:lastRow="0" w:firstColumn="0" w:lastColumn="0" w:noHBand="0" w:noVBand="0"/>
      </w:tblPr>
      <w:tblGrid>
        <w:gridCol w:w="1139"/>
        <w:gridCol w:w="8285"/>
        <w:gridCol w:w="1140"/>
      </w:tblGrid>
      <w:tr w:rsidR="00F16672" w:rsidRPr="00BF1A20" w:rsidTr="00BF1A20">
        <w:trPr>
          <w:trHeight w:val="255"/>
        </w:trPr>
        <w:tc>
          <w:tcPr>
            <w:tcW w:w="10564" w:type="dxa"/>
            <w:gridSpan w:val="3"/>
            <w:tcBorders>
              <w:top w:val="single" w:sz="8" w:space="0" w:color="auto"/>
              <w:left w:val="single" w:sz="8" w:space="0" w:color="auto"/>
              <w:bottom w:val="nil"/>
              <w:right w:val="single" w:sz="8" w:space="0" w:color="000000"/>
            </w:tcBorders>
            <w:shd w:val="clear" w:color="000000" w:fill="FFFFFF"/>
            <w:noWrap/>
            <w:tcMar>
              <w:top w:w="15" w:type="dxa"/>
              <w:left w:w="15" w:type="dxa"/>
              <w:bottom w:w="0" w:type="dxa"/>
              <w:right w:w="15" w:type="dxa"/>
            </w:tcMar>
            <w:vAlign w:val="center"/>
          </w:tcPr>
          <w:p w:rsidR="00F16672" w:rsidRPr="00BF1A20" w:rsidRDefault="00F16672">
            <w:pPr>
              <w:jc w:val="center"/>
              <w:rPr>
                <w:rFonts w:eastAsia="Arial Unicode MS"/>
                <w:b/>
                <w:bCs/>
              </w:rPr>
            </w:pPr>
            <w:r w:rsidRPr="00BF1A20">
              <w:rPr>
                <w:b/>
                <w:bCs/>
              </w:rPr>
              <w:t>AMD Ryzen™ Threadripper™ PRO 7995WX PC pro FN BRNO</w:t>
            </w:r>
          </w:p>
        </w:tc>
      </w:tr>
      <w:tr w:rsidR="00F16672" w:rsidRPr="00BF1A20" w:rsidTr="00BF1A20">
        <w:trPr>
          <w:trHeight w:val="510"/>
        </w:trPr>
        <w:tc>
          <w:tcPr>
            <w:tcW w:w="1139" w:type="dxa"/>
            <w:tcBorders>
              <w:top w:val="single" w:sz="4" w:space="0" w:color="auto"/>
              <w:left w:val="single" w:sz="8" w:space="0" w:color="auto"/>
              <w:bottom w:val="single" w:sz="4" w:space="0" w:color="auto"/>
              <w:right w:val="single" w:sz="4" w:space="0" w:color="auto"/>
            </w:tcBorders>
            <w:shd w:val="clear" w:color="000000" w:fill="BDC0BF"/>
            <w:tcMar>
              <w:top w:w="15" w:type="dxa"/>
              <w:left w:w="15" w:type="dxa"/>
              <w:bottom w:w="0" w:type="dxa"/>
              <w:right w:w="15" w:type="dxa"/>
            </w:tcMar>
            <w:vAlign w:val="center"/>
          </w:tcPr>
          <w:p w:rsidR="00F16672" w:rsidRPr="00BF1A20" w:rsidRDefault="00F16672">
            <w:pPr>
              <w:jc w:val="center"/>
              <w:rPr>
                <w:rFonts w:eastAsia="Arial Unicode MS"/>
                <w:b/>
                <w:bCs/>
              </w:rPr>
            </w:pPr>
            <w:r w:rsidRPr="00BF1A20">
              <w:rPr>
                <w:b/>
                <w:bCs/>
              </w:rPr>
              <w:t>CENA BEZ DPH</w:t>
            </w:r>
          </w:p>
        </w:tc>
        <w:tc>
          <w:tcPr>
            <w:tcW w:w="8285" w:type="dxa"/>
            <w:tcBorders>
              <w:top w:val="single" w:sz="4" w:space="0" w:color="auto"/>
              <w:left w:val="nil"/>
              <w:bottom w:val="single" w:sz="4" w:space="0" w:color="auto"/>
              <w:right w:val="single" w:sz="4" w:space="0" w:color="auto"/>
            </w:tcBorders>
            <w:shd w:val="clear" w:color="000000" w:fill="BDC0BF"/>
            <w:tcMar>
              <w:top w:w="15" w:type="dxa"/>
              <w:left w:w="15" w:type="dxa"/>
              <w:bottom w:w="0" w:type="dxa"/>
              <w:right w:w="15" w:type="dxa"/>
            </w:tcMar>
            <w:vAlign w:val="center"/>
          </w:tcPr>
          <w:p w:rsidR="00F16672" w:rsidRPr="00BF1A20" w:rsidRDefault="00A03D33">
            <w:pPr>
              <w:jc w:val="center"/>
              <w:rPr>
                <w:rFonts w:eastAsia="Arial Unicode MS"/>
                <w:b/>
                <w:bCs/>
              </w:rPr>
            </w:pPr>
            <w:r>
              <w:rPr>
                <w:b/>
                <w:bCs/>
              </w:rPr>
              <w:t>Komponenty speciá</w:t>
            </w:r>
            <w:r w:rsidR="00F16672" w:rsidRPr="00BF1A20">
              <w:rPr>
                <w:b/>
                <w:bCs/>
              </w:rPr>
              <w:t>lního PC</w:t>
            </w:r>
          </w:p>
        </w:tc>
        <w:tc>
          <w:tcPr>
            <w:tcW w:w="1139" w:type="dxa"/>
            <w:tcBorders>
              <w:top w:val="single" w:sz="4" w:space="0" w:color="auto"/>
              <w:left w:val="nil"/>
              <w:bottom w:val="single" w:sz="4" w:space="0" w:color="auto"/>
              <w:right w:val="single" w:sz="8" w:space="0" w:color="auto"/>
            </w:tcBorders>
            <w:shd w:val="clear" w:color="000000" w:fill="BDC0BF"/>
            <w:tcMar>
              <w:top w:w="15" w:type="dxa"/>
              <w:left w:w="15" w:type="dxa"/>
              <w:bottom w:w="0" w:type="dxa"/>
              <w:right w:w="15" w:type="dxa"/>
            </w:tcMar>
            <w:vAlign w:val="center"/>
          </w:tcPr>
          <w:p w:rsidR="00F16672" w:rsidRPr="00BF1A20" w:rsidRDefault="00F16672">
            <w:pPr>
              <w:jc w:val="center"/>
              <w:rPr>
                <w:rFonts w:eastAsia="Arial Unicode MS"/>
                <w:b/>
                <w:bCs/>
              </w:rPr>
            </w:pPr>
            <w:r w:rsidRPr="00BF1A20">
              <w:rPr>
                <w:b/>
                <w:bCs/>
              </w:rPr>
              <w:t>CELKEM s DPH</w:t>
            </w:r>
          </w:p>
        </w:tc>
      </w:tr>
      <w:tr w:rsidR="00F16672" w:rsidRPr="00BF1A20" w:rsidTr="00BF1A20">
        <w:trPr>
          <w:trHeight w:val="255"/>
        </w:trPr>
        <w:tc>
          <w:tcPr>
            <w:tcW w:w="1139" w:type="dxa"/>
            <w:tcBorders>
              <w:top w:val="nil"/>
              <w:left w:val="single" w:sz="8" w:space="0" w:color="auto"/>
              <w:bottom w:val="single" w:sz="4" w:space="0" w:color="auto"/>
              <w:right w:val="single" w:sz="4" w:space="0" w:color="auto"/>
            </w:tcBorders>
            <w:shd w:val="clear" w:color="000000" w:fill="DBDBDB"/>
            <w:tcMar>
              <w:top w:w="15" w:type="dxa"/>
              <w:left w:w="15" w:type="dxa"/>
              <w:bottom w:w="0" w:type="dxa"/>
              <w:right w:w="15" w:type="dxa"/>
            </w:tcMar>
            <w:vAlign w:val="center"/>
          </w:tcPr>
          <w:p w:rsidR="00F16672" w:rsidRPr="00BF1A20" w:rsidRDefault="00F16672">
            <w:pPr>
              <w:jc w:val="right"/>
              <w:rPr>
                <w:rFonts w:eastAsia="Arial Unicode MS"/>
              </w:rPr>
            </w:pPr>
            <w:r w:rsidRPr="00BF1A20">
              <w:t>4 473,36</w:t>
            </w:r>
          </w:p>
        </w:tc>
        <w:tc>
          <w:tcPr>
            <w:tcW w:w="82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16672" w:rsidRPr="00BF1A20" w:rsidRDefault="00F16672">
            <w:pPr>
              <w:rPr>
                <w:rFonts w:eastAsia="Arial Unicode MS"/>
              </w:rPr>
            </w:pPr>
            <w:r w:rsidRPr="00BF1A20">
              <w:t>ASUS PROART PA602 TG ARGB BLACK skøíò E-ATX</w:t>
            </w:r>
          </w:p>
        </w:tc>
        <w:tc>
          <w:tcPr>
            <w:tcW w:w="113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tcPr>
          <w:p w:rsidR="00F16672" w:rsidRPr="00BF1A20" w:rsidRDefault="00F16672">
            <w:pPr>
              <w:jc w:val="right"/>
              <w:rPr>
                <w:rFonts w:eastAsia="Arial Unicode MS"/>
              </w:rPr>
            </w:pPr>
            <w:r w:rsidRPr="00BF1A20">
              <w:t>5 412,77</w:t>
            </w:r>
          </w:p>
        </w:tc>
      </w:tr>
      <w:tr w:rsidR="00F16672" w:rsidRPr="00BF1A20" w:rsidTr="00BF1A20">
        <w:trPr>
          <w:trHeight w:val="255"/>
        </w:trPr>
        <w:tc>
          <w:tcPr>
            <w:tcW w:w="1139" w:type="dxa"/>
            <w:tcBorders>
              <w:top w:val="nil"/>
              <w:left w:val="single" w:sz="8" w:space="0" w:color="auto"/>
              <w:bottom w:val="single" w:sz="4" w:space="0" w:color="auto"/>
              <w:right w:val="single" w:sz="4" w:space="0" w:color="auto"/>
            </w:tcBorders>
            <w:shd w:val="clear" w:color="000000" w:fill="DBDBDB"/>
            <w:tcMar>
              <w:top w:w="15" w:type="dxa"/>
              <w:left w:w="15" w:type="dxa"/>
              <w:bottom w:w="0" w:type="dxa"/>
              <w:right w:w="15" w:type="dxa"/>
            </w:tcMar>
            <w:vAlign w:val="center"/>
          </w:tcPr>
          <w:p w:rsidR="00F16672" w:rsidRPr="00BF1A20" w:rsidRDefault="00F16672">
            <w:pPr>
              <w:jc w:val="right"/>
              <w:rPr>
                <w:rFonts w:eastAsia="Arial Unicode MS"/>
              </w:rPr>
            </w:pPr>
            <w:r w:rsidRPr="00BF1A20">
              <w:t>10 911,99</w:t>
            </w:r>
          </w:p>
        </w:tc>
        <w:tc>
          <w:tcPr>
            <w:tcW w:w="82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16672" w:rsidRPr="00BF1A20" w:rsidRDefault="00F16672">
            <w:pPr>
              <w:rPr>
                <w:rFonts w:eastAsia="Arial Unicode MS"/>
              </w:rPr>
            </w:pPr>
            <w:r w:rsidRPr="00BF1A20">
              <w:t>Corsair PC zdroj 1600W AX1600i modulární 80+ Titanium 140mm ventilátor</w:t>
            </w:r>
          </w:p>
        </w:tc>
        <w:tc>
          <w:tcPr>
            <w:tcW w:w="113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tcPr>
          <w:p w:rsidR="00F16672" w:rsidRPr="00BF1A20" w:rsidRDefault="00F16672">
            <w:pPr>
              <w:jc w:val="right"/>
              <w:rPr>
                <w:rFonts w:eastAsia="Arial Unicode MS"/>
              </w:rPr>
            </w:pPr>
            <w:r w:rsidRPr="00BF1A20">
              <w:t>13 203,51</w:t>
            </w:r>
          </w:p>
        </w:tc>
      </w:tr>
      <w:tr w:rsidR="00F16672" w:rsidRPr="00BF1A20" w:rsidTr="00BF1A20">
        <w:trPr>
          <w:trHeight w:val="255"/>
        </w:trPr>
        <w:tc>
          <w:tcPr>
            <w:tcW w:w="1139" w:type="dxa"/>
            <w:tcBorders>
              <w:top w:val="nil"/>
              <w:left w:val="single" w:sz="8" w:space="0" w:color="auto"/>
              <w:bottom w:val="single" w:sz="4" w:space="0" w:color="auto"/>
              <w:right w:val="single" w:sz="4" w:space="0" w:color="auto"/>
            </w:tcBorders>
            <w:shd w:val="clear" w:color="000000" w:fill="DBDBDB"/>
            <w:tcMar>
              <w:top w:w="15" w:type="dxa"/>
              <w:left w:w="15" w:type="dxa"/>
              <w:bottom w:w="0" w:type="dxa"/>
              <w:right w:w="15" w:type="dxa"/>
            </w:tcMar>
            <w:vAlign w:val="center"/>
          </w:tcPr>
          <w:p w:rsidR="00F16672" w:rsidRPr="00BF1A20" w:rsidRDefault="00F16672">
            <w:pPr>
              <w:jc w:val="right"/>
              <w:rPr>
                <w:rFonts w:eastAsia="Arial Unicode MS"/>
              </w:rPr>
            </w:pPr>
            <w:r w:rsidRPr="00BF1A20">
              <w:t>246 340,00</w:t>
            </w:r>
          </w:p>
        </w:tc>
        <w:tc>
          <w:tcPr>
            <w:tcW w:w="82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16672" w:rsidRPr="00BF1A20" w:rsidRDefault="00F16672">
            <w:pPr>
              <w:rPr>
                <w:rFonts w:eastAsia="Arial Unicode MS"/>
              </w:rPr>
            </w:pPr>
            <w:r w:rsidRPr="00BF1A20">
              <w:t>AMD Ryzen Threadripper PRO 7995WX (96C/192T 5.1GHz,480MB cache,350W,sTR5) Box</w:t>
            </w:r>
          </w:p>
        </w:tc>
        <w:tc>
          <w:tcPr>
            <w:tcW w:w="113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tcPr>
          <w:p w:rsidR="00F16672" w:rsidRPr="00BF1A20" w:rsidRDefault="00F16672">
            <w:pPr>
              <w:jc w:val="right"/>
              <w:rPr>
                <w:rFonts w:eastAsia="Arial Unicode MS"/>
              </w:rPr>
            </w:pPr>
            <w:r w:rsidRPr="00BF1A20">
              <w:t>298 071,40</w:t>
            </w:r>
          </w:p>
        </w:tc>
      </w:tr>
      <w:tr w:rsidR="00F16672" w:rsidRPr="00BF1A20" w:rsidTr="00BF1A20">
        <w:trPr>
          <w:trHeight w:val="255"/>
        </w:trPr>
        <w:tc>
          <w:tcPr>
            <w:tcW w:w="1139" w:type="dxa"/>
            <w:tcBorders>
              <w:top w:val="nil"/>
              <w:left w:val="single" w:sz="8" w:space="0" w:color="auto"/>
              <w:bottom w:val="single" w:sz="4" w:space="0" w:color="auto"/>
              <w:right w:val="single" w:sz="4" w:space="0" w:color="auto"/>
            </w:tcBorders>
            <w:shd w:val="clear" w:color="000000" w:fill="DBDBDB"/>
            <w:tcMar>
              <w:top w:w="15" w:type="dxa"/>
              <w:left w:w="15" w:type="dxa"/>
              <w:bottom w:w="0" w:type="dxa"/>
              <w:right w:w="15" w:type="dxa"/>
            </w:tcMar>
            <w:vAlign w:val="center"/>
          </w:tcPr>
          <w:p w:rsidR="00F16672" w:rsidRPr="00BF1A20" w:rsidRDefault="00F16672">
            <w:pPr>
              <w:jc w:val="right"/>
              <w:rPr>
                <w:rFonts w:eastAsia="Arial Unicode MS"/>
              </w:rPr>
            </w:pPr>
            <w:r w:rsidRPr="00BF1A20">
              <w:t>28 116,55</w:t>
            </w:r>
          </w:p>
        </w:tc>
        <w:tc>
          <w:tcPr>
            <w:tcW w:w="82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16672" w:rsidRPr="00BF1A20" w:rsidRDefault="00F16672">
            <w:pPr>
              <w:rPr>
                <w:rFonts w:eastAsia="Arial Unicode MS"/>
              </w:rPr>
            </w:pPr>
            <w:r w:rsidRPr="00BF1A20">
              <w:t>ASUS PRO WS WRX90E-SAGE SE DDR5 E-ATX 7xPCIe5.0 RAID 1x10GbL</w:t>
            </w:r>
          </w:p>
        </w:tc>
        <w:tc>
          <w:tcPr>
            <w:tcW w:w="113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tcPr>
          <w:p w:rsidR="00F16672" w:rsidRPr="00BF1A20" w:rsidRDefault="00F16672">
            <w:pPr>
              <w:jc w:val="right"/>
              <w:rPr>
                <w:rFonts w:eastAsia="Arial Unicode MS"/>
              </w:rPr>
            </w:pPr>
            <w:r w:rsidRPr="00BF1A20">
              <w:t>34 021,03</w:t>
            </w:r>
          </w:p>
        </w:tc>
      </w:tr>
      <w:tr w:rsidR="00F16672" w:rsidRPr="00BF1A20" w:rsidTr="00BF1A20">
        <w:trPr>
          <w:trHeight w:val="255"/>
        </w:trPr>
        <w:tc>
          <w:tcPr>
            <w:tcW w:w="1139" w:type="dxa"/>
            <w:tcBorders>
              <w:top w:val="nil"/>
              <w:left w:val="single" w:sz="8" w:space="0" w:color="auto"/>
              <w:bottom w:val="single" w:sz="4" w:space="0" w:color="auto"/>
              <w:right w:val="single" w:sz="4" w:space="0" w:color="auto"/>
            </w:tcBorders>
            <w:shd w:val="clear" w:color="000000" w:fill="DBDBDB"/>
            <w:tcMar>
              <w:top w:w="15" w:type="dxa"/>
              <w:left w:w="15" w:type="dxa"/>
              <w:bottom w:w="0" w:type="dxa"/>
              <w:right w:w="15" w:type="dxa"/>
            </w:tcMar>
            <w:vAlign w:val="center"/>
          </w:tcPr>
          <w:p w:rsidR="00F16672" w:rsidRPr="00BF1A20" w:rsidRDefault="00F16672">
            <w:pPr>
              <w:jc w:val="right"/>
              <w:rPr>
                <w:rFonts w:eastAsia="Arial Unicode MS"/>
              </w:rPr>
            </w:pPr>
            <w:r w:rsidRPr="00BF1A20">
              <w:t>2 953,90</w:t>
            </w:r>
          </w:p>
        </w:tc>
        <w:tc>
          <w:tcPr>
            <w:tcW w:w="82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16672" w:rsidRPr="00BF1A20" w:rsidRDefault="00A03D33">
            <w:pPr>
              <w:rPr>
                <w:rFonts w:eastAsia="Arial Unicode MS"/>
              </w:rPr>
            </w:pPr>
            <w:r>
              <w:t>Noctua vodní/gelový chladič</w:t>
            </w:r>
            <w:r w:rsidR="00F16672" w:rsidRPr="00BF1A20">
              <w:t xml:space="preserve"> TR5-SP6, 4-pin PWM, 1500RPM, 20.6db, 2x 140(120)mm</w:t>
            </w:r>
          </w:p>
        </w:tc>
        <w:tc>
          <w:tcPr>
            <w:tcW w:w="113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tcPr>
          <w:p w:rsidR="00F16672" w:rsidRPr="00BF1A20" w:rsidRDefault="00F16672">
            <w:pPr>
              <w:jc w:val="right"/>
              <w:rPr>
                <w:rFonts w:eastAsia="Arial Unicode MS"/>
              </w:rPr>
            </w:pPr>
            <w:r w:rsidRPr="00BF1A20">
              <w:t>3 574,22</w:t>
            </w:r>
          </w:p>
        </w:tc>
      </w:tr>
      <w:tr w:rsidR="00F16672" w:rsidRPr="00BF1A20" w:rsidTr="00BF1A20">
        <w:trPr>
          <w:trHeight w:val="255"/>
        </w:trPr>
        <w:tc>
          <w:tcPr>
            <w:tcW w:w="1139" w:type="dxa"/>
            <w:tcBorders>
              <w:top w:val="nil"/>
              <w:left w:val="single" w:sz="8" w:space="0" w:color="auto"/>
              <w:bottom w:val="single" w:sz="4" w:space="0" w:color="auto"/>
              <w:right w:val="single" w:sz="4" w:space="0" w:color="auto"/>
            </w:tcBorders>
            <w:shd w:val="clear" w:color="000000" w:fill="DBDBDB"/>
            <w:tcMar>
              <w:top w:w="15" w:type="dxa"/>
              <w:left w:w="15" w:type="dxa"/>
              <w:bottom w:w="0" w:type="dxa"/>
              <w:right w:w="15" w:type="dxa"/>
            </w:tcMar>
            <w:vAlign w:val="center"/>
          </w:tcPr>
          <w:p w:rsidR="00F16672" w:rsidRPr="00BF1A20" w:rsidRDefault="00F16672">
            <w:pPr>
              <w:jc w:val="right"/>
              <w:rPr>
                <w:rFonts w:eastAsia="Arial Unicode MS"/>
              </w:rPr>
            </w:pPr>
            <w:r w:rsidRPr="00BF1A20">
              <w:t>16 355,45</w:t>
            </w:r>
          </w:p>
        </w:tc>
        <w:tc>
          <w:tcPr>
            <w:tcW w:w="82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16672" w:rsidRPr="00BF1A20" w:rsidRDefault="00F16672">
            <w:pPr>
              <w:rPr>
                <w:rFonts w:eastAsia="Arial Unicode MS"/>
              </w:rPr>
            </w:pPr>
            <w:r w:rsidRPr="00BF1A20">
              <w:t>Kingston FURY Renegade Pro DDR5 128GB (8x16GB) DIMM 5600MHz CL28 ECC Reg EXPO</w:t>
            </w:r>
          </w:p>
        </w:tc>
        <w:tc>
          <w:tcPr>
            <w:tcW w:w="113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tcPr>
          <w:p w:rsidR="00F16672" w:rsidRPr="00BF1A20" w:rsidRDefault="00F16672">
            <w:pPr>
              <w:jc w:val="right"/>
              <w:rPr>
                <w:rFonts w:eastAsia="Arial Unicode MS"/>
              </w:rPr>
            </w:pPr>
            <w:r w:rsidRPr="00BF1A20">
              <w:t>19 790,09</w:t>
            </w:r>
          </w:p>
        </w:tc>
      </w:tr>
      <w:tr w:rsidR="00F16672" w:rsidRPr="00BF1A20" w:rsidTr="00BF1A20">
        <w:trPr>
          <w:trHeight w:val="255"/>
        </w:trPr>
        <w:tc>
          <w:tcPr>
            <w:tcW w:w="1139" w:type="dxa"/>
            <w:tcBorders>
              <w:top w:val="nil"/>
              <w:left w:val="single" w:sz="8" w:space="0" w:color="auto"/>
              <w:bottom w:val="single" w:sz="4" w:space="0" w:color="auto"/>
              <w:right w:val="single" w:sz="4" w:space="0" w:color="auto"/>
            </w:tcBorders>
            <w:shd w:val="clear" w:color="000000" w:fill="DBDBDB"/>
            <w:tcMar>
              <w:top w:w="15" w:type="dxa"/>
              <w:left w:w="15" w:type="dxa"/>
              <w:bottom w:w="0" w:type="dxa"/>
              <w:right w:w="15" w:type="dxa"/>
            </w:tcMar>
            <w:vAlign w:val="center"/>
          </w:tcPr>
          <w:p w:rsidR="00F16672" w:rsidRPr="00BF1A20" w:rsidRDefault="00F16672">
            <w:pPr>
              <w:jc w:val="right"/>
              <w:rPr>
                <w:rFonts w:eastAsia="Arial Unicode MS"/>
              </w:rPr>
            </w:pPr>
            <w:r w:rsidRPr="00BF1A20">
              <w:t>3 877,13</w:t>
            </w:r>
          </w:p>
        </w:tc>
        <w:tc>
          <w:tcPr>
            <w:tcW w:w="82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16672" w:rsidRPr="00BF1A20" w:rsidRDefault="00F16672">
            <w:pPr>
              <w:rPr>
                <w:rFonts w:eastAsia="Arial Unicode MS"/>
              </w:rPr>
            </w:pPr>
            <w:r w:rsidRPr="00BF1A20">
              <w:t>Samsung SSD 2TB 990 PRO PCIe Gen 4.0 x4, NVMe 2.0 (è/z: 7450/6900MB/s)</w:t>
            </w:r>
          </w:p>
        </w:tc>
        <w:tc>
          <w:tcPr>
            <w:tcW w:w="113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tcPr>
          <w:p w:rsidR="00F16672" w:rsidRPr="00BF1A20" w:rsidRDefault="00F16672">
            <w:pPr>
              <w:jc w:val="right"/>
              <w:rPr>
                <w:rFonts w:eastAsia="Arial Unicode MS"/>
              </w:rPr>
            </w:pPr>
            <w:r w:rsidRPr="00BF1A20">
              <w:t>4 691,33</w:t>
            </w:r>
          </w:p>
        </w:tc>
      </w:tr>
      <w:tr w:rsidR="00F16672" w:rsidRPr="00BF1A20" w:rsidTr="00BF1A20">
        <w:trPr>
          <w:trHeight w:val="255"/>
        </w:trPr>
        <w:tc>
          <w:tcPr>
            <w:tcW w:w="1139" w:type="dxa"/>
            <w:tcBorders>
              <w:top w:val="nil"/>
              <w:left w:val="single" w:sz="8" w:space="0" w:color="auto"/>
              <w:bottom w:val="single" w:sz="4" w:space="0" w:color="auto"/>
              <w:right w:val="single" w:sz="4" w:space="0" w:color="auto"/>
            </w:tcBorders>
            <w:shd w:val="clear" w:color="000000" w:fill="DBDBDB"/>
            <w:tcMar>
              <w:top w:w="15" w:type="dxa"/>
              <w:left w:w="15" w:type="dxa"/>
              <w:bottom w:w="0" w:type="dxa"/>
              <w:right w:w="15" w:type="dxa"/>
            </w:tcMar>
            <w:vAlign w:val="center"/>
          </w:tcPr>
          <w:p w:rsidR="00F16672" w:rsidRPr="00BF1A20" w:rsidRDefault="00F16672">
            <w:pPr>
              <w:jc w:val="right"/>
              <w:rPr>
                <w:rFonts w:eastAsia="Arial Unicode MS"/>
              </w:rPr>
            </w:pPr>
            <w:r w:rsidRPr="00BF1A20">
              <w:t>3 877,13</w:t>
            </w:r>
          </w:p>
        </w:tc>
        <w:tc>
          <w:tcPr>
            <w:tcW w:w="82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16672" w:rsidRPr="00BF1A20" w:rsidRDefault="00F16672">
            <w:pPr>
              <w:rPr>
                <w:rFonts w:eastAsia="Arial Unicode MS"/>
              </w:rPr>
            </w:pPr>
            <w:r w:rsidRPr="00BF1A20">
              <w:t>Samsung SSD 2TB 990 PRO PCIe Gen 4.0 x4, NVMe 2.0 (è/z: 7450/6900MB/s)</w:t>
            </w:r>
          </w:p>
        </w:tc>
        <w:tc>
          <w:tcPr>
            <w:tcW w:w="113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tcPr>
          <w:p w:rsidR="00F16672" w:rsidRPr="00BF1A20" w:rsidRDefault="00F16672">
            <w:pPr>
              <w:jc w:val="right"/>
              <w:rPr>
                <w:rFonts w:eastAsia="Arial Unicode MS"/>
              </w:rPr>
            </w:pPr>
            <w:r w:rsidRPr="00BF1A20">
              <w:t>4 691,33</w:t>
            </w:r>
          </w:p>
        </w:tc>
      </w:tr>
      <w:tr w:rsidR="00F16672" w:rsidRPr="00BF1A20" w:rsidTr="00BF1A20">
        <w:trPr>
          <w:trHeight w:val="255"/>
        </w:trPr>
        <w:tc>
          <w:tcPr>
            <w:tcW w:w="1139" w:type="dxa"/>
            <w:tcBorders>
              <w:top w:val="nil"/>
              <w:left w:val="single" w:sz="8" w:space="0" w:color="auto"/>
              <w:bottom w:val="single" w:sz="4" w:space="0" w:color="auto"/>
              <w:right w:val="single" w:sz="4" w:space="0" w:color="auto"/>
            </w:tcBorders>
            <w:shd w:val="clear" w:color="000000" w:fill="DBDBDB"/>
            <w:tcMar>
              <w:top w:w="15" w:type="dxa"/>
              <w:left w:w="15" w:type="dxa"/>
              <w:bottom w:w="0" w:type="dxa"/>
              <w:right w:w="15" w:type="dxa"/>
            </w:tcMar>
            <w:vAlign w:val="center"/>
          </w:tcPr>
          <w:p w:rsidR="00F16672" w:rsidRPr="00BF1A20" w:rsidRDefault="00F16672">
            <w:pPr>
              <w:jc w:val="right"/>
              <w:rPr>
                <w:rFonts w:eastAsia="Arial Unicode MS"/>
              </w:rPr>
            </w:pPr>
            <w:r w:rsidRPr="00BF1A20">
              <w:t>3 454,21</w:t>
            </w:r>
          </w:p>
        </w:tc>
        <w:tc>
          <w:tcPr>
            <w:tcW w:w="82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16672" w:rsidRPr="00BF1A20" w:rsidRDefault="00F16672">
            <w:pPr>
              <w:rPr>
                <w:rFonts w:eastAsia="Arial Unicode MS"/>
              </w:rPr>
            </w:pPr>
            <w:r w:rsidRPr="00BF1A20">
              <w:t>WD GOLD WD4003FRYZ 4TB SATA/ 6Gb/s 256MB cache 7200 ot., CMR, Enterprise</w:t>
            </w:r>
          </w:p>
        </w:tc>
        <w:tc>
          <w:tcPr>
            <w:tcW w:w="113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tcPr>
          <w:p w:rsidR="00F16672" w:rsidRPr="00BF1A20" w:rsidRDefault="00F16672">
            <w:pPr>
              <w:jc w:val="right"/>
              <w:rPr>
                <w:rFonts w:eastAsia="Arial Unicode MS"/>
              </w:rPr>
            </w:pPr>
            <w:r w:rsidRPr="00BF1A20">
              <w:t>4 179,59</w:t>
            </w:r>
          </w:p>
        </w:tc>
      </w:tr>
      <w:tr w:rsidR="00F16672" w:rsidRPr="00BF1A20" w:rsidTr="00BF1A20">
        <w:trPr>
          <w:trHeight w:val="510"/>
        </w:trPr>
        <w:tc>
          <w:tcPr>
            <w:tcW w:w="1139" w:type="dxa"/>
            <w:tcBorders>
              <w:top w:val="nil"/>
              <w:left w:val="single" w:sz="8" w:space="0" w:color="auto"/>
              <w:bottom w:val="single" w:sz="4" w:space="0" w:color="auto"/>
              <w:right w:val="single" w:sz="4" w:space="0" w:color="auto"/>
            </w:tcBorders>
            <w:shd w:val="clear" w:color="000000" w:fill="DBDBDB"/>
            <w:tcMar>
              <w:top w:w="15" w:type="dxa"/>
              <w:left w:w="15" w:type="dxa"/>
              <w:bottom w:w="0" w:type="dxa"/>
              <w:right w:w="15" w:type="dxa"/>
            </w:tcMar>
            <w:vAlign w:val="center"/>
          </w:tcPr>
          <w:p w:rsidR="00F16672" w:rsidRPr="00BF1A20" w:rsidRDefault="00F16672">
            <w:pPr>
              <w:jc w:val="right"/>
              <w:rPr>
                <w:rFonts w:eastAsia="Arial Unicode MS"/>
              </w:rPr>
            </w:pPr>
            <w:r w:rsidRPr="00BF1A20">
              <w:t>12 659,26</w:t>
            </w:r>
          </w:p>
        </w:tc>
        <w:tc>
          <w:tcPr>
            <w:tcW w:w="82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16672" w:rsidRPr="00BF1A20" w:rsidRDefault="00F16672">
            <w:pPr>
              <w:rPr>
                <w:rFonts w:eastAsia="Arial Unicode MS"/>
              </w:rPr>
            </w:pPr>
            <w:r w:rsidRPr="00BF1A20">
              <w:t>INNO3D NVIDIA GEFORCE RTX 4070 TWIN X2 12GB GDDR6X 192bit, 2475 MHz / 21Gbps, 3x DP, 1x HDMI, 2x Fan, 2 slots</w:t>
            </w:r>
          </w:p>
        </w:tc>
        <w:tc>
          <w:tcPr>
            <w:tcW w:w="113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tcPr>
          <w:p w:rsidR="00F16672" w:rsidRPr="00BF1A20" w:rsidRDefault="00F16672">
            <w:pPr>
              <w:jc w:val="right"/>
              <w:rPr>
                <w:rFonts w:eastAsia="Arial Unicode MS"/>
              </w:rPr>
            </w:pPr>
            <w:r w:rsidRPr="00BF1A20">
              <w:t>15 317,70</w:t>
            </w:r>
          </w:p>
        </w:tc>
      </w:tr>
      <w:tr w:rsidR="00F16672" w:rsidRPr="00BF1A20" w:rsidTr="00BF1A20">
        <w:trPr>
          <w:trHeight w:val="510"/>
        </w:trPr>
        <w:tc>
          <w:tcPr>
            <w:tcW w:w="1139" w:type="dxa"/>
            <w:tcBorders>
              <w:top w:val="nil"/>
              <w:left w:val="single" w:sz="8" w:space="0" w:color="auto"/>
              <w:bottom w:val="single" w:sz="4" w:space="0" w:color="auto"/>
              <w:right w:val="single" w:sz="4" w:space="0" w:color="auto"/>
            </w:tcBorders>
            <w:shd w:val="clear" w:color="000000" w:fill="DBDBDB"/>
            <w:tcMar>
              <w:top w:w="15" w:type="dxa"/>
              <w:left w:w="15" w:type="dxa"/>
              <w:bottom w:w="0" w:type="dxa"/>
              <w:right w:w="15" w:type="dxa"/>
            </w:tcMar>
            <w:vAlign w:val="center"/>
          </w:tcPr>
          <w:p w:rsidR="00F16672" w:rsidRPr="00BF1A20" w:rsidRDefault="00F16672">
            <w:pPr>
              <w:jc w:val="right"/>
              <w:rPr>
                <w:rFonts w:eastAsia="Arial Unicode MS"/>
              </w:rPr>
            </w:pPr>
            <w:r w:rsidRPr="00BF1A20">
              <w:t>7 440,34</w:t>
            </w:r>
          </w:p>
        </w:tc>
        <w:tc>
          <w:tcPr>
            <w:tcW w:w="82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16672" w:rsidRPr="00BF1A20" w:rsidRDefault="00F16672">
            <w:pPr>
              <w:rPr>
                <w:rFonts w:eastAsia="Arial Unicode MS"/>
              </w:rPr>
            </w:pPr>
            <w:r w:rsidRPr="00BF1A20">
              <w:t>LG MT IPS LCD LED 31,5" 32UN650P - IPS panel, 3840x2160, 2xHDMI, DP, repro, vysk. Stavitelny</w:t>
            </w:r>
          </w:p>
        </w:tc>
        <w:tc>
          <w:tcPr>
            <w:tcW w:w="113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tcPr>
          <w:p w:rsidR="00F16672" w:rsidRPr="00BF1A20" w:rsidRDefault="00F16672">
            <w:pPr>
              <w:jc w:val="right"/>
              <w:rPr>
                <w:rFonts w:eastAsia="Arial Unicode MS"/>
              </w:rPr>
            </w:pPr>
            <w:r w:rsidRPr="00BF1A20">
              <w:t>9 002,81</w:t>
            </w:r>
          </w:p>
        </w:tc>
      </w:tr>
      <w:tr w:rsidR="00F16672" w:rsidRPr="00BF1A20" w:rsidTr="00BF1A20">
        <w:trPr>
          <w:trHeight w:val="255"/>
        </w:trPr>
        <w:tc>
          <w:tcPr>
            <w:tcW w:w="1139" w:type="dxa"/>
            <w:tcBorders>
              <w:top w:val="nil"/>
              <w:left w:val="single" w:sz="8" w:space="0" w:color="auto"/>
              <w:bottom w:val="single" w:sz="4" w:space="0" w:color="auto"/>
              <w:right w:val="single" w:sz="4" w:space="0" w:color="auto"/>
            </w:tcBorders>
            <w:shd w:val="clear" w:color="000000" w:fill="DBDBDB"/>
            <w:tcMar>
              <w:top w:w="15" w:type="dxa"/>
              <w:left w:w="15" w:type="dxa"/>
              <w:bottom w:w="0" w:type="dxa"/>
              <w:right w:w="15" w:type="dxa"/>
            </w:tcMar>
            <w:vAlign w:val="center"/>
          </w:tcPr>
          <w:p w:rsidR="00F16672" w:rsidRPr="00BF1A20" w:rsidRDefault="00F16672">
            <w:pPr>
              <w:jc w:val="right"/>
              <w:rPr>
                <w:rFonts w:eastAsia="Arial Unicode MS"/>
              </w:rPr>
            </w:pPr>
            <w:r w:rsidRPr="00BF1A20">
              <w:t>1 297,10</w:t>
            </w:r>
          </w:p>
        </w:tc>
        <w:tc>
          <w:tcPr>
            <w:tcW w:w="82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16672" w:rsidRPr="00BF1A20" w:rsidRDefault="00F16672">
            <w:pPr>
              <w:rPr>
                <w:rFonts w:eastAsia="Arial Unicode MS"/>
              </w:rPr>
            </w:pPr>
            <w:r w:rsidRPr="00BF1A20">
              <w:t>Logitech Wireless Combo MK540 Advanced CZ</w:t>
            </w:r>
          </w:p>
        </w:tc>
        <w:tc>
          <w:tcPr>
            <w:tcW w:w="113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tcPr>
          <w:p w:rsidR="00F16672" w:rsidRPr="00BF1A20" w:rsidRDefault="00F16672">
            <w:pPr>
              <w:jc w:val="right"/>
              <w:rPr>
                <w:rFonts w:eastAsia="Arial Unicode MS"/>
              </w:rPr>
            </w:pPr>
            <w:r w:rsidRPr="00BF1A20">
              <w:t>1 569,49</w:t>
            </w:r>
          </w:p>
        </w:tc>
      </w:tr>
      <w:tr w:rsidR="00F16672" w:rsidRPr="00BF1A20" w:rsidTr="00BF1A20">
        <w:trPr>
          <w:trHeight w:val="255"/>
        </w:trPr>
        <w:tc>
          <w:tcPr>
            <w:tcW w:w="1139" w:type="dxa"/>
            <w:tcBorders>
              <w:top w:val="nil"/>
              <w:left w:val="single" w:sz="8" w:space="0" w:color="auto"/>
              <w:bottom w:val="single" w:sz="4" w:space="0" w:color="auto"/>
              <w:right w:val="single" w:sz="4" w:space="0" w:color="auto"/>
            </w:tcBorders>
            <w:shd w:val="clear" w:color="000000" w:fill="DBDBDB"/>
            <w:tcMar>
              <w:top w:w="15" w:type="dxa"/>
              <w:left w:w="15" w:type="dxa"/>
              <w:bottom w:w="0" w:type="dxa"/>
              <w:right w:w="15" w:type="dxa"/>
            </w:tcMar>
            <w:vAlign w:val="center"/>
          </w:tcPr>
          <w:p w:rsidR="00F16672" w:rsidRPr="00BF1A20" w:rsidRDefault="00F16672">
            <w:pPr>
              <w:jc w:val="right"/>
              <w:rPr>
                <w:rFonts w:eastAsia="Arial Unicode MS"/>
              </w:rPr>
            </w:pPr>
            <w:r w:rsidRPr="00BF1A20">
              <w:t>3 349,57</w:t>
            </w:r>
          </w:p>
        </w:tc>
        <w:tc>
          <w:tcPr>
            <w:tcW w:w="82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16672" w:rsidRPr="00BF1A20" w:rsidRDefault="00F16672">
            <w:pPr>
              <w:rPr>
                <w:rFonts w:eastAsia="Arial Unicode MS"/>
              </w:rPr>
            </w:pPr>
            <w:r w:rsidRPr="00BF1A20">
              <w:t>Microsoft Windows 11 PRO CZ OEM</w:t>
            </w:r>
          </w:p>
        </w:tc>
        <w:tc>
          <w:tcPr>
            <w:tcW w:w="113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tcPr>
          <w:p w:rsidR="00F16672" w:rsidRPr="00BF1A20" w:rsidRDefault="00F16672">
            <w:pPr>
              <w:jc w:val="right"/>
              <w:rPr>
                <w:rFonts w:eastAsia="Arial Unicode MS"/>
              </w:rPr>
            </w:pPr>
            <w:r w:rsidRPr="00BF1A20">
              <w:t>4 052,98</w:t>
            </w:r>
          </w:p>
        </w:tc>
      </w:tr>
      <w:tr w:rsidR="00F16672" w:rsidRPr="00BF1A20" w:rsidTr="00BF1A20">
        <w:trPr>
          <w:trHeight w:val="255"/>
        </w:trPr>
        <w:tc>
          <w:tcPr>
            <w:tcW w:w="1139" w:type="dxa"/>
            <w:tcBorders>
              <w:top w:val="nil"/>
              <w:left w:val="single" w:sz="8" w:space="0" w:color="auto"/>
              <w:bottom w:val="single" w:sz="4" w:space="0" w:color="auto"/>
              <w:right w:val="single" w:sz="4" w:space="0" w:color="auto"/>
            </w:tcBorders>
            <w:shd w:val="clear" w:color="000000" w:fill="DBDBDB"/>
            <w:tcMar>
              <w:top w:w="15" w:type="dxa"/>
              <w:left w:w="15" w:type="dxa"/>
              <w:bottom w:w="0" w:type="dxa"/>
              <w:right w:w="15" w:type="dxa"/>
            </w:tcMar>
            <w:vAlign w:val="center"/>
          </w:tcPr>
          <w:p w:rsidR="00F16672" w:rsidRPr="00BF1A20" w:rsidRDefault="00F16672">
            <w:pPr>
              <w:jc w:val="right"/>
              <w:rPr>
                <w:rFonts w:eastAsia="Arial Unicode MS"/>
              </w:rPr>
            </w:pPr>
            <w:r w:rsidRPr="00BF1A20">
              <w:t>500,01</w:t>
            </w:r>
          </w:p>
        </w:tc>
        <w:tc>
          <w:tcPr>
            <w:tcW w:w="82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16672" w:rsidRPr="00BF1A20" w:rsidRDefault="00F16672">
            <w:pPr>
              <w:rPr>
                <w:rFonts w:eastAsia="Arial Unicode MS"/>
              </w:rPr>
            </w:pPr>
            <w:r w:rsidRPr="00BF1A20">
              <w:t>Sestavení, zahoøení, instalace Wind</w:t>
            </w:r>
            <w:r w:rsidR="00A03D33">
              <w:t>ows, driverù, dovoz na místo urč</w:t>
            </w:r>
            <w:r w:rsidRPr="00BF1A20">
              <w:t>ení zadavatelem</w:t>
            </w:r>
          </w:p>
        </w:tc>
        <w:tc>
          <w:tcPr>
            <w:tcW w:w="1139"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vAlign w:val="center"/>
          </w:tcPr>
          <w:p w:rsidR="00F16672" w:rsidRPr="00BF1A20" w:rsidRDefault="00F16672">
            <w:pPr>
              <w:jc w:val="right"/>
              <w:rPr>
                <w:rFonts w:eastAsia="Arial Unicode MS"/>
              </w:rPr>
            </w:pPr>
            <w:r w:rsidRPr="00BF1A20">
              <w:t>605,01</w:t>
            </w:r>
          </w:p>
        </w:tc>
      </w:tr>
      <w:tr w:rsidR="00F16672" w:rsidRPr="00BF1A20" w:rsidTr="00BF1A20">
        <w:trPr>
          <w:trHeight w:val="270"/>
        </w:trPr>
        <w:tc>
          <w:tcPr>
            <w:tcW w:w="1139" w:type="dxa"/>
            <w:tcBorders>
              <w:top w:val="nil"/>
              <w:left w:val="single" w:sz="8" w:space="0" w:color="auto"/>
              <w:bottom w:val="single" w:sz="8" w:space="0" w:color="auto"/>
              <w:right w:val="single" w:sz="4" w:space="0" w:color="auto"/>
            </w:tcBorders>
            <w:shd w:val="clear" w:color="000000" w:fill="DBDBDB"/>
            <w:tcMar>
              <w:top w:w="15" w:type="dxa"/>
              <w:left w:w="15" w:type="dxa"/>
              <w:bottom w:w="0" w:type="dxa"/>
              <w:right w:w="15" w:type="dxa"/>
            </w:tcMar>
            <w:vAlign w:val="center"/>
          </w:tcPr>
          <w:p w:rsidR="00F16672" w:rsidRPr="00BF1A20" w:rsidRDefault="00F16672">
            <w:pPr>
              <w:jc w:val="right"/>
              <w:rPr>
                <w:rFonts w:eastAsia="Arial Unicode MS"/>
                <w:b/>
                <w:bCs/>
              </w:rPr>
            </w:pPr>
            <w:r w:rsidRPr="00BF1A20">
              <w:rPr>
                <w:b/>
                <w:bCs/>
              </w:rPr>
              <w:t>345 606,00</w:t>
            </w:r>
          </w:p>
        </w:tc>
        <w:tc>
          <w:tcPr>
            <w:tcW w:w="8285" w:type="dxa"/>
            <w:tcBorders>
              <w:top w:val="nil"/>
              <w:left w:val="nil"/>
              <w:bottom w:val="single" w:sz="8" w:space="0" w:color="auto"/>
              <w:right w:val="single" w:sz="4" w:space="0" w:color="auto"/>
            </w:tcBorders>
            <w:shd w:val="clear" w:color="000000" w:fill="DBDBDB"/>
            <w:tcMar>
              <w:top w:w="15" w:type="dxa"/>
              <w:left w:w="15" w:type="dxa"/>
              <w:bottom w:w="0" w:type="dxa"/>
              <w:right w:w="15" w:type="dxa"/>
            </w:tcMar>
            <w:vAlign w:val="center"/>
          </w:tcPr>
          <w:p w:rsidR="00F16672" w:rsidRPr="00BF1A20" w:rsidRDefault="00A03D33">
            <w:pPr>
              <w:rPr>
                <w:rFonts w:eastAsia="Arial Unicode MS"/>
                <w:b/>
                <w:bCs/>
              </w:rPr>
            </w:pPr>
            <w:r>
              <w:rPr>
                <w:b/>
                <w:bCs/>
              </w:rPr>
              <w:t>CELKEM Souč</w:t>
            </w:r>
            <w:r w:rsidR="00F16672" w:rsidRPr="00BF1A20">
              <w:rPr>
                <w:b/>
                <w:bCs/>
              </w:rPr>
              <w:t>et &lt;—- bez DPH                                                            S DPH —-&gt;</w:t>
            </w:r>
          </w:p>
        </w:tc>
        <w:tc>
          <w:tcPr>
            <w:tcW w:w="1139" w:type="dxa"/>
            <w:tcBorders>
              <w:top w:val="nil"/>
              <w:left w:val="nil"/>
              <w:bottom w:val="single" w:sz="8" w:space="0" w:color="auto"/>
              <w:right w:val="single" w:sz="8" w:space="0" w:color="auto"/>
            </w:tcBorders>
            <w:shd w:val="clear" w:color="000000" w:fill="DBDBDB"/>
            <w:tcMar>
              <w:top w:w="15" w:type="dxa"/>
              <w:left w:w="15" w:type="dxa"/>
              <w:bottom w:w="0" w:type="dxa"/>
              <w:right w:w="15" w:type="dxa"/>
            </w:tcMar>
            <w:vAlign w:val="center"/>
          </w:tcPr>
          <w:p w:rsidR="00F16672" w:rsidRPr="00BF1A20" w:rsidRDefault="00F16672">
            <w:pPr>
              <w:jc w:val="right"/>
              <w:rPr>
                <w:rFonts w:eastAsia="Arial Unicode MS"/>
                <w:b/>
                <w:bCs/>
              </w:rPr>
            </w:pPr>
            <w:r w:rsidRPr="00BF1A20">
              <w:rPr>
                <w:b/>
                <w:bCs/>
              </w:rPr>
              <w:t>418 183,00</w:t>
            </w:r>
          </w:p>
        </w:tc>
      </w:tr>
    </w:tbl>
    <w:p w:rsidR="00F16672" w:rsidRPr="00BF1A20" w:rsidRDefault="00F16672">
      <w:pPr>
        <w:rPr>
          <w:rFonts w:eastAsia="TimesNewRoman"/>
          <w:b/>
          <w:bCs/>
        </w:rPr>
      </w:pPr>
    </w:p>
    <w:p w:rsidR="00F16672" w:rsidRPr="00BF1A20" w:rsidRDefault="00F16672">
      <w:pPr>
        <w:rPr>
          <w:rFonts w:eastAsia="TimesNewRoman"/>
          <w:b/>
          <w:bCs/>
        </w:rPr>
      </w:pPr>
      <w:r w:rsidRPr="00BF1A20">
        <w:rPr>
          <w:rFonts w:eastAsia="TimesNewRoman"/>
          <w:b/>
          <w:bCs/>
        </w:rPr>
        <w:t>Dodatečné upřesňující technické informace ke specifikaci nabízeného speciálního PC:</w:t>
      </w:r>
    </w:p>
    <w:p w:rsidR="00F16672" w:rsidRPr="00BF1A20" w:rsidRDefault="00F16672">
      <w:pPr>
        <w:pStyle w:val="Prosttext"/>
        <w:numPr>
          <w:ilvl w:val="0"/>
          <w:numId w:val="23"/>
        </w:numPr>
        <w:rPr>
          <w:rFonts w:ascii="Arial" w:eastAsia="TimesNewRoman" w:hAnsi="Arial" w:cs="Arial"/>
        </w:rPr>
      </w:pPr>
      <w:r w:rsidRPr="00BF1A20">
        <w:rPr>
          <w:rFonts w:ascii="Arial" w:eastAsia="TimesNewRoman" w:hAnsi="Arial" w:cs="Arial"/>
        </w:rPr>
        <w:t>použitý zdroj je silnější, než byl požadovaný, nicméně, aktuálně se 1500W zdroje již nevyrábí, je to jeden z nejkvalitnějších zdrojů aktuálně na trhu;</w:t>
      </w:r>
    </w:p>
    <w:p w:rsidR="00F16672" w:rsidRPr="00BF1A20" w:rsidRDefault="00F16672">
      <w:pPr>
        <w:pStyle w:val="Prosttext"/>
        <w:numPr>
          <w:ilvl w:val="0"/>
          <w:numId w:val="23"/>
        </w:numPr>
        <w:rPr>
          <w:rFonts w:ascii="Arial" w:eastAsia="TimesNewRoman" w:hAnsi="Arial" w:cs="Arial"/>
        </w:rPr>
      </w:pPr>
      <w:r w:rsidRPr="00BF1A20">
        <w:rPr>
          <w:rFonts w:ascii="Arial" w:eastAsia="TimesNewRoman" w:hAnsi="Arial" w:cs="Arial"/>
        </w:rPr>
        <w:t>sada pamětí obsahuje 8ks pamětí, tímto se dá dosáhnout nejvyšší propustnosti výkonu pamětí</w:t>
      </w:r>
    </w:p>
    <w:p w:rsidR="00F16672" w:rsidRPr="00BF1A20" w:rsidRDefault="00F16672">
      <w:pPr>
        <w:pStyle w:val="Prosttext"/>
        <w:numPr>
          <w:ilvl w:val="0"/>
          <w:numId w:val="23"/>
        </w:numPr>
        <w:rPr>
          <w:rFonts w:ascii="Arial" w:eastAsia="TimesNewRoman" w:hAnsi="Arial" w:cs="Arial"/>
        </w:rPr>
      </w:pPr>
      <w:r w:rsidRPr="00BF1A20">
        <w:rPr>
          <w:rFonts w:ascii="Arial" w:eastAsia="TimesNewRoman" w:hAnsi="Arial" w:cs="Arial"/>
        </w:rPr>
        <w:t>SSD disky Samsung mohou být podle přání zapojeny do RAID 01/1/5/10</w:t>
      </w:r>
    </w:p>
    <w:p w:rsidR="00F16672" w:rsidRPr="00BF1A20" w:rsidRDefault="00F16672">
      <w:pPr>
        <w:pStyle w:val="Prosttext"/>
        <w:numPr>
          <w:ilvl w:val="0"/>
          <w:numId w:val="23"/>
        </w:numPr>
        <w:rPr>
          <w:rFonts w:ascii="Arial" w:eastAsia="TimesNewRoman" w:hAnsi="Arial" w:cs="Arial"/>
        </w:rPr>
      </w:pPr>
      <w:r w:rsidRPr="00BF1A20">
        <w:rPr>
          <w:rFonts w:ascii="Arial" w:eastAsia="TimesNewRoman" w:hAnsi="Arial" w:cs="Arial"/>
        </w:rPr>
        <w:t>disk WD bude zapojen separátně jako samostatná jednotka</w:t>
      </w:r>
    </w:p>
    <w:p w:rsidR="00F16672" w:rsidRPr="00BF1A20" w:rsidRDefault="00F16672">
      <w:pPr>
        <w:pStyle w:val="Prosttext"/>
        <w:numPr>
          <w:ilvl w:val="0"/>
          <w:numId w:val="23"/>
        </w:numPr>
        <w:rPr>
          <w:rFonts w:ascii="Arial" w:eastAsia="TimesNewRoman" w:hAnsi="Arial" w:cs="Arial"/>
        </w:rPr>
      </w:pPr>
      <w:r w:rsidRPr="00BF1A20">
        <w:rPr>
          <w:rFonts w:ascii="Arial" w:eastAsia="TimesNewRoman" w:hAnsi="Arial" w:cs="Arial"/>
        </w:rPr>
        <w:t>Windows bude přeinstalováno včetně všech driverů všech komponent</w:t>
      </w:r>
    </w:p>
    <w:p w:rsidR="00F16672" w:rsidRPr="00BF1A20" w:rsidRDefault="00F16672">
      <w:pPr>
        <w:rPr>
          <w:rFonts w:eastAsia="TimesNewRoman"/>
          <w:b/>
          <w:bCs/>
        </w:rPr>
      </w:pPr>
    </w:p>
    <w:p w:rsidR="00F16672" w:rsidRPr="00BF1A20" w:rsidRDefault="00F16672">
      <w:pPr>
        <w:rPr>
          <w:rFonts w:eastAsia="TimesNewRoman"/>
          <w:b/>
          <w:bCs/>
        </w:rPr>
      </w:pPr>
      <w:r w:rsidRPr="00BF1A20">
        <w:rPr>
          <w:rFonts w:eastAsia="TimesNewRoman"/>
          <w:b/>
          <w:bCs/>
        </w:rPr>
        <w:t>Linky na vybrané nejdůležitější komponenty:</w:t>
      </w:r>
    </w:p>
    <w:p w:rsidR="00F16672" w:rsidRPr="00BF1A20" w:rsidRDefault="00F16672">
      <w:pPr>
        <w:rPr>
          <w:rFonts w:eastAsia="TimesNewRoman"/>
        </w:rPr>
      </w:pPr>
      <w:r w:rsidRPr="00BF1A20">
        <w:rPr>
          <w:rFonts w:eastAsia="TimesNewRoman"/>
        </w:rPr>
        <w:t>MB ASUS PRO WS WRX90E-SAGE SE DDR5 E-ATX 7xPCIe5.0 RAID 1x10GbL link :</w:t>
      </w:r>
    </w:p>
    <w:p w:rsidR="00F16672" w:rsidRPr="00BF1A20" w:rsidRDefault="00F16672">
      <w:pPr>
        <w:rPr>
          <w:rFonts w:eastAsia="TimesNewRoman"/>
        </w:rPr>
      </w:pPr>
      <w:r w:rsidRPr="00BF1A20">
        <w:rPr>
          <w:rFonts w:eastAsia="TimesNewRoman"/>
        </w:rPr>
        <w:t>https://www.asus.com/motherboards-components/motherboards/workstation/pro-ws-wrx90e-sage-se/</w:t>
      </w:r>
    </w:p>
    <w:p w:rsidR="00F16672" w:rsidRPr="00BF1A20" w:rsidRDefault="00F16672">
      <w:pPr>
        <w:rPr>
          <w:rFonts w:eastAsia="TimesNewRoman"/>
        </w:rPr>
      </w:pPr>
      <w:r w:rsidRPr="00BF1A20">
        <w:rPr>
          <w:rFonts w:eastAsia="TimesNewRoman"/>
        </w:rPr>
        <w:t>Case ASUS PROART PA602 TG ARGB BLACK skříň E-ATX: link:</w:t>
      </w:r>
    </w:p>
    <w:p w:rsidR="00F16672" w:rsidRPr="00BF1A20" w:rsidRDefault="00F16672">
      <w:pPr>
        <w:rPr>
          <w:rFonts w:eastAsia="TimesNewRoman"/>
        </w:rPr>
      </w:pPr>
      <w:r w:rsidRPr="00BF1A20">
        <w:rPr>
          <w:rFonts w:eastAsia="TimesNewRoman"/>
        </w:rPr>
        <w:t>https://www.asus.com/cz/motherboards-components/cases/proart/proart-pa602/</w:t>
      </w:r>
    </w:p>
    <w:p w:rsidR="00F16672" w:rsidRPr="00BF1A20" w:rsidRDefault="00F16672">
      <w:pPr>
        <w:rPr>
          <w:rFonts w:eastAsia="TimesNewRoman"/>
        </w:rPr>
      </w:pPr>
      <w:r w:rsidRPr="00BF1A20">
        <w:rPr>
          <w:rFonts w:eastAsia="TimesNewRoman"/>
        </w:rPr>
        <w:t>CPU AMD Ryzen Threadripper PRO 7995WX (96C/192T 5.1GHz,480MB cache,350W,sTR5) link:</w:t>
      </w:r>
    </w:p>
    <w:p w:rsidR="00F16672" w:rsidRPr="00BF1A20" w:rsidRDefault="00F16672">
      <w:pPr>
        <w:rPr>
          <w:rFonts w:eastAsia="TimesNewRoman"/>
        </w:rPr>
      </w:pPr>
      <w:r w:rsidRPr="00BF1A20">
        <w:rPr>
          <w:rFonts w:eastAsia="TimesNewRoman"/>
        </w:rPr>
        <w:t>https://www.amd.com/content/dam/amd/en/documents/products/processors/ryzen-threadripper/threadripper-pro-design-mfg-brief.pdf</w:t>
      </w:r>
    </w:p>
    <w:p w:rsidR="00F16672" w:rsidRPr="00BF1A20" w:rsidRDefault="00F16672">
      <w:pPr>
        <w:rPr>
          <w:rFonts w:eastAsia="TimesNewRoman"/>
        </w:rPr>
      </w:pPr>
      <w:r w:rsidRPr="00BF1A20">
        <w:rPr>
          <w:rFonts w:eastAsia="TimesNewRoman"/>
        </w:rPr>
        <w:t>Monitor LG 32UN650P-W 32" IPS LED 3840x2160 1M:1 4ms 350cd DP HDMI repro: link:</w:t>
      </w:r>
    </w:p>
    <w:p w:rsidR="00F16672" w:rsidRPr="00BF1A20" w:rsidRDefault="00F16672">
      <w:r w:rsidRPr="00BF1A20">
        <w:rPr>
          <w:rFonts w:eastAsia="TimesNewRoman"/>
        </w:rPr>
        <w:t>https://www.lg.com/cz/monitory/ultrafine-uhd-4k-monitory/32un650p-w/</w:t>
      </w:r>
    </w:p>
    <w:p w:rsidR="00F16672" w:rsidRPr="00BF1A20" w:rsidRDefault="00F16672"/>
    <w:sectPr w:rsidR="00F16672" w:rsidRPr="00BF1A20" w:rsidSect="00F16672">
      <w:footerReference w:type="default" r:id="rId9"/>
      <w:headerReference w:type="first" r:id="rId10"/>
      <w:footerReference w:type="first" r:id="rId11"/>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E38" w:rsidRDefault="00DD1E38">
      <w:r>
        <w:separator/>
      </w:r>
    </w:p>
  </w:endnote>
  <w:endnote w:type="continuationSeparator" w:id="0">
    <w:p w:rsidR="00DD1E38" w:rsidRDefault="00DD1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80"/>
    <w:family w:val="auto"/>
    <w:notTrueType/>
    <w:pitch w:val="variable"/>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
    <w:altName w:val="Times New Roman"/>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672" w:rsidRDefault="00F16672">
    <w:pPr>
      <w:pStyle w:val="Zpat"/>
      <w:jc w:val="center"/>
      <w:rPr>
        <w:sz w:val="20"/>
        <w:szCs w:val="20"/>
      </w:rPr>
    </w:pPr>
    <w:r>
      <w:rPr>
        <w:sz w:val="20"/>
        <w:szCs w:val="20"/>
      </w:rPr>
      <w:fldChar w:fldCharType="begin"/>
    </w:r>
    <w:r>
      <w:rPr>
        <w:sz w:val="20"/>
        <w:szCs w:val="20"/>
      </w:rPr>
      <w:instrText>PAGE   \* MERGEFORMAT</w:instrText>
    </w:r>
    <w:r>
      <w:rPr>
        <w:sz w:val="20"/>
        <w:szCs w:val="20"/>
      </w:rPr>
      <w:fldChar w:fldCharType="separate"/>
    </w:r>
    <w:r w:rsidR="008C531D">
      <w:rPr>
        <w:noProof/>
        <w:sz w:val="20"/>
        <w:szCs w:val="20"/>
      </w:rPr>
      <w:t>2</w:t>
    </w:r>
    <w:r>
      <w:rPr>
        <w:sz w:val="20"/>
        <w:szCs w:val="20"/>
      </w:rPr>
      <w:fldChar w:fldCharType="end"/>
    </w:r>
  </w:p>
  <w:p w:rsidR="00F16672" w:rsidRDefault="00F1667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672" w:rsidRDefault="005E78F4">
    <w:pPr>
      <w:pStyle w:val="Zpat"/>
      <w:jc w:val="center"/>
    </w:pPr>
    <w:r>
      <w:rPr>
        <w:noProof/>
      </w:rPr>
      <w:fldChar w:fldCharType="begin"/>
    </w:r>
    <w:r>
      <w:rPr>
        <w:noProof/>
      </w:rPr>
      <w:instrText>PAGE   \* MERGEFORMAT</w:instrText>
    </w:r>
    <w:r>
      <w:rPr>
        <w:noProof/>
      </w:rPr>
      <w:fldChar w:fldCharType="separate"/>
    </w:r>
    <w:r w:rsidR="008C531D">
      <w:rPr>
        <w:noProof/>
      </w:rPr>
      <w:t>1</w:t>
    </w:r>
    <w:r>
      <w:rPr>
        <w:noProof/>
      </w:rPr>
      <w:fldChar w:fldCharType="end"/>
    </w:r>
  </w:p>
  <w:p w:rsidR="00F16672" w:rsidRDefault="00F1667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E38" w:rsidRDefault="00DD1E38">
      <w:r>
        <w:separator/>
      </w:r>
    </w:p>
  </w:footnote>
  <w:footnote w:type="continuationSeparator" w:id="0">
    <w:p w:rsidR="00DD1E38" w:rsidRDefault="00DD1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D21" w:rsidRPr="00D35D21" w:rsidRDefault="00D35D21">
    <w:pPr>
      <w:pStyle w:val="Zhlav"/>
      <w:jc w:val="right"/>
      <w:rPr>
        <w:color w:val="7F7F7F"/>
      </w:rPr>
    </w:pPr>
    <w:r>
      <w:t>KP/2452/2024/Do</w:t>
    </w:r>
  </w:p>
  <w:p w:rsidR="00D35D21" w:rsidRDefault="00D35D2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ascii="Times New Roman" w:hAnsi="Times New Roman" w:cs="Times New Roman" w:hint="default"/>
        <w:b/>
        <w:bCs/>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ascii="Times New Roman" w:hAnsi="Times New Roman" w:cs="Times New Roman" w:hint="default"/>
      </w:rPr>
    </w:lvl>
    <w:lvl w:ilvl="1" w:tplc="1BBC5BAC">
      <w:start w:val="1"/>
      <w:numFmt w:val="lowerLetter"/>
      <w:lvlText w:val="%2)"/>
      <w:lvlJc w:val="left"/>
      <w:pPr>
        <w:tabs>
          <w:tab w:val="num" w:pos="1080"/>
        </w:tabs>
        <w:ind w:left="1080" w:hanging="360"/>
      </w:pPr>
      <w:rPr>
        <w:rFonts w:ascii="Times New Roman" w:hAnsi="Times New Roman" w:cs="Times New Roman" w:hint="default"/>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19FD2B32"/>
    <w:multiLevelType w:val="hybridMultilevel"/>
    <w:tmpl w:val="1B9A3BB0"/>
    <w:lvl w:ilvl="0" w:tplc="04050017">
      <w:start w:val="1"/>
      <w:numFmt w:val="lowerLetter"/>
      <w:lvlText w:val="%1)"/>
      <w:lvlJc w:val="left"/>
      <w:pPr>
        <w:ind w:left="1068" w:hanging="360"/>
      </w:pPr>
      <w:rPr>
        <w:rFonts w:ascii="Times New Roman" w:hAnsi="Times New Roman" w:cs="Times New Roman" w:hint="default"/>
        <w:sz w:val="22"/>
        <w:szCs w:val="22"/>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cs="Wingdings" w:hint="default"/>
      </w:rPr>
    </w:lvl>
    <w:lvl w:ilvl="3" w:tplc="04050001">
      <w:start w:val="1"/>
      <w:numFmt w:val="bullet"/>
      <w:lvlText w:val=""/>
      <w:lvlJc w:val="left"/>
      <w:pPr>
        <w:ind w:left="3228" w:hanging="360"/>
      </w:pPr>
      <w:rPr>
        <w:rFonts w:ascii="Symbol" w:hAnsi="Symbol" w:cs="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cs="Wingdings" w:hint="default"/>
      </w:rPr>
    </w:lvl>
    <w:lvl w:ilvl="6" w:tplc="04050001">
      <w:start w:val="1"/>
      <w:numFmt w:val="bullet"/>
      <w:lvlText w:val=""/>
      <w:lvlJc w:val="left"/>
      <w:pPr>
        <w:ind w:left="5388" w:hanging="360"/>
      </w:pPr>
      <w:rPr>
        <w:rFonts w:ascii="Symbol" w:hAnsi="Symbol" w:cs="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cs="Wingdings" w:hint="default"/>
      </w:rPr>
    </w:lvl>
  </w:abstractNum>
  <w:abstractNum w:abstractNumId="3" w15:restartNumberingAfterBreak="0">
    <w:nsid w:val="231B0DEE"/>
    <w:multiLevelType w:val="hybridMultilevel"/>
    <w:tmpl w:val="1B9A3BB0"/>
    <w:lvl w:ilvl="0" w:tplc="04050017">
      <w:start w:val="1"/>
      <w:numFmt w:val="lowerLetter"/>
      <w:lvlText w:val="%1)"/>
      <w:lvlJc w:val="left"/>
      <w:pPr>
        <w:ind w:left="1068" w:hanging="360"/>
      </w:pPr>
      <w:rPr>
        <w:rFonts w:ascii="Times New Roman" w:hAnsi="Times New Roman" w:cs="Times New Roman" w:hint="default"/>
        <w:sz w:val="22"/>
        <w:szCs w:val="22"/>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cs="Wingdings" w:hint="default"/>
      </w:rPr>
    </w:lvl>
    <w:lvl w:ilvl="3" w:tplc="04050001">
      <w:start w:val="1"/>
      <w:numFmt w:val="bullet"/>
      <w:lvlText w:val=""/>
      <w:lvlJc w:val="left"/>
      <w:pPr>
        <w:ind w:left="3228" w:hanging="360"/>
      </w:pPr>
      <w:rPr>
        <w:rFonts w:ascii="Symbol" w:hAnsi="Symbol" w:cs="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cs="Wingdings" w:hint="default"/>
      </w:rPr>
    </w:lvl>
    <w:lvl w:ilvl="6" w:tplc="04050001">
      <w:start w:val="1"/>
      <w:numFmt w:val="bullet"/>
      <w:lvlText w:val=""/>
      <w:lvlJc w:val="left"/>
      <w:pPr>
        <w:ind w:left="5388" w:hanging="360"/>
      </w:pPr>
      <w:rPr>
        <w:rFonts w:ascii="Symbol" w:hAnsi="Symbol" w:cs="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cs="Wingdings" w:hint="default"/>
      </w:rPr>
    </w:lvl>
  </w:abstractNum>
  <w:abstractNum w:abstractNumId="4"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ascii="Times New Roman" w:hAnsi="Times New Roman" w:cs="Times New Roman" w:hint="default"/>
      </w:rPr>
    </w:lvl>
    <w:lvl w:ilvl="1" w:tplc="F6EEA4B0">
      <w:start w:val="1"/>
      <w:numFmt w:val="lowerLetter"/>
      <w:lvlText w:val="%2)"/>
      <w:lvlJc w:val="left"/>
      <w:pPr>
        <w:tabs>
          <w:tab w:val="num" w:pos="1080"/>
        </w:tabs>
        <w:ind w:left="1080" w:hanging="360"/>
      </w:pPr>
      <w:rPr>
        <w:rFonts w:ascii="Times New Roman" w:hAnsi="Times New Roman" w:cs="Times New Roman" w:hint="default"/>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4B891803"/>
    <w:multiLevelType w:val="hybridMultilevel"/>
    <w:tmpl w:val="EC4E292C"/>
    <w:lvl w:ilvl="0" w:tplc="0405000F">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6" w15:restartNumberingAfterBreak="0">
    <w:nsid w:val="51A85001"/>
    <w:multiLevelType w:val="hybridMultilevel"/>
    <w:tmpl w:val="1B9A3BB0"/>
    <w:lvl w:ilvl="0" w:tplc="04050017">
      <w:start w:val="1"/>
      <w:numFmt w:val="lowerLetter"/>
      <w:lvlText w:val="%1)"/>
      <w:lvlJc w:val="left"/>
      <w:pPr>
        <w:ind w:left="1068" w:hanging="360"/>
      </w:pPr>
      <w:rPr>
        <w:rFonts w:ascii="Times New Roman" w:hAnsi="Times New Roman" w:cs="Times New Roman" w:hint="default"/>
        <w:sz w:val="22"/>
        <w:szCs w:val="22"/>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cs="Wingdings" w:hint="default"/>
      </w:rPr>
    </w:lvl>
    <w:lvl w:ilvl="3" w:tplc="04050001">
      <w:start w:val="1"/>
      <w:numFmt w:val="bullet"/>
      <w:lvlText w:val=""/>
      <w:lvlJc w:val="left"/>
      <w:pPr>
        <w:ind w:left="3228" w:hanging="360"/>
      </w:pPr>
      <w:rPr>
        <w:rFonts w:ascii="Symbol" w:hAnsi="Symbol" w:cs="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cs="Wingdings" w:hint="default"/>
      </w:rPr>
    </w:lvl>
    <w:lvl w:ilvl="6" w:tplc="04050001">
      <w:start w:val="1"/>
      <w:numFmt w:val="bullet"/>
      <w:lvlText w:val=""/>
      <w:lvlJc w:val="left"/>
      <w:pPr>
        <w:ind w:left="5388" w:hanging="360"/>
      </w:pPr>
      <w:rPr>
        <w:rFonts w:ascii="Symbol" w:hAnsi="Symbol" w:cs="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cs="Wingdings" w:hint="default"/>
      </w:rPr>
    </w:lvl>
  </w:abstractNum>
  <w:abstractNum w:abstractNumId="7" w15:restartNumberingAfterBreak="0">
    <w:nsid w:val="58916CBC"/>
    <w:multiLevelType w:val="multilevel"/>
    <w:tmpl w:val="DD269CE8"/>
    <w:lvl w:ilvl="0">
      <w:start w:val="1"/>
      <w:numFmt w:val="upperRoman"/>
      <w:pStyle w:val="Nadpis1"/>
      <w:suff w:val="space"/>
      <w:lvlText w:val="%1."/>
      <w:lvlJc w:val="left"/>
      <w:pPr>
        <w:ind w:left="1080" w:hanging="720"/>
      </w:pPr>
      <w:rPr>
        <w:rFonts w:ascii="Times New Roman" w:hAnsi="Times New Roman" w:cs="Times New Roman" w:hint="default"/>
      </w:rPr>
    </w:lvl>
    <w:lvl w:ilvl="1">
      <w:start w:val="1"/>
      <w:numFmt w:val="decimal"/>
      <w:pStyle w:val="Odstavecsmlouvy"/>
      <w:lvlText w:val="%1.%2"/>
      <w:lvlJc w:val="left"/>
      <w:pPr>
        <w:ind w:left="567" w:hanging="567"/>
      </w:pPr>
      <w:rPr>
        <w:rFonts w:ascii="Times New Roman" w:hAnsi="Times New Roman" w:cs="Times New Roman" w:hint="default"/>
        <w:b/>
        <w:bCs/>
        <w:i w:val="0"/>
        <w:iCs w:val="0"/>
      </w:rPr>
    </w:lvl>
    <w:lvl w:ilvl="2">
      <w:start w:val="1"/>
      <w:numFmt w:val="lowerLetter"/>
      <w:pStyle w:val="Psmenoodstavce"/>
      <w:suff w:val="space"/>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bCs/>
        <w:sz w:val="23"/>
        <w:szCs w:val="23"/>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9" w15:restartNumberingAfterBreak="0">
    <w:nsid w:val="5F1043E8"/>
    <w:multiLevelType w:val="hybridMultilevel"/>
    <w:tmpl w:val="A7B2D7EA"/>
    <w:lvl w:ilvl="0" w:tplc="0405000F">
      <w:start w:val="1"/>
      <w:numFmt w:val="decimal"/>
      <w:lvlText w:val="%1."/>
      <w:lvlJc w:val="left"/>
      <w:pPr>
        <w:tabs>
          <w:tab w:val="num" w:pos="720"/>
        </w:tabs>
        <w:ind w:left="720" w:hanging="360"/>
      </w:pPr>
      <w:rPr>
        <w:rFonts w:ascii="Times New Roman" w:hAnsi="Times New Roman" w:cs="Times New Roman"/>
      </w:rPr>
    </w:lvl>
    <w:lvl w:ilvl="1" w:tplc="53461AD6">
      <w:start w:val="1"/>
      <w:numFmt w:val="decimal"/>
      <w:pStyle w:val="slovn"/>
      <w:lvlText w:val="%2."/>
      <w:lvlJc w:val="left"/>
      <w:pPr>
        <w:tabs>
          <w:tab w:val="num" w:pos="1647"/>
        </w:tabs>
        <w:ind w:left="1647" w:hanging="567"/>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ascii="Times New Roman" w:hAnsi="Times New Roman" w:cs="Times New Roman" w:hint="default"/>
        <w:color w:val="auto"/>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2" w15:restartNumberingAfterBreak="0">
    <w:nsid w:val="7A6B33FF"/>
    <w:multiLevelType w:val="multilevel"/>
    <w:tmpl w:val="0405001F"/>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216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324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432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13" w15:restartNumberingAfterBreak="0">
    <w:nsid w:val="7A9C10BB"/>
    <w:multiLevelType w:val="hybridMultilevel"/>
    <w:tmpl w:val="BDF874AA"/>
    <w:lvl w:ilvl="0" w:tplc="0409000F">
      <w:start w:val="1"/>
      <w:numFmt w:val="decimal"/>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7FE5471A"/>
    <w:multiLevelType w:val="hybridMultilevel"/>
    <w:tmpl w:val="98161E32"/>
    <w:lvl w:ilvl="0" w:tplc="07A81C72">
      <w:start w:val="418"/>
      <w:numFmt w:val="bullet"/>
      <w:lvlText w:val="-"/>
      <w:lvlJc w:val="left"/>
      <w:pPr>
        <w:tabs>
          <w:tab w:val="num" w:pos="720"/>
        </w:tabs>
        <w:ind w:left="720" w:hanging="360"/>
      </w:pPr>
      <w:rPr>
        <w:rFonts w:ascii="Times New Roman" w:eastAsia="TimesNew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num w:numId="1">
    <w:abstractNumId w:val="12"/>
  </w:num>
  <w:num w:numId="2">
    <w:abstractNumId w:val="7"/>
  </w:num>
  <w:num w:numId="3">
    <w:abstractNumId w:val="0"/>
  </w:num>
  <w:num w:numId="4">
    <w:abstractNumId w:val="8"/>
  </w:num>
  <w:num w:numId="5">
    <w:abstractNumId w:val="3"/>
  </w:num>
  <w:num w:numId="6">
    <w:abstractNumId w:val="9"/>
  </w:num>
  <w:num w:numId="7">
    <w:abstractNumId w:val="7"/>
  </w:num>
  <w:num w:numId="8">
    <w:abstractNumId w:val="7"/>
  </w:num>
  <w:num w:numId="9">
    <w:abstractNumId w:val="7"/>
  </w:num>
  <w:num w:numId="10">
    <w:abstractNumId w:val="7"/>
  </w:num>
  <w:num w:numId="11">
    <w:abstractNumId w:val="6"/>
  </w:num>
  <w:num w:numId="12">
    <w:abstractNumId w:val="2"/>
  </w:num>
  <w:num w:numId="13">
    <w:abstractNumId w:val="11"/>
  </w:num>
  <w:num w:numId="14">
    <w:abstractNumId w:val="1"/>
  </w:num>
  <w:num w:numId="15">
    <w:abstractNumId w:val="13"/>
  </w:num>
  <w:num w:numId="16">
    <w:abstractNumId w:val="4"/>
  </w:num>
  <w:num w:numId="17">
    <w:abstractNumId w:val="10"/>
  </w:num>
  <w:num w:numId="18">
    <w:abstractNumId w:val="5"/>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7"/>
  </w:num>
  <w:num w:numId="22">
    <w:abstractNumId w:val="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6672"/>
    <w:rsid w:val="00035AD1"/>
    <w:rsid w:val="001758F0"/>
    <w:rsid w:val="001C1B0B"/>
    <w:rsid w:val="005E78F4"/>
    <w:rsid w:val="006067D8"/>
    <w:rsid w:val="008C531D"/>
    <w:rsid w:val="00A03D33"/>
    <w:rsid w:val="00B175B2"/>
    <w:rsid w:val="00B27160"/>
    <w:rsid w:val="00BF1A20"/>
    <w:rsid w:val="00D35D21"/>
    <w:rsid w:val="00DD1E38"/>
    <w:rsid w:val="00F16672"/>
    <w:rsid w:val="00FB3A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C4889C7-836E-4AD0-ADBA-8A592D0C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9"/>
    <w:qFormat/>
    <w:pPr>
      <w:numPr>
        <w:numId w:val="2"/>
      </w:numPr>
      <w:spacing w:before="0" w:after="0"/>
      <w:outlineLvl w:val="0"/>
    </w:pPr>
    <w:rPr>
      <w:sz w:val="22"/>
      <w:szCs w:val="22"/>
    </w:rPr>
  </w:style>
  <w:style w:type="paragraph" w:styleId="Nadpis2">
    <w:name w:val="heading 2"/>
    <w:basedOn w:val="Normln"/>
    <w:next w:val="Normln"/>
    <w:link w:val="Nadpis2Char"/>
    <w:uiPriority w:val="99"/>
    <w:qFormat/>
    <w:pPr>
      <w:keepNext/>
      <w:jc w:val="left"/>
      <w:outlineLvl w:val="1"/>
    </w:pPr>
    <w:rPr>
      <w:b/>
      <w:bCs/>
    </w:rPr>
  </w:style>
  <w:style w:type="paragraph" w:styleId="Nadpis3">
    <w:name w:val="heading 3"/>
    <w:basedOn w:val="Nadpis1"/>
    <w:next w:val="Normln"/>
    <w:link w:val="Nadpis3Char"/>
    <w:uiPriority w:val="99"/>
    <w:qFormat/>
    <w:pPr>
      <w:outlineLvl w:val="2"/>
    </w:pPr>
  </w:style>
  <w:style w:type="paragraph" w:styleId="Nadpis4">
    <w:name w:val="heading 4"/>
    <w:basedOn w:val="Normln"/>
    <w:next w:val="Normln"/>
    <w:link w:val="Nadpis4Char"/>
    <w:uiPriority w:val="99"/>
    <w:qFormat/>
    <w:pPr>
      <w:keepNext/>
      <w:spacing w:before="480"/>
      <w:outlineLvl w:val="3"/>
    </w:pPr>
    <w:rPr>
      <w:b/>
      <w:bCs/>
    </w:rPr>
  </w:style>
  <w:style w:type="paragraph" w:styleId="Nadpis5">
    <w:name w:val="heading 5"/>
    <w:basedOn w:val="Normln"/>
    <w:next w:val="Normln"/>
    <w:link w:val="Nadpis5Char"/>
    <w:uiPriority w:val="99"/>
    <w:qFormat/>
    <w:pPr>
      <w:keepNext/>
      <w:tabs>
        <w:tab w:val="left" w:pos="1134"/>
      </w:tabs>
      <w:spacing w:before="480"/>
      <w:outlineLvl w:val="4"/>
    </w:pPr>
    <w:rPr>
      <w:u w:val="single"/>
    </w:rPr>
  </w:style>
  <w:style w:type="paragraph" w:styleId="Nadpis6">
    <w:name w:val="heading 6"/>
    <w:basedOn w:val="Normln"/>
    <w:next w:val="Normln"/>
    <w:link w:val="Nadpis6Char"/>
    <w:uiPriority w:val="99"/>
    <w:qFormat/>
    <w:pPr>
      <w:spacing w:before="240" w:after="60"/>
      <w:outlineLvl w:val="5"/>
    </w:pPr>
    <w:rPr>
      <w:rFonts w:ascii="Calibri" w:hAnsi="Calibri" w:cs="Calibri"/>
      <w:b/>
      <w:bCs/>
    </w:rPr>
  </w:style>
  <w:style w:type="paragraph" w:styleId="Nadpis7">
    <w:name w:val="heading 7"/>
    <w:basedOn w:val="Normln"/>
    <w:next w:val="Normln"/>
    <w:link w:val="Nadpis7Char"/>
    <w:uiPriority w:val="99"/>
    <w:qFormat/>
    <w:pPr>
      <w:spacing w:before="240" w:after="60"/>
      <w:outlineLvl w:val="6"/>
    </w:pPr>
    <w:rPr>
      <w:rFonts w:ascii="Calibri" w:hAnsi="Calibri" w:cs="Calibri"/>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9"/>
    <w:rPr>
      <w:rFonts w:ascii="Arial" w:hAnsi="Arial" w:cs="Arial"/>
      <w:b/>
      <w:bCs/>
      <w:caps/>
      <w:sz w:val="22"/>
      <w:szCs w:val="22"/>
    </w:rPr>
  </w:style>
  <w:style w:type="character" w:customStyle="1" w:styleId="Nadpis2Char">
    <w:name w:val="Nadpis 2 Char"/>
    <w:link w:val="Nadpis2"/>
    <w:uiPriority w:val="99"/>
    <w:rPr>
      <w:rFonts w:ascii="Arial" w:hAnsi="Arial" w:cs="Arial"/>
      <w:b/>
      <w:bCs/>
      <w:sz w:val="22"/>
      <w:szCs w:val="22"/>
    </w:rPr>
  </w:style>
  <w:style w:type="character" w:customStyle="1" w:styleId="Nadpis3Char">
    <w:name w:val="Nadpis 3 Char"/>
    <w:link w:val="Nadpis3"/>
    <w:uiPriority w:val="99"/>
    <w:rPr>
      <w:rFonts w:ascii="Arial" w:hAnsi="Arial" w:cs="Arial"/>
      <w:b/>
      <w:bCs/>
      <w:caps/>
      <w:sz w:val="22"/>
      <w:szCs w:val="22"/>
    </w:rPr>
  </w:style>
  <w:style w:type="character" w:customStyle="1" w:styleId="Nadpis4Char">
    <w:name w:val="Nadpis 4 Char"/>
    <w:link w:val="Nadpis4"/>
    <w:uiPriority w:val="9"/>
    <w:semiHidden/>
    <w:rsid w:val="00F16672"/>
    <w:rPr>
      <w:b/>
      <w:bCs/>
      <w:sz w:val="28"/>
      <w:szCs w:val="28"/>
    </w:rPr>
  </w:style>
  <w:style w:type="character" w:customStyle="1" w:styleId="Nadpis5Char">
    <w:name w:val="Nadpis 5 Char"/>
    <w:link w:val="Nadpis5"/>
    <w:uiPriority w:val="99"/>
    <w:rPr>
      <w:rFonts w:ascii="Arial" w:hAnsi="Arial" w:cs="Arial"/>
      <w:sz w:val="22"/>
      <w:szCs w:val="22"/>
      <w:u w:val="single"/>
    </w:rPr>
  </w:style>
  <w:style w:type="character" w:customStyle="1" w:styleId="Nadpis6Char">
    <w:name w:val="Nadpis 6 Char"/>
    <w:link w:val="Nadpis6"/>
    <w:uiPriority w:val="99"/>
    <w:rPr>
      <w:rFonts w:ascii="Calibri" w:hAnsi="Calibri" w:cs="Calibri"/>
      <w:b/>
      <w:bCs/>
      <w:sz w:val="22"/>
      <w:szCs w:val="22"/>
    </w:rPr>
  </w:style>
  <w:style w:type="character" w:customStyle="1" w:styleId="Nadpis7Char">
    <w:name w:val="Nadpis 7 Char"/>
    <w:link w:val="Nadpis7"/>
    <w:uiPriority w:val="99"/>
    <w:rPr>
      <w:rFonts w:ascii="Calibri" w:hAnsi="Calibri" w:cs="Calibri"/>
      <w:sz w:val="24"/>
      <w:szCs w:val="24"/>
    </w:rPr>
  </w:style>
  <w:style w:type="paragraph" w:customStyle="1" w:styleId="Body">
    <w:name w:val="Body"/>
    <w:uiPriority w:val="99"/>
    <w:rPr>
      <w:rFonts w:ascii="Helvetica" w:hAnsi="Helvetica" w:cs="Helvetica"/>
      <w:color w:val="000000"/>
      <w:sz w:val="24"/>
      <w:szCs w:val="24"/>
    </w:rPr>
  </w:style>
  <w:style w:type="paragraph" w:styleId="Zhlav">
    <w:name w:val="header"/>
    <w:basedOn w:val="Normln"/>
    <w:link w:val="ZhlavChar"/>
    <w:uiPriority w:val="99"/>
    <w:pPr>
      <w:tabs>
        <w:tab w:val="center" w:pos="4536"/>
        <w:tab w:val="right" w:pos="9072"/>
      </w:tabs>
    </w:pPr>
    <w:rPr>
      <w:sz w:val="24"/>
      <w:szCs w:val="24"/>
    </w:rPr>
  </w:style>
  <w:style w:type="character" w:customStyle="1" w:styleId="ZhlavChar">
    <w:name w:val="Záhlaví Char"/>
    <w:link w:val="Zhlav"/>
    <w:uiPriority w:val="99"/>
    <w:rPr>
      <w:sz w:val="24"/>
      <w:szCs w:val="24"/>
    </w:rPr>
  </w:style>
  <w:style w:type="paragraph" w:styleId="Zpat">
    <w:name w:val="footer"/>
    <w:basedOn w:val="Normln"/>
    <w:link w:val="ZpatChar"/>
    <w:uiPriority w:val="99"/>
    <w:pPr>
      <w:tabs>
        <w:tab w:val="center" w:pos="4536"/>
        <w:tab w:val="right" w:pos="9072"/>
      </w:tabs>
    </w:pPr>
    <w:rPr>
      <w:sz w:val="24"/>
      <w:szCs w:val="24"/>
    </w:rPr>
  </w:style>
  <w:style w:type="character" w:customStyle="1" w:styleId="ZpatChar">
    <w:name w:val="Zápatí Char"/>
    <w:link w:val="Zpat"/>
    <w:uiPriority w:val="99"/>
    <w:rPr>
      <w:sz w:val="24"/>
      <w:szCs w:val="24"/>
    </w:rPr>
  </w:style>
  <w:style w:type="character" w:styleId="slostrnky">
    <w:name w:val="page number"/>
    <w:uiPriority w:val="99"/>
    <w:rPr>
      <w:rFonts w:ascii="Times New Roman" w:hAnsi="Times New Roman" w:cs="Times New Roman"/>
    </w:rPr>
  </w:style>
  <w:style w:type="paragraph" w:styleId="Rozloendokumentu">
    <w:name w:val="Document Map"/>
    <w:basedOn w:val="Normln"/>
    <w:link w:val="RozloendokumentuChar"/>
    <w:uiPriority w:val="99"/>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F16672"/>
    <w:rPr>
      <w:rFonts w:ascii="Times New Roman" w:hAnsi="Times New Roman" w:cs="Times New Roman"/>
      <w:sz w:val="0"/>
      <w:szCs w:val="0"/>
    </w:rPr>
  </w:style>
  <w:style w:type="paragraph" w:styleId="Zkladntext3">
    <w:name w:val="Body Text 3"/>
    <w:basedOn w:val="Normln"/>
    <w:link w:val="Zkladntext3Char"/>
    <w:uiPriority w:val="99"/>
    <w:rPr>
      <w:sz w:val="32"/>
      <w:szCs w:val="32"/>
    </w:rPr>
  </w:style>
  <w:style w:type="character" w:customStyle="1" w:styleId="Zkladntext3Char">
    <w:name w:val="Základní text 3 Char"/>
    <w:link w:val="Zkladntext3"/>
    <w:uiPriority w:val="99"/>
    <w:rPr>
      <w:rFonts w:ascii="Arial" w:hAnsi="Arial" w:cs="Arial"/>
      <w:sz w:val="32"/>
      <w:szCs w:val="32"/>
    </w:rPr>
  </w:style>
  <w:style w:type="paragraph" w:styleId="Zkladntext">
    <w:name w:val="Body Text"/>
    <w:aliases w:val="Char"/>
    <w:basedOn w:val="Normln"/>
    <w:link w:val="ZkladntextChar"/>
    <w:uiPriority w:val="99"/>
    <w:pPr>
      <w:spacing w:after="120"/>
    </w:pPr>
    <w:rPr>
      <w:sz w:val="24"/>
      <w:szCs w:val="24"/>
    </w:rPr>
  </w:style>
  <w:style w:type="character" w:customStyle="1" w:styleId="ZkladntextChar">
    <w:name w:val="Základní text Char"/>
    <w:aliases w:val="Char Char"/>
    <w:link w:val="Zkladntext"/>
    <w:uiPriority w:val="99"/>
    <w:rPr>
      <w:sz w:val="24"/>
      <w:szCs w:val="24"/>
    </w:rPr>
  </w:style>
  <w:style w:type="paragraph" w:customStyle="1" w:styleId="StylNadpis6Arial14bVechnavelkzarovnnnasted">
    <w:name w:val="Styl Nadpis 6 + Arial 14 b. Všechna velká zarovnání na střed"/>
    <w:basedOn w:val="Nadpis6"/>
    <w:uiPriority w:val="99"/>
    <w:pPr>
      <w:spacing w:before="120"/>
      <w:jc w:val="center"/>
    </w:pPr>
    <w:rPr>
      <w:rFonts w:ascii="Arial" w:hAnsi="Arial" w:cs="Arial"/>
      <w:caps/>
      <w:sz w:val="28"/>
      <w:szCs w:val="28"/>
    </w:rPr>
  </w:style>
  <w:style w:type="paragraph" w:customStyle="1" w:styleId="VZ-nadpis">
    <w:name w:val="VZ - nadpis"/>
    <w:basedOn w:val="Zkladntext"/>
    <w:next w:val="Zkladntext"/>
    <w:uiPriority w:val="99"/>
    <w:pPr>
      <w:spacing w:after="240"/>
      <w:jc w:val="center"/>
    </w:pPr>
    <w:rPr>
      <w:b/>
      <w:bCs/>
      <w:caps/>
      <w:sz w:val="28"/>
      <w:szCs w:val="28"/>
    </w:rPr>
  </w:style>
  <w:style w:type="paragraph" w:styleId="Textpoznpodarou">
    <w:name w:val="footnote text"/>
    <w:basedOn w:val="Normln"/>
    <w:link w:val="TextpoznpodarouChar"/>
    <w:uiPriority w:val="99"/>
    <w:rPr>
      <w:sz w:val="20"/>
      <w:szCs w:val="20"/>
    </w:rPr>
  </w:style>
  <w:style w:type="character" w:customStyle="1" w:styleId="TextpoznpodarouChar">
    <w:name w:val="Text pozn. pod čarou Char"/>
    <w:link w:val="Textpoznpodarou"/>
    <w:uiPriority w:val="99"/>
    <w:rPr>
      <w:rFonts w:ascii="Times New Roman" w:hAnsi="Times New Roman" w:cs="Times New Roman"/>
    </w:rPr>
  </w:style>
  <w:style w:type="character" w:styleId="Znakapoznpodarou">
    <w:name w:val="footnote reference"/>
    <w:uiPriority w:val="99"/>
    <w:rPr>
      <w:vertAlign w:val="superscript"/>
    </w:rPr>
  </w:style>
  <w:style w:type="paragraph" w:styleId="Odstavecseseznamem">
    <w:name w:val="List Paragraph"/>
    <w:basedOn w:val="Normln"/>
    <w:uiPriority w:val="99"/>
    <w:qFormat/>
    <w:pPr>
      <w:spacing w:after="200" w:line="276" w:lineRule="auto"/>
      <w:ind w:left="720"/>
    </w:pPr>
    <w:rPr>
      <w:rFonts w:ascii="Calibri" w:hAnsi="Calibri" w:cs="Calibri"/>
      <w:lang w:eastAsia="en-US"/>
    </w:rPr>
  </w:style>
  <w:style w:type="paragraph" w:customStyle="1" w:styleId="Default">
    <w:name w:val="Default"/>
    <w:uiPriority w:val="99"/>
    <w:pPr>
      <w:autoSpaceDE w:val="0"/>
      <w:autoSpaceDN w:val="0"/>
      <w:adjustRightInd w:val="0"/>
    </w:pPr>
    <w:rPr>
      <w:rFonts w:ascii="Open Sans" w:hAnsi="Open Sans" w:cs="Open Sans"/>
      <w:color w:val="000000"/>
      <w:sz w:val="24"/>
      <w:szCs w:val="24"/>
      <w:lang w:val="en-US" w:eastAsia="en-US"/>
    </w:rPr>
  </w:style>
  <w:style w:type="paragraph" w:styleId="Normlnweb">
    <w:name w:val="Normal (Web)"/>
    <w:basedOn w:val="Normln"/>
    <w:uiPriority w:val="9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uiPriority w:val="99"/>
    <w:rPr>
      <w:color w:val="0000FF"/>
      <w:u w:val="single"/>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rPr>
      <w:rFonts w:ascii="Tahoma" w:hAnsi="Tahoma" w:cs="Tahoma"/>
      <w:sz w:val="16"/>
      <w:szCs w:val="16"/>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link w:val="Textkomente"/>
    <w:uiPriority w:val="99"/>
    <w:rPr>
      <w:rFonts w:ascii="Times New Roman" w:hAnsi="Times New Roman" w:cs="Times New Roman"/>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link w:val="Pedmtkomente"/>
    <w:uiPriority w:val="99"/>
    <w:rPr>
      <w:rFonts w:ascii="Times New Roman" w:hAnsi="Times New Roman" w:cs="Times New Roman"/>
      <w:b/>
      <w:bCs/>
    </w:rPr>
  </w:style>
  <w:style w:type="paragraph" w:styleId="Zkladntext2">
    <w:name w:val="Body Text 2"/>
    <w:basedOn w:val="Normln"/>
    <w:link w:val="Zkladntext2Char"/>
    <w:uiPriority w:val="99"/>
    <w:pPr>
      <w:spacing w:after="120" w:line="480" w:lineRule="auto"/>
      <w:jc w:val="left"/>
    </w:pPr>
    <w:rPr>
      <w:sz w:val="24"/>
      <w:szCs w:val="24"/>
    </w:rPr>
  </w:style>
  <w:style w:type="character" w:customStyle="1" w:styleId="Zkladntext2Char">
    <w:name w:val="Základní text 2 Char"/>
    <w:link w:val="Zkladntext2"/>
    <w:uiPriority w:val="99"/>
    <w:rPr>
      <w:sz w:val="24"/>
      <w:szCs w:val="24"/>
    </w:rPr>
  </w:style>
  <w:style w:type="character" w:customStyle="1" w:styleId="platne1">
    <w:name w:val="platne1"/>
    <w:uiPriority w:val="99"/>
  </w:style>
  <w:style w:type="paragraph" w:customStyle="1" w:styleId="odstavec">
    <w:name w:val="odstavec"/>
    <w:basedOn w:val="Normln"/>
    <w:uiPriority w:val="99"/>
    <w:pPr>
      <w:widowControl w:val="0"/>
      <w:suppressAutoHyphens/>
      <w:spacing w:after="113" w:line="100" w:lineRule="atLeast"/>
      <w:ind w:left="709" w:hanging="709"/>
      <w:jc w:val="left"/>
    </w:pPr>
    <w:rPr>
      <w:color w:val="000000"/>
      <w:sz w:val="24"/>
      <w:szCs w:val="24"/>
    </w:rPr>
  </w:style>
  <w:style w:type="character" w:styleId="Siln">
    <w:name w:val="Strong"/>
    <w:uiPriority w:val="99"/>
    <w:qFormat/>
    <w:rPr>
      <w:b/>
      <w:bCs/>
    </w:rPr>
  </w:style>
  <w:style w:type="paragraph" w:customStyle="1" w:styleId="Odstavecsmlouvy">
    <w:name w:val="Odstavec smlouvy"/>
    <w:basedOn w:val="Zkladntext3"/>
    <w:uiPriority w:val="99"/>
    <w:pPr>
      <w:numPr>
        <w:ilvl w:val="1"/>
        <w:numId w:val="2"/>
      </w:numPr>
      <w:spacing w:line="240" w:lineRule="auto"/>
    </w:pPr>
    <w:rPr>
      <w:sz w:val="22"/>
      <w:szCs w:val="22"/>
    </w:rPr>
  </w:style>
  <w:style w:type="paragraph" w:customStyle="1" w:styleId="slovn">
    <w:name w:val="číslování"/>
    <w:basedOn w:val="Normln"/>
    <w:uiPriority w:val="99"/>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uiPriority w:val="99"/>
    <w:rPr>
      <w:rFonts w:ascii="Arial" w:hAnsi="Arial" w:cs="Arial"/>
      <w:sz w:val="22"/>
      <w:szCs w:val="22"/>
    </w:rPr>
  </w:style>
  <w:style w:type="paragraph" w:customStyle="1" w:styleId="Psmenoodstavce">
    <w:name w:val="Písmeno odstavce"/>
    <w:basedOn w:val="Odstavecsmlouvy"/>
    <w:uiPriority w:val="99"/>
    <w:pPr>
      <w:numPr>
        <w:ilvl w:val="2"/>
      </w:numPr>
      <w:ind w:left="1418" w:firstLine="0"/>
    </w:pPr>
  </w:style>
  <w:style w:type="paragraph" w:styleId="Zkladntextodsazen2">
    <w:name w:val="Body Text Indent 2"/>
    <w:basedOn w:val="Normln"/>
    <w:link w:val="Zkladntextodsazen2Char"/>
    <w:uiPriority w:val="99"/>
    <w:pPr>
      <w:spacing w:after="120" w:line="480" w:lineRule="auto"/>
      <w:ind w:left="283"/>
    </w:pPr>
  </w:style>
  <w:style w:type="character" w:customStyle="1" w:styleId="Zkladntextodsazen2Char">
    <w:name w:val="Základní text odsazený 2 Char"/>
    <w:link w:val="Zkladntextodsazen2"/>
    <w:uiPriority w:val="99"/>
    <w:rPr>
      <w:rFonts w:ascii="Arial" w:hAnsi="Arial" w:cs="Arial"/>
      <w:sz w:val="22"/>
      <w:szCs w:val="22"/>
    </w:rPr>
  </w:style>
  <w:style w:type="character" w:customStyle="1" w:styleId="PsmenoodstavceChar">
    <w:name w:val="Písmeno odstavce Char"/>
    <w:uiPriority w:val="99"/>
    <w:rPr>
      <w:rFonts w:ascii="Arial" w:hAnsi="Arial" w:cs="Arial"/>
      <w:sz w:val="22"/>
      <w:szCs w:val="22"/>
    </w:rPr>
  </w:style>
  <w:style w:type="paragraph" w:styleId="Revize">
    <w:name w:val="Revision"/>
    <w:hidden/>
    <w:uiPriority w:val="99"/>
    <w:rPr>
      <w:rFonts w:ascii="Arial" w:hAnsi="Arial" w:cs="Arial"/>
      <w:sz w:val="22"/>
      <w:szCs w:val="22"/>
    </w:rPr>
  </w:style>
  <w:style w:type="paragraph" w:styleId="Nzev">
    <w:name w:val="Title"/>
    <w:basedOn w:val="Normln"/>
    <w:link w:val="NzevChar"/>
    <w:uiPriority w:val="99"/>
    <w:qFormat/>
    <w:pPr>
      <w:jc w:val="center"/>
    </w:pPr>
    <w:rPr>
      <w:b/>
      <w:bCs/>
      <w:sz w:val="36"/>
      <w:szCs w:val="36"/>
    </w:rPr>
  </w:style>
  <w:style w:type="character" w:customStyle="1" w:styleId="NzevChar">
    <w:name w:val="Název Char"/>
    <w:link w:val="Nzev"/>
    <w:uiPriority w:val="10"/>
    <w:rsid w:val="00F16672"/>
    <w:rPr>
      <w:rFonts w:ascii="Cambria" w:eastAsia="Times New Roman" w:hAnsi="Cambria" w:cs="Times New Roman"/>
      <w:b/>
      <w:bCs/>
      <w:kern w:val="28"/>
      <w:sz w:val="32"/>
      <w:szCs w:val="32"/>
    </w:rPr>
  </w:style>
  <w:style w:type="paragraph" w:styleId="Prosttext">
    <w:name w:val="Plain Text"/>
    <w:basedOn w:val="Normln"/>
    <w:link w:val="ProsttextChar"/>
    <w:uiPriority w:val="99"/>
    <w:pPr>
      <w:widowControl w:val="0"/>
      <w:suppressAutoHyphens/>
      <w:spacing w:line="240" w:lineRule="auto"/>
      <w:jc w:val="left"/>
    </w:pPr>
    <w:rPr>
      <w:rFonts w:ascii="Calibri" w:eastAsia="??????" w:hAnsi="Calibri" w:cs="Calibri"/>
      <w:color w:val="000000"/>
      <w:kern w:val="1"/>
    </w:rPr>
  </w:style>
  <w:style w:type="character" w:customStyle="1" w:styleId="ProsttextChar">
    <w:name w:val="Prostý text Char"/>
    <w:link w:val="Prosttext"/>
    <w:uiPriority w:val="99"/>
    <w:semiHidden/>
    <w:rsid w:val="00F16672"/>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rst.org/cvs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ve.mitr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4324</Words>
  <Characters>25512</Characters>
  <Application>Microsoft Office Word</Application>
  <DocSecurity>0</DocSecurity>
  <Lines>212</Lines>
  <Paragraphs>59</Paragraphs>
  <ScaleCrop>false</ScaleCrop>
  <Company>sV</Company>
  <LinksUpToDate>false</LinksUpToDate>
  <CharactersWithSpaces>29777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KP/2452/2024/Do</dc:title>
  <dc:subject/>
  <dc:creator>sV</dc:creator>
  <cp:keywords/>
  <dc:description/>
  <cp:lastModifiedBy>Dorazilová Tereza</cp:lastModifiedBy>
  <cp:revision>15</cp:revision>
  <cp:lastPrinted>2024-06-04T09:23:00Z</cp:lastPrinted>
  <dcterms:created xsi:type="dcterms:W3CDTF">2024-06-04T09:23:00Z</dcterms:created>
  <dcterms:modified xsi:type="dcterms:W3CDTF">2024-08-06T08:00:00Z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d9067fe0-7216-43ed-9b51-278335212872</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ies>
</file>