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D5314E">
        <w:t>PRA-JZ-312/2017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5314E" w:rsidRPr="00D5314E">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5314E" w:rsidRPr="00D5314E">
        <w:rPr>
          <w:rFonts w:cs="Arial"/>
          <w:szCs w:val="20"/>
        </w:rPr>
        <w:t>Dobrovského 1278</w:t>
      </w:r>
      <w:r w:rsidR="00D5314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5314E" w:rsidRPr="00D5314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5314E" w:rsidRPr="00D5314E">
        <w:rPr>
          <w:rFonts w:cs="Arial"/>
          <w:szCs w:val="20"/>
        </w:rPr>
        <w:t xml:space="preserve">Úřad práce ČR – krajská pobočka v Olomouci, </w:t>
      </w:r>
      <w:proofErr w:type="spellStart"/>
      <w:r w:rsidR="00D5314E" w:rsidRPr="00D5314E">
        <w:rPr>
          <w:rFonts w:cs="Arial"/>
          <w:szCs w:val="20"/>
        </w:rPr>
        <w:t>Vejdovského</w:t>
      </w:r>
      <w:proofErr w:type="spellEnd"/>
      <w:r w:rsidR="00D5314E" w:rsidRPr="00D5314E">
        <w:rPr>
          <w:rFonts w:cs="Arial"/>
          <w:szCs w:val="20"/>
        </w:rPr>
        <w:t xml:space="preserve"> </w:t>
      </w:r>
      <w:proofErr w:type="gramStart"/>
      <w:r w:rsidR="00D5314E" w:rsidRPr="00D5314E">
        <w:rPr>
          <w:rFonts w:cs="Arial"/>
          <w:szCs w:val="20"/>
        </w:rPr>
        <w:t>č.p.</w:t>
      </w:r>
      <w:proofErr w:type="gramEnd"/>
      <w:r w:rsidR="00D5314E" w:rsidRPr="00D5314E">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D5314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5314E" w:rsidRPr="00D5314E">
        <w:rPr>
          <w:rFonts w:cs="Arial"/>
          <w:szCs w:val="20"/>
        </w:rPr>
        <w:t>TOPSTONE s</w:t>
      </w:r>
      <w:r w:rsidR="00D5314E">
        <w:t>.r.o.</w:t>
      </w:r>
      <w:r w:rsidR="00D5314E" w:rsidRPr="00D5314E">
        <w:rPr>
          <w:rFonts w:cs="Arial"/>
          <w:vanish/>
          <w:szCs w:val="20"/>
        </w:rPr>
        <w:t>0</w:t>
      </w:r>
    </w:p>
    <w:p w:rsidR="00246AE5" w:rsidRDefault="00D5314E"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D5314E">
        <w:rPr>
          <w:rFonts w:cs="Arial"/>
          <w:noProof/>
          <w:szCs w:val="20"/>
        </w:rPr>
        <w:t>Bohumil Piešťanský</w:t>
      </w:r>
      <w:r>
        <w:rPr>
          <w:noProof/>
        </w:rPr>
        <w:t>, jednatel</w:t>
      </w:r>
    </w:p>
    <w:p w:rsidR="00D5314E" w:rsidRPr="00A3020E" w:rsidRDefault="00D5314E" w:rsidP="00246AE5">
      <w:pPr>
        <w:tabs>
          <w:tab w:val="left" w:pos="2212"/>
        </w:tabs>
        <w:ind w:left="2211" w:hanging="2211"/>
        <w:jc w:val="left"/>
        <w:rPr>
          <w:rFonts w:cs="Arial"/>
          <w:szCs w:val="20"/>
        </w:rPr>
      </w:pPr>
      <w:r>
        <w:rPr>
          <w:noProof/>
        </w:rPr>
        <w:tab/>
      </w:r>
      <w:r>
        <w:rPr>
          <w:noProof/>
        </w:rPr>
        <w:tab/>
      </w:r>
      <w:r w:rsidR="004423CD">
        <w:tab/>
        <w:t xml:space="preserve">zastoupen na základě plné </w:t>
      </w:r>
      <w:proofErr w:type="gramStart"/>
      <w:r w:rsidR="004423CD">
        <w:t>moci</w:t>
      </w:r>
      <w:r w:rsidR="004423CD" w:rsidRPr="00BD61AE">
        <w:rPr>
          <w:rFonts w:cs="Arial"/>
          <w:noProof/>
          <w:szCs w:val="20"/>
        </w:rPr>
        <w:t xml:space="preserve"> </w:t>
      </w:r>
      <w:r w:rsidR="004423CD">
        <w:rPr>
          <w:rFonts w:cs="Arial"/>
          <w:noProof/>
          <w:szCs w:val="20"/>
        </w:rPr>
        <w:t xml:space="preserve"> </w:t>
      </w:r>
      <w:r>
        <w:rPr>
          <w:noProof/>
        </w:rPr>
        <w:t>Ing.</w:t>
      </w:r>
      <w:proofErr w:type="gramEnd"/>
      <w:r>
        <w:rPr>
          <w:noProof/>
        </w:rPr>
        <w:t xml:space="preserve"> Lubomír</w:t>
      </w:r>
      <w:r w:rsidR="004423CD">
        <w:rPr>
          <w:noProof/>
        </w:rPr>
        <w:t>em</w:t>
      </w:r>
      <w:r>
        <w:rPr>
          <w:noProof/>
        </w:rPr>
        <w:t xml:space="preserve"> Kubíč</w:t>
      </w:r>
      <w:r w:rsidR="004423CD">
        <w:rPr>
          <w:noProof/>
        </w:rPr>
        <w:t>kem</w:t>
      </w:r>
    </w:p>
    <w:p w:rsidR="00246AE5" w:rsidRPr="00A3020E" w:rsidRDefault="00D5314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5314E">
        <w:rPr>
          <w:rFonts w:cs="Arial"/>
          <w:szCs w:val="20"/>
        </w:rPr>
        <w:t xml:space="preserve">Družstevní </w:t>
      </w:r>
      <w:proofErr w:type="gramStart"/>
      <w:r w:rsidRPr="00D5314E">
        <w:rPr>
          <w:rFonts w:cs="Arial"/>
          <w:szCs w:val="20"/>
        </w:rPr>
        <w:t>č</w:t>
      </w:r>
      <w:r>
        <w:t>.p.</w:t>
      </w:r>
      <w:proofErr w:type="gramEnd"/>
      <w:r>
        <w:t xml:space="preserve"> 442, Hranice I-Město, 753 01 Hranice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5314E" w:rsidRPr="00D5314E">
        <w:rPr>
          <w:rFonts w:cs="Arial"/>
          <w:szCs w:val="20"/>
        </w:rPr>
        <w:t>27782239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D5314E">
        <w:t>CZ.03.1.48/0.0/0.0/15_010/0000032</w:t>
      </w:r>
      <w:r>
        <w:rPr>
          <w:i/>
          <w:iCs/>
        </w:rPr>
        <w:t xml:space="preserve"> - </w:t>
      </w:r>
      <w:r w:rsidR="00D5314E">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D5314E">
        <w:rPr>
          <w:noProof/>
        </w:rPr>
        <w:t>pomocný dělník ve výrobě, stáčení chemie</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D5314E">
        <w:t xml:space="preserve">Družstevní </w:t>
      </w:r>
      <w:proofErr w:type="gramStart"/>
      <w:r w:rsidR="00D5314E">
        <w:t>č.p.</w:t>
      </w:r>
      <w:proofErr w:type="gramEnd"/>
      <w:r w:rsidR="00D5314E">
        <w:t xml:space="preserve"> 442, Hranice I-Město, 753 01 Hranice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16A38">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16A38">
        <w:t>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16A38">
        <w:rPr>
          <w:noProof/>
        </w:rPr>
        <w:t>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D5314E">
        <w:rPr>
          <w:noProof/>
        </w:rPr>
        <w:t xml:space="preserve">určitou od 1.8.2017 do 31.7.2018 s týdenní pracovní dobou </w:t>
      </w:r>
      <w:r w:rsidR="00916A38">
        <w:rPr>
          <w:noProof/>
        </w:rPr>
        <w:t xml:space="preserve">              </w:t>
      </w:r>
      <w:bookmarkStart w:id="0" w:name="_GoBack"/>
      <w:bookmarkEnd w:id="0"/>
      <w:r w:rsidR="00D5314E">
        <w:rPr>
          <w:noProof/>
        </w:rPr>
        <w:t>40 hod</w:t>
      </w:r>
      <w:r w:rsidR="00284EDC">
        <w:t>.</w:t>
      </w:r>
    </w:p>
    <w:p w:rsidR="004C6774" w:rsidRDefault="004C6774" w:rsidP="004C6774">
      <w:pPr>
        <w:pStyle w:val="Boddohody"/>
      </w:pPr>
      <w:r>
        <w:lastRenderedPageBreak/>
        <w:t xml:space="preserve">V případě, že pracovní poměr zaměstnance skončí přede dnem </w:t>
      </w:r>
      <w:r w:rsidR="00D5314E">
        <w:rPr>
          <w:noProof/>
        </w:rPr>
        <w:t>31.7.2018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D5314E">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5314E">
        <w:t>216 000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D5314E">
        <w:rPr>
          <w:noProof/>
        </w:rPr>
        <w:t>1.8.2017</w:t>
      </w:r>
      <w:r w:rsidR="00781CAC">
        <w:t xml:space="preserve"> do</w:t>
      </w:r>
      <w:r w:rsidRPr="0058691B">
        <w:t> </w:t>
      </w:r>
      <w:r w:rsidR="00D5314E">
        <w:rPr>
          <w:noProof/>
        </w:rPr>
        <w:t>31.7.2018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916A38">
        <w:rPr>
          <w:b/>
        </w:rPr>
        <w:t>xxxxxxxx</w:t>
      </w:r>
      <w:proofErr w:type="spellEnd"/>
      <w:r w:rsidR="00916A38">
        <w:rPr>
          <w:b/>
        </w:rPr>
        <w:t>.</w:t>
      </w:r>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lastRenderedPageBreak/>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F61575" w:rsidRPr="00F61575" w:rsidRDefault="00F61575" w:rsidP="00F61575">
      <w:pPr>
        <w:pStyle w:val="Boddohody"/>
      </w:pPr>
      <w:r w:rsidRPr="00F61575">
        <w:lastRenderedPageBreak/>
        <w:t>Dohoda nabývá platnosti dnem jejího podpisu oběma smluvními stranami.</w:t>
      </w:r>
    </w:p>
    <w:p w:rsidR="00F61575" w:rsidRPr="00F61575" w:rsidRDefault="00F61575" w:rsidP="00F61575">
      <w:pPr>
        <w:pStyle w:val="Boddohody"/>
      </w:pPr>
      <w:r w:rsidRPr="00F61575">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61575">
        <w:br/>
        <w:t xml:space="preserve">v dohodě sjednají. </w:t>
      </w:r>
    </w:p>
    <w:p w:rsidR="002F42B9" w:rsidRPr="003F2F6D" w:rsidRDefault="002F42B9" w:rsidP="0007184F">
      <w:pPr>
        <w:keepNext/>
        <w:keepLines/>
        <w:tabs>
          <w:tab w:val="left" w:pos="2520"/>
        </w:tabs>
        <w:rPr>
          <w:rFonts w:cs="Arial"/>
          <w:szCs w:val="20"/>
        </w:rPr>
      </w:pPr>
    </w:p>
    <w:p w:rsidR="002F42B9" w:rsidRPr="00916A38" w:rsidRDefault="002F42B9" w:rsidP="0007184F">
      <w:pPr>
        <w:keepNext/>
        <w:keepLines/>
        <w:tabs>
          <w:tab w:val="left" w:pos="2520"/>
        </w:tabs>
        <w:rPr>
          <w:rFonts w:cs="Arial"/>
          <w:szCs w:val="20"/>
        </w:rPr>
      </w:pPr>
    </w:p>
    <w:p w:rsidR="00662069" w:rsidRPr="00916A38" w:rsidRDefault="00D5314E" w:rsidP="009B751F">
      <w:pPr>
        <w:keepNext/>
        <w:keepLines/>
        <w:tabs>
          <w:tab w:val="left" w:pos="2520"/>
        </w:tabs>
        <w:rPr>
          <w:rFonts w:cs="Arial"/>
          <w:szCs w:val="20"/>
        </w:rPr>
      </w:pPr>
      <w:r w:rsidRPr="00916A38">
        <w:rPr>
          <w:noProof/>
        </w:rPr>
        <w:t>V Olomouci</w:t>
      </w:r>
      <w:r w:rsidR="000378AA" w:rsidRPr="00916A38">
        <w:rPr>
          <w:rFonts w:cs="Arial"/>
          <w:szCs w:val="20"/>
        </w:rPr>
        <w:t xml:space="preserve"> dne </w:t>
      </w:r>
      <w:r w:rsidR="00916A38" w:rsidRPr="00916A38">
        <w:rPr>
          <w:noProof/>
        </w:rPr>
        <w:t>18.7.2017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D5314E" w:rsidRDefault="00D5314E">
      <w:pPr>
        <w:keepNext/>
        <w:keepLines/>
        <w:rPr>
          <w:rFonts w:cs="Arial"/>
          <w:szCs w:val="20"/>
        </w:rPr>
      </w:pPr>
    </w:p>
    <w:p w:rsidR="00D5314E" w:rsidRDefault="00D5314E">
      <w:pPr>
        <w:keepNext/>
        <w:keepLines/>
        <w:rPr>
          <w:rFonts w:cs="Arial"/>
          <w:szCs w:val="20"/>
        </w:rPr>
      </w:pPr>
    </w:p>
    <w:p w:rsidR="00D5314E" w:rsidRDefault="00D5314E">
      <w:pPr>
        <w:keepNext/>
        <w:keepLines/>
        <w:rPr>
          <w:rFonts w:cs="Arial"/>
          <w:szCs w:val="20"/>
        </w:rPr>
      </w:pPr>
    </w:p>
    <w:p w:rsidR="00EF1F67" w:rsidRDefault="00EF1F67">
      <w:pPr>
        <w:keepNext/>
        <w:keepLines/>
        <w:rPr>
          <w:rFonts w:cs="Arial"/>
          <w:szCs w:val="20"/>
        </w:rPr>
      </w:pPr>
    </w:p>
    <w:p w:rsidR="00D5314E" w:rsidRDefault="00D5314E">
      <w:pPr>
        <w:keepNext/>
        <w:keepLines/>
        <w:rPr>
          <w:rFonts w:cs="Arial"/>
          <w:szCs w:val="20"/>
        </w:rPr>
      </w:pPr>
    </w:p>
    <w:p w:rsidR="00D5314E" w:rsidRDefault="00D5314E">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D5314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D5314E" w:rsidP="00EF1F67">
      <w:pPr>
        <w:keepNext/>
        <w:keepLines/>
        <w:jc w:val="center"/>
        <w:rPr>
          <w:rFonts w:cs="Arial"/>
          <w:szCs w:val="20"/>
        </w:rPr>
      </w:pPr>
      <w:r>
        <w:rPr>
          <w:rFonts w:cs="Arial"/>
          <w:szCs w:val="20"/>
        </w:rPr>
        <w:t>Ing. Lubomír Kubíček</w:t>
      </w:r>
      <w:r>
        <w:tab/>
      </w:r>
      <w:r>
        <w:br/>
        <w:t>zmocněnec</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D5314E" w:rsidRDefault="00D5314E" w:rsidP="00EF1F67">
      <w:pPr>
        <w:keepNext/>
        <w:keepLines/>
        <w:jc w:val="center"/>
        <w:rPr>
          <w:rFonts w:cs="Arial"/>
          <w:szCs w:val="20"/>
        </w:rPr>
      </w:pPr>
      <w:r w:rsidRPr="00D5314E">
        <w:rPr>
          <w:rFonts w:cs="Arial"/>
          <w:szCs w:val="20"/>
        </w:rPr>
        <w:t>Ing. Bořivoj Novotný</w:t>
      </w:r>
    </w:p>
    <w:p w:rsidR="00D5314E" w:rsidRDefault="00D5314E" w:rsidP="00EF1F67">
      <w:pPr>
        <w:keepNext/>
        <w:keepLines/>
        <w:jc w:val="center"/>
        <w:rPr>
          <w:rFonts w:cs="Arial"/>
          <w:szCs w:val="20"/>
        </w:rPr>
      </w:pPr>
      <w:r w:rsidRPr="00D5314E">
        <w:rPr>
          <w:rFonts w:cs="Arial"/>
          <w:szCs w:val="20"/>
        </w:rPr>
        <w:t xml:space="preserve">ředitel Odboru zaměstnanosti </w:t>
      </w:r>
    </w:p>
    <w:p w:rsidR="00EF1F67" w:rsidRPr="00F2642D" w:rsidRDefault="00D5314E" w:rsidP="00EF1F67">
      <w:pPr>
        <w:keepNext/>
        <w:keepLines/>
        <w:jc w:val="center"/>
        <w:rPr>
          <w:rFonts w:cs="Arial"/>
          <w:szCs w:val="20"/>
        </w:rPr>
        <w:sectPr w:rsidR="00EF1F67" w:rsidRPr="00F2642D" w:rsidSect="00D5314E">
          <w:type w:val="continuous"/>
          <w:pgSz w:w="11907" w:h="16839"/>
          <w:pgMar w:top="1191" w:right="1191" w:bottom="1191" w:left="1191" w:header="709" w:footer="709" w:gutter="0"/>
          <w:cols w:num="2" w:space="454"/>
          <w:docGrid w:linePitch="360"/>
        </w:sectPr>
      </w:pPr>
      <w:r w:rsidRPr="00D5314E">
        <w:rPr>
          <w:rFonts w:cs="Arial"/>
          <w:szCs w:val="20"/>
        </w:rPr>
        <w:t>krajské pobočky v Olomouci</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5314E">
        <w:rPr>
          <w:rFonts w:cs="Arial"/>
          <w:szCs w:val="20"/>
        </w:rPr>
        <w:t xml:space="preserve">Mgr. </w:t>
      </w:r>
      <w:r w:rsidR="00D5314E" w:rsidRPr="00D5314E">
        <w:rPr>
          <w:rFonts w:cs="Arial"/>
          <w:szCs w:val="20"/>
        </w:rPr>
        <w:t>Martin Doležel</w:t>
      </w:r>
    </w:p>
    <w:p w:rsidR="0041570C" w:rsidRDefault="00DC610C" w:rsidP="0041570C">
      <w:pPr>
        <w:keepLines/>
        <w:tabs>
          <w:tab w:val="left" w:pos="2160"/>
        </w:tabs>
        <w:rPr>
          <w:rFonts w:cs="Arial"/>
          <w:szCs w:val="20"/>
        </w:rPr>
      </w:pPr>
      <w:r w:rsidRPr="003F2F6D">
        <w:rPr>
          <w:rFonts w:cs="Arial"/>
          <w:szCs w:val="20"/>
        </w:rPr>
        <w:t>Telefon:</w:t>
      </w:r>
      <w:r w:rsidR="00D5314E">
        <w:rPr>
          <w:rFonts w:cs="Arial"/>
          <w:szCs w:val="20"/>
        </w:rPr>
        <w:tab/>
      </w:r>
      <w:r w:rsidR="00D5314E">
        <w:rPr>
          <w:rFonts w:cs="Arial"/>
          <w:szCs w:val="20"/>
        </w:rPr>
        <w:tab/>
        <w:t>950 141 471, 724 756 597</w:t>
      </w:r>
      <w:r w:rsidRPr="003F2F6D">
        <w:rPr>
          <w:rFonts w:cs="Arial"/>
          <w:szCs w:val="20"/>
        </w:rPr>
        <w:tab/>
      </w: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D5314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14" w:rsidRDefault="00912E14">
      <w:r>
        <w:separator/>
      </w:r>
    </w:p>
  </w:endnote>
  <w:endnote w:type="continuationSeparator" w:id="0">
    <w:p w:rsidR="00912E14" w:rsidRDefault="0091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4E" w:rsidRDefault="00D5314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16A3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16A3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14" w:rsidRDefault="00912E14">
      <w:r>
        <w:separator/>
      </w:r>
    </w:p>
  </w:footnote>
  <w:footnote w:type="continuationSeparator" w:id="0">
    <w:p w:rsidR="00912E14" w:rsidRDefault="0091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4E" w:rsidRDefault="00D5314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4E" w:rsidRDefault="00D5314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B4D91">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91"/>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2807"/>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D91"/>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3C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14"/>
    <w:rsid w:val="00916A38"/>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09FF"/>
    <w:rsid w:val="00C41478"/>
    <w:rsid w:val="00C419CE"/>
    <w:rsid w:val="00C44D23"/>
    <w:rsid w:val="00C474BF"/>
    <w:rsid w:val="00C53998"/>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314E"/>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1575"/>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77FBB-B737-435F-B29A-97BE8FF6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2080</Words>
  <Characters>12276</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4</cp:revision>
  <cp:lastPrinted>2015-10-21T11:39:00Z</cp:lastPrinted>
  <dcterms:created xsi:type="dcterms:W3CDTF">2017-07-13T09:05:00Z</dcterms:created>
  <dcterms:modified xsi:type="dcterms:W3CDTF">2017-07-18T05:49:00Z</dcterms:modified>
</cp:coreProperties>
</file>