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C6" w:rsidRPr="0070286C" w:rsidRDefault="00D850C6">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D850C6" w:rsidRPr="0070286C" w:rsidRDefault="00D850C6"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FF2627">
        <w:rPr>
          <w:rFonts w:ascii="Open Sans" w:hAnsi="Open Sans" w:cs="Open Sans"/>
          <w:noProof/>
          <w:sz w:val="20"/>
        </w:rPr>
        <w:t>863/2024</w:t>
      </w:r>
      <w:r w:rsidRPr="0070286C">
        <w:rPr>
          <w:rFonts w:ascii="Open Sans" w:hAnsi="Open Sans" w:cs="Open Sans"/>
          <w:sz w:val="20"/>
          <w:szCs w:val="22"/>
        </w:rPr>
        <w:br/>
        <w:t>uzavřená dále uvedeného dne, měsíce a roku,</w:t>
      </w:r>
    </w:p>
    <w:p w:rsidR="00D850C6" w:rsidRPr="0070286C" w:rsidRDefault="00D850C6"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D850C6" w:rsidRPr="0070286C" w:rsidRDefault="00D850C6"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D850C6" w:rsidRPr="0070286C" w:rsidRDefault="00D850C6"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D850C6" w:rsidRPr="0070286C" w:rsidRDefault="00D850C6" w:rsidP="008548E2">
      <w:pPr>
        <w:pStyle w:val="slovanseznam"/>
        <w:numPr>
          <w:ilvl w:val="0"/>
          <w:numId w:val="0"/>
        </w:numPr>
        <w:ind w:left="709"/>
        <w:jc w:val="left"/>
        <w:rPr>
          <w:rFonts w:ascii="Open Sans" w:hAnsi="Open Sans" w:cs="Open Sans"/>
          <w:sz w:val="20"/>
        </w:rPr>
      </w:pPr>
    </w:p>
    <w:p w:rsidR="00D850C6" w:rsidRPr="00422287" w:rsidRDefault="00D850C6" w:rsidP="00446327">
      <w:pPr>
        <w:pStyle w:val="slovanseznam"/>
        <w:tabs>
          <w:tab w:val="clear" w:pos="1135"/>
        </w:tabs>
        <w:spacing w:before="0"/>
        <w:jc w:val="left"/>
        <w:rPr>
          <w:rFonts w:ascii="Open Sans" w:hAnsi="Open Sans" w:cs="Open Sans"/>
          <w:color w:val="000000" w:themeColor="text1"/>
          <w:sz w:val="20"/>
        </w:rPr>
      </w:pPr>
      <w:r w:rsidRPr="00FF2627">
        <w:rPr>
          <w:rFonts w:ascii="Open Sans" w:hAnsi="Open Sans" w:cs="Open Sans"/>
          <w:b/>
          <w:noProof/>
          <w:color w:val="000000" w:themeColor="text1"/>
          <w:sz w:val="20"/>
        </w:rPr>
        <w:t>TJ EMĚ Mělník, z.s. (14800152)</w:t>
      </w:r>
    </w:p>
    <w:p w:rsidR="00D850C6" w:rsidRDefault="00D850C6" w:rsidP="0044632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FF2627">
        <w:rPr>
          <w:rFonts w:ascii="Open Sans" w:hAnsi="Open Sans" w:cs="Open Sans"/>
          <w:noProof/>
          <w:sz w:val="20"/>
        </w:rPr>
        <w:t>Pražská 417</w:t>
      </w:r>
      <w:r w:rsidRPr="00422287">
        <w:rPr>
          <w:rFonts w:ascii="Open Sans" w:hAnsi="Open Sans" w:cs="Open Sans"/>
          <w:sz w:val="20"/>
        </w:rPr>
        <w:t>,</w:t>
      </w:r>
      <w:r>
        <w:rPr>
          <w:rFonts w:ascii="Open Sans" w:hAnsi="Open Sans" w:cs="Open Sans"/>
          <w:sz w:val="20"/>
        </w:rPr>
        <w:t xml:space="preserve"> </w:t>
      </w:r>
      <w:r w:rsidRPr="00FF2627">
        <w:rPr>
          <w:rFonts w:ascii="Open Sans" w:hAnsi="Open Sans" w:cs="Open Sans"/>
          <w:noProof/>
          <w:sz w:val="20"/>
        </w:rPr>
        <w:t>27601</w:t>
      </w:r>
      <w:r>
        <w:rPr>
          <w:rFonts w:ascii="Open Sans" w:hAnsi="Open Sans" w:cs="Open Sans"/>
          <w:sz w:val="20"/>
        </w:rPr>
        <w:t xml:space="preserve"> </w:t>
      </w:r>
      <w:r w:rsidRPr="00FF262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FF2627">
        <w:rPr>
          <w:rFonts w:ascii="Open Sans" w:hAnsi="Open Sans" w:cs="Open Sans"/>
          <w:noProof/>
          <w:sz w:val="20"/>
        </w:rPr>
        <w:t>14800152</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FF2627">
        <w:rPr>
          <w:rFonts w:ascii="Open Sans" w:hAnsi="Open Sans" w:cs="Open Sans"/>
          <w:noProof/>
          <w:sz w:val="20"/>
        </w:rPr>
        <w:t>Raiffeisen Bank1480015205/5500</w:t>
      </w:r>
      <w:r w:rsidRPr="00422287">
        <w:rPr>
          <w:rFonts w:ascii="Open Sans" w:hAnsi="Open Sans" w:cs="Open Sans"/>
          <w:sz w:val="20"/>
        </w:rPr>
        <w:t>,</w:t>
      </w:r>
      <w:r w:rsidRPr="00422287">
        <w:rPr>
          <w:rFonts w:ascii="Open Sans" w:hAnsi="Open Sans" w:cs="Open Sans"/>
          <w:sz w:val="20"/>
        </w:rPr>
        <w:br/>
        <w:t xml:space="preserve">zastoupen </w:t>
      </w:r>
      <w:r w:rsidRPr="00FF2627">
        <w:rPr>
          <w:rFonts w:ascii="Open Sans" w:hAnsi="Open Sans" w:cs="Open Sans"/>
          <w:noProof/>
          <w:sz w:val="20"/>
        </w:rPr>
        <w:t>ing. Martinem  Spurným</w:t>
      </w:r>
      <w:r w:rsidRPr="00422287">
        <w:rPr>
          <w:rFonts w:ascii="Open Sans" w:hAnsi="Open Sans" w:cs="Open Sans"/>
          <w:sz w:val="20"/>
        </w:rPr>
        <w:t xml:space="preserve">, </w:t>
      </w:r>
      <w:r w:rsidRPr="00FF2627">
        <w:rPr>
          <w:rFonts w:ascii="Open Sans" w:hAnsi="Open Sans" w:cs="Open Sans"/>
          <w:noProof/>
          <w:sz w:val="20"/>
        </w:rPr>
        <w:t>předsedou spolku</w:t>
      </w:r>
      <w:r w:rsidRPr="00422287">
        <w:rPr>
          <w:rFonts w:ascii="Open Sans" w:hAnsi="Open Sans" w:cs="Open Sans"/>
          <w:sz w:val="20"/>
        </w:rPr>
        <w:t>,</w:t>
      </w:r>
    </w:p>
    <w:p w:rsidR="00D850C6" w:rsidRPr="0096080E" w:rsidRDefault="00D850C6" w:rsidP="0044632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D850C6" w:rsidRPr="00422287" w:rsidRDefault="00D850C6" w:rsidP="0044632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FF2627">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Pr="00FF2627">
        <w:rPr>
          <w:rFonts w:ascii="Open Sans" w:hAnsi="Open Sans" w:cs="Open Sans"/>
          <w:noProof/>
          <w:sz w:val="19"/>
          <w:szCs w:val="19"/>
        </w:rPr>
        <w:t>46/2024</w:t>
      </w:r>
      <w:r w:rsidRPr="00422287">
        <w:rPr>
          <w:rFonts w:ascii="Open Sans" w:hAnsi="Open Sans" w:cs="Open Sans"/>
          <w:sz w:val="19"/>
          <w:szCs w:val="19"/>
        </w:rPr>
        <w:t xml:space="preserve">, ze dne </w:t>
      </w:r>
      <w:r>
        <w:rPr>
          <w:rFonts w:ascii="Open Sans" w:hAnsi="Open Sans" w:cs="Open Sans"/>
          <w:noProof/>
          <w:sz w:val="19"/>
          <w:szCs w:val="19"/>
        </w:rPr>
        <w:t>20. 05. 2024</w:t>
      </w:r>
      <w:r w:rsidRPr="00422287">
        <w:rPr>
          <w:rFonts w:ascii="Open Sans" w:hAnsi="Open Sans" w:cs="Open Sans"/>
          <w:sz w:val="19"/>
          <w:szCs w:val="19"/>
        </w:rPr>
        <w:t>, uzavírají účastníci tuto smlouvu o poskytnutí účelové dotace z prostředků poskytovatele.</w:t>
      </w:r>
    </w:p>
    <w:p w:rsidR="00D850C6" w:rsidRPr="00523BAB" w:rsidRDefault="00D850C6"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D850C6" w:rsidRPr="00C142A7" w:rsidRDefault="00D850C6" w:rsidP="00446327">
      <w:pPr>
        <w:pStyle w:val="slovanseznam"/>
        <w:rPr>
          <w:rFonts w:ascii="Open Sans" w:hAnsi="Open Sans" w:cs="Open Sans"/>
          <w:sz w:val="19"/>
          <w:szCs w:val="19"/>
        </w:rPr>
      </w:pPr>
      <w:r w:rsidRPr="00446327">
        <w:rPr>
          <w:rFonts w:ascii="Open Sans" w:hAnsi="Open Sans" w:cs="Open Sans"/>
          <w:sz w:val="19"/>
          <w:szCs w:val="19"/>
        </w:rPr>
        <w:t xml:space="preserve">Příjemce je </w:t>
      </w:r>
      <w:r w:rsidRPr="00FF2627">
        <w:rPr>
          <w:rFonts w:ascii="Open Sans" w:hAnsi="Open Sans" w:cs="Open Sans"/>
          <w:noProof/>
          <w:sz w:val="19"/>
          <w:szCs w:val="19"/>
        </w:rPr>
        <w:t>spolek</w:t>
      </w:r>
      <w:r w:rsidRPr="00446327">
        <w:rPr>
          <w:rFonts w:ascii="Open Sans" w:hAnsi="Open Sans" w:cs="Open Sans"/>
          <w:sz w:val="19"/>
          <w:szCs w:val="19"/>
        </w:rPr>
        <w:t xml:space="preserve">, který požádal poskytovatele o poskytnutí neinvestiční dotace na </w:t>
      </w:r>
      <w:r w:rsidRPr="00446327">
        <w:rPr>
          <w:rFonts w:ascii="Open Sans" w:hAnsi="Open Sans" w:cs="Open Sans"/>
          <w:sz w:val="19"/>
          <w:szCs w:val="19"/>
        </w:rPr>
        <w:br/>
      </w:r>
      <w:r w:rsidRPr="00446327">
        <w:rPr>
          <w:rFonts w:ascii="Open Sans" w:hAnsi="Open Sans" w:cs="Open Sans"/>
          <w:b/>
          <w:sz w:val="19"/>
          <w:szCs w:val="19"/>
        </w:rPr>
        <w:t>podporu sportovní činnosti trenérů v roce 2024</w:t>
      </w:r>
      <w:r w:rsidRPr="0044632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FF2627">
        <w:rPr>
          <w:rFonts w:ascii="Open Sans" w:hAnsi="Open Sans" w:cs="Open Sans"/>
          <w:noProof/>
          <w:sz w:val="19"/>
          <w:szCs w:val="19"/>
        </w:rPr>
        <w:t>9540</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D850C6" w:rsidRPr="00446327" w:rsidRDefault="00D850C6" w:rsidP="00802FF1">
      <w:pPr>
        <w:pStyle w:val="slovanseznam"/>
        <w:rPr>
          <w:rFonts w:ascii="Open Sans" w:hAnsi="Open Sans" w:cs="Open Sans"/>
          <w:sz w:val="19"/>
          <w:szCs w:val="19"/>
        </w:rPr>
      </w:pPr>
      <w:r w:rsidRPr="0044632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446327">
        <w:rPr>
          <w:rFonts w:ascii="Open Sans" w:hAnsi="Open Sans" w:cs="Open Sans"/>
          <w:sz w:val="19"/>
          <w:szCs w:val="19"/>
        </w:rPr>
        <w:br/>
        <w:t>následující zákona č. 500/2004 Sb., zákon správní řád, ve znění pozdějších předpisů.</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D850C6" w:rsidRPr="00523BAB" w:rsidRDefault="00D850C6" w:rsidP="0044632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280</w:t>
      </w:r>
      <w:r w:rsidRPr="00C768B3">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FF2627">
        <w:rPr>
          <w:rFonts w:ascii="Open Sans" w:hAnsi="Open Sans" w:cs="Open Sans"/>
          <w:b/>
          <w:bCs/>
          <w:noProof/>
          <w:sz w:val="19"/>
          <w:szCs w:val="19"/>
        </w:rPr>
        <w:t>dvěstěosmdesát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D850C6" w:rsidRPr="00446327" w:rsidRDefault="00D850C6" w:rsidP="00802547">
      <w:pPr>
        <w:pStyle w:val="slovanseznam"/>
        <w:rPr>
          <w:rFonts w:ascii="Open Sans" w:hAnsi="Open Sans" w:cs="Open Sans"/>
          <w:sz w:val="19"/>
          <w:szCs w:val="19"/>
        </w:rPr>
      </w:pPr>
      <w:r w:rsidRPr="0044632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46327">
        <w:rPr>
          <w:rFonts w:ascii="Open Sans" w:hAnsi="Open Sans" w:cs="Open Sans"/>
          <w:sz w:val="19"/>
          <w:szCs w:val="19"/>
        </w:rPr>
        <w:t xml:space="preserve"> této smlouvy výhradně na </w:t>
      </w:r>
      <w:r w:rsidRPr="00446327">
        <w:rPr>
          <w:rFonts w:ascii="Open Sans" w:hAnsi="Open Sans" w:cs="Open Sans"/>
          <w:sz w:val="19"/>
          <w:szCs w:val="19"/>
        </w:rPr>
        <w:br/>
        <w:t xml:space="preserve">neinvestiční výdaje přímo související s podporou </w:t>
      </w:r>
      <w:r w:rsidRPr="00446327">
        <w:rPr>
          <w:rFonts w:ascii="Open Sans" w:hAnsi="Open Sans" w:cs="Open Sans"/>
          <w:b/>
          <w:sz w:val="19"/>
          <w:szCs w:val="19"/>
        </w:rPr>
        <w:t>sportovní činnosti trenérů</w:t>
      </w:r>
      <w:r w:rsidRPr="00446327">
        <w:rPr>
          <w:rFonts w:ascii="Open Sans" w:hAnsi="Open Sans" w:cs="Open Sans"/>
          <w:sz w:val="19"/>
          <w:szCs w:val="19"/>
        </w:rPr>
        <w:t xml:space="preserve"> </w:t>
      </w:r>
      <w:r w:rsidRPr="00446327">
        <w:rPr>
          <w:rFonts w:ascii="Open Sans" w:hAnsi="Open Sans" w:cs="Open Sans"/>
          <w:b/>
          <w:sz w:val="19"/>
          <w:szCs w:val="19"/>
        </w:rPr>
        <w:t>v roce 2024</w:t>
      </w:r>
      <w:r w:rsidRPr="00446327">
        <w:rPr>
          <w:rFonts w:ascii="Open Sans" w:hAnsi="Open Sans" w:cs="Open Sans"/>
          <w:sz w:val="19"/>
          <w:szCs w:val="19"/>
        </w:rPr>
        <w:t>.</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D850C6" w:rsidRPr="00523BAB" w:rsidRDefault="00D850C6"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D850C6" w:rsidRPr="00C759CF" w:rsidRDefault="00D850C6"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D850C6" w:rsidRPr="00CF4D8F" w:rsidRDefault="00D850C6"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D850C6" w:rsidRPr="007B167C" w:rsidRDefault="00D850C6"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D850C6" w:rsidRPr="007B167C" w:rsidRDefault="00D850C6"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D850C6" w:rsidRPr="007B167C" w:rsidRDefault="00D850C6"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D850C6" w:rsidRPr="007B167C" w:rsidRDefault="00D850C6"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lastRenderedPageBreak/>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D850C6" w:rsidRPr="00D72526" w:rsidRDefault="00D850C6"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D850C6" w:rsidRDefault="00D850C6" w:rsidP="003073F5">
      <w:pPr>
        <w:pStyle w:val="slovanseznam2"/>
        <w:numPr>
          <w:ilvl w:val="2"/>
          <w:numId w:val="24"/>
        </w:numPr>
        <w:rPr>
          <w:rFonts w:ascii="Open Sans" w:hAnsi="Open Sans" w:cs="Open Sans"/>
          <w:sz w:val="19"/>
          <w:szCs w:val="19"/>
        </w:rPr>
      </w:pPr>
      <w:r>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rsidR="00D850C6" w:rsidRDefault="00D850C6" w:rsidP="003073F5">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vybavení, výzbroj, výstroj či spotřební materiál související s trenérskou činností (např. sportovní soupravy, sportovní obuv, dresy, míče, lapy, stopky); </w:t>
      </w:r>
    </w:p>
    <w:p w:rsidR="00D850C6" w:rsidRDefault="00D850C6" w:rsidP="003073F5">
      <w:pPr>
        <w:pStyle w:val="slovanseznam2"/>
        <w:numPr>
          <w:ilvl w:val="2"/>
          <w:numId w:val="24"/>
        </w:numPr>
        <w:rPr>
          <w:rFonts w:ascii="Open Sans" w:hAnsi="Open Sans" w:cs="Open Sans"/>
          <w:sz w:val="19"/>
          <w:szCs w:val="19"/>
        </w:rPr>
      </w:pPr>
      <w:r>
        <w:rPr>
          <w:rFonts w:ascii="Open Sans" w:hAnsi="Open Sans" w:cs="Open Sans"/>
          <w:sz w:val="19"/>
          <w:szCs w:val="19"/>
        </w:rPr>
        <w:t>Ostatní náklady související s činností trenérů v příslušné sportovní organizaci.</w:t>
      </w:r>
    </w:p>
    <w:p w:rsidR="00D850C6" w:rsidRPr="00523BAB" w:rsidRDefault="00D850C6"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D850C6" w:rsidRPr="00523BAB" w:rsidRDefault="00D850C6"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D850C6" w:rsidRPr="00523BAB" w:rsidRDefault="00D850C6"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D850C6" w:rsidRPr="00523BAB" w:rsidRDefault="00D850C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D850C6" w:rsidRPr="00523BAB" w:rsidRDefault="00D850C6"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D850C6" w:rsidRPr="00523BAB" w:rsidRDefault="00D850C6"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Porušení rozpočtové kázně</w:t>
      </w:r>
    </w:p>
    <w:p w:rsidR="00D850C6" w:rsidRPr="00523BAB" w:rsidRDefault="00D850C6"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D850C6" w:rsidRPr="00523BAB" w:rsidRDefault="00D850C6"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D850C6" w:rsidRPr="00523BAB" w:rsidRDefault="00D850C6"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D850C6" w:rsidRPr="00523BAB" w:rsidRDefault="00D850C6"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D850C6" w:rsidRPr="00523BAB" w:rsidRDefault="00D850C6"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D850C6" w:rsidRPr="00523BAB" w:rsidRDefault="00D850C6"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D850C6" w:rsidRPr="00523BAB" w:rsidRDefault="00D850C6"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D850C6" w:rsidRPr="00523BAB" w:rsidRDefault="00D850C6"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D850C6" w:rsidRPr="00523BAB" w:rsidRDefault="00D850C6"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D850C6" w:rsidRPr="00523BAB" w:rsidRDefault="00D850C6"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lastRenderedPageBreak/>
        <w:t>o rozpočtových pravidlech územních rozpočtů, v platném znění. Odvod za tato porušení se stanoví následujícím způsobem:</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D850C6" w:rsidRPr="00523BAB" w:rsidRDefault="00D850C6" w:rsidP="00D850C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D850C6" w:rsidRPr="00523BAB" w:rsidRDefault="00D850C6" w:rsidP="00D850C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D850C6" w:rsidRPr="00523BAB" w:rsidRDefault="00D850C6" w:rsidP="00D850C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D850C6" w:rsidRPr="00523BAB" w:rsidRDefault="00D850C6" w:rsidP="00D850C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D850C6" w:rsidRPr="00523BAB" w:rsidRDefault="00D850C6"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D850C6" w:rsidRPr="00523BAB" w:rsidRDefault="00D850C6"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D850C6" w:rsidRPr="00523BAB" w:rsidRDefault="00D850C6"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D850C6" w:rsidRPr="00523BAB" w:rsidRDefault="00D850C6"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D850C6" w:rsidRPr="00523BAB" w:rsidRDefault="00D850C6" w:rsidP="00D850C6">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D850C6" w:rsidRPr="00523BAB" w:rsidRDefault="00D850C6"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D850C6" w:rsidRPr="00523BAB" w:rsidRDefault="00D850C6"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D850C6" w:rsidRPr="00523BAB" w:rsidRDefault="00D850C6"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D850C6" w:rsidRPr="00523BAB" w:rsidRDefault="00D850C6" w:rsidP="00D850C6">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D850C6" w:rsidRDefault="00D850C6" w:rsidP="0044632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FF2627">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FF2627">
        <w:rPr>
          <w:rFonts w:ascii="Open Sans" w:hAnsi="Open Sans" w:cs="Open Sans"/>
          <w:noProof/>
          <w:sz w:val="19"/>
          <w:szCs w:val="19"/>
        </w:rPr>
        <w:t>46/2024</w:t>
      </w:r>
      <w:r w:rsidRPr="00422287">
        <w:rPr>
          <w:rFonts w:ascii="Open Sans" w:hAnsi="Open Sans" w:cs="Open Sans"/>
          <w:sz w:val="19"/>
          <w:szCs w:val="19"/>
        </w:rPr>
        <w:t>.</w:t>
      </w:r>
    </w:p>
    <w:p w:rsidR="00D850C6" w:rsidRPr="00A31B81" w:rsidRDefault="00D850C6"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D850C6" w:rsidRPr="00A31B81" w:rsidRDefault="00D850C6"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D850C6" w:rsidRPr="006412D5" w:rsidRDefault="00D850C6"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D850C6" w:rsidRDefault="00D850C6"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D850C6" w:rsidRPr="00A31B81" w:rsidRDefault="00D850C6" w:rsidP="006412D5">
      <w:pPr>
        <w:pStyle w:val="slovanseznam"/>
        <w:numPr>
          <w:ilvl w:val="0"/>
          <w:numId w:val="0"/>
        </w:numPr>
        <w:ind w:left="1135"/>
        <w:rPr>
          <w:rFonts w:ascii="Open Sans" w:hAnsi="Open Sans" w:cs="Open Sans"/>
          <w:sz w:val="19"/>
          <w:szCs w:val="19"/>
        </w:rPr>
      </w:pPr>
    </w:p>
    <w:p w:rsidR="00D850C6" w:rsidRPr="00523BAB" w:rsidRDefault="00D850C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Závěrečná ustanovení</w:t>
      </w:r>
    </w:p>
    <w:p w:rsidR="00D850C6" w:rsidRPr="00176898" w:rsidRDefault="00D850C6" w:rsidP="00A63833">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D850C6" w:rsidRPr="00523BAB" w:rsidRDefault="00D850C6"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D850C6" w:rsidRPr="00523BAB" w:rsidRDefault="00D850C6"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D850C6" w:rsidRPr="00523BAB" w:rsidRDefault="00D850C6"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D850C6" w:rsidRPr="00523BAB" w:rsidRDefault="00D850C6"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D850C6" w:rsidRPr="00523BAB" w:rsidRDefault="00D850C6"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D850C6" w:rsidRDefault="00D850C6" w:rsidP="00523BAB">
      <w:pPr>
        <w:pStyle w:val="slovanseznam"/>
        <w:numPr>
          <w:ilvl w:val="0"/>
          <w:numId w:val="0"/>
        </w:numPr>
        <w:ind w:left="709"/>
        <w:rPr>
          <w:rFonts w:ascii="Open Sans" w:hAnsi="Open Sans" w:cs="Open Sans"/>
          <w:sz w:val="19"/>
          <w:szCs w:val="19"/>
        </w:rPr>
      </w:pPr>
    </w:p>
    <w:p w:rsidR="00D850C6" w:rsidRDefault="00D850C6" w:rsidP="00523BAB">
      <w:pPr>
        <w:pStyle w:val="slovanseznam"/>
        <w:numPr>
          <w:ilvl w:val="0"/>
          <w:numId w:val="0"/>
        </w:numPr>
        <w:ind w:left="709"/>
        <w:rPr>
          <w:rFonts w:ascii="Open Sans" w:hAnsi="Open Sans" w:cs="Open Sans"/>
          <w:sz w:val="19"/>
          <w:szCs w:val="19"/>
        </w:rPr>
      </w:pPr>
    </w:p>
    <w:p w:rsidR="00D850C6" w:rsidRPr="00523BAB" w:rsidRDefault="00D850C6" w:rsidP="00523BAB">
      <w:pPr>
        <w:pStyle w:val="slovanseznam"/>
        <w:numPr>
          <w:ilvl w:val="0"/>
          <w:numId w:val="0"/>
        </w:numPr>
        <w:ind w:left="709"/>
        <w:rPr>
          <w:rFonts w:ascii="Open Sans" w:hAnsi="Open Sans" w:cs="Open Sans"/>
          <w:sz w:val="19"/>
          <w:szCs w:val="19"/>
        </w:rPr>
      </w:pPr>
    </w:p>
    <w:p w:rsidR="00D850C6" w:rsidRPr="00523BAB" w:rsidRDefault="00D850C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D850C6" w:rsidRPr="00523BAB" w:rsidRDefault="00D850C6"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D850C6" w:rsidRPr="00523BAB" w:rsidRDefault="00D850C6" w:rsidP="00A508C6">
      <w:pPr>
        <w:pStyle w:val="Datum"/>
        <w:ind w:left="0"/>
        <w:rPr>
          <w:rFonts w:ascii="Open Sans" w:hAnsi="Open Sans" w:cs="Open Sans"/>
          <w:sz w:val="19"/>
          <w:szCs w:val="19"/>
        </w:rPr>
      </w:pPr>
    </w:p>
    <w:p w:rsidR="00D850C6" w:rsidRPr="00523BAB" w:rsidRDefault="00D850C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D850C6" w:rsidRPr="0070286C" w:rsidRDefault="00D850C6" w:rsidP="00446327">
      <w:pPr>
        <w:pStyle w:val="Podpis"/>
        <w:rPr>
          <w:rFonts w:ascii="Open Sans" w:hAnsi="Open Sans" w:cs="Open Sans"/>
        </w:rPr>
      </w:pPr>
      <w:r w:rsidRPr="00FF2627">
        <w:rPr>
          <w:rFonts w:ascii="Open Sans" w:hAnsi="Open Sans" w:cs="Open Sans"/>
          <w:noProof/>
          <w:sz w:val="19"/>
          <w:szCs w:val="19"/>
        </w:rPr>
        <w:t>Ing. Martin Spurný</w:t>
      </w:r>
      <w:r w:rsidRPr="00422287">
        <w:rPr>
          <w:rFonts w:ascii="Open Sans" w:hAnsi="Open Sans" w:cs="Open Sans"/>
          <w:sz w:val="19"/>
          <w:szCs w:val="19"/>
        </w:rPr>
        <w:br/>
      </w:r>
      <w:r w:rsidRPr="00FF2627">
        <w:rPr>
          <w:rFonts w:ascii="Open Sans" w:hAnsi="Open Sans" w:cs="Open Sans"/>
          <w:noProof/>
          <w:sz w:val="19"/>
          <w:szCs w:val="19"/>
        </w:rPr>
        <w:t>předseda</w:t>
      </w:r>
    </w:p>
    <w:p w:rsidR="00D850C6" w:rsidRDefault="00D850C6" w:rsidP="00446327">
      <w:pPr>
        <w:pStyle w:val="Podpis"/>
        <w:rPr>
          <w:rFonts w:ascii="Open Sans" w:hAnsi="Open Sans" w:cs="Open Sans"/>
        </w:rPr>
        <w:sectPr w:rsidR="00D850C6" w:rsidSect="00D850C6">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D850C6" w:rsidRPr="0070286C" w:rsidRDefault="00D850C6" w:rsidP="00446327">
      <w:pPr>
        <w:pStyle w:val="Podpis"/>
        <w:rPr>
          <w:rFonts w:ascii="Open Sans" w:hAnsi="Open Sans" w:cs="Open Sans"/>
        </w:rPr>
      </w:pPr>
    </w:p>
    <w:sectPr w:rsidR="00D850C6" w:rsidRPr="0070286C" w:rsidSect="00D850C6">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C6" w:rsidRDefault="00D850C6">
      <w:r>
        <w:separator/>
      </w:r>
    </w:p>
  </w:endnote>
  <w:endnote w:type="continuationSeparator" w:id="0">
    <w:p w:rsidR="00D850C6" w:rsidRDefault="00D8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C6" w:rsidRPr="00446327" w:rsidRDefault="00D850C6" w:rsidP="00446327">
    <w:pPr>
      <w:pStyle w:val="Zpat"/>
      <w:jc w:val="right"/>
    </w:pPr>
    <w:r>
      <w:tab/>
    </w:r>
    <w:r w:rsidRPr="00FF2627">
      <w:rPr>
        <w:noProof/>
        <w:sz w:val="16"/>
      </w:rPr>
      <w:t>863/2024</w:t>
    </w:r>
    <w:r>
      <w:rPr>
        <w:noProof/>
        <w:sz w:val="16"/>
      </w:rPr>
      <w:t xml:space="preserve"> - </w:t>
    </w:r>
    <w:r w:rsidRPr="00FF2627">
      <w:rPr>
        <w:noProof/>
        <w:sz w:val="16"/>
      </w:rPr>
      <w:t>TJ EMĚ Mělník, z.s. (14800152)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C6" w:rsidRDefault="00D850C6">
    <w:pPr>
      <w:pStyle w:val="Zpat"/>
    </w:pPr>
    <w:r>
      <w:tab/>
    </w:r>
    <w:r>
      <w:tab/>
    </w:r>
    <w:r>
      <w:rPr>
        <w:noProof/>
        <w:sz w:val="16"/>
      </w:rPr>
      <w:t>SMLOUVA</w:t>
    </w:r>
    <w:r w:rsidRPr="0077204F">
      <w:rPr>
        <w:noProof/>
      </w:rPr>
      <w:t xml:space="preserve">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446327" w:rsidRDefault="00446327" w:rsidP="00446327">
    <w:pPr>
      <w:pStyle w:val="Zpat"/>
      <w:jc w:val="right"/>
    </w:pPr>
    <w:bookmarkStart w:id="1" w:name="_Hlk169760459"/>
    <w:bookmarkStart w:id="2" w:name="_Hlk169760460"/>
    <w:r>
      <w:tab/>
    </w:r>
    <w:r w:rsidR="0077204F" w:rsidRPr="00FF2627">
      <w:rPr>
        <w:noProof/>
        <w:sz w:val="16"/>
      </w:rPr>
      <w:t>863/2024</w:t>
    </w:r>
    <w:r>
      <w:rPr>
        <w:noProof/>
        <w:sz w:val="16"/>
      </w:rPr>
      <w:t xml:space="preserve"> - </w:t>
    </w:r>
    <w:r w:rsidR="0077204F" w:rsidRPr="00FF2627">
      <w:rPr>
        <w:noProof/>
        <w:sz w:val="16"/>
      </w:rPr>
      <w:t>TJ EMĚ Mělník, z.s. (14800152)</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77204F">
      <w:rPr>
        <w:noProof/>
        <w:sz w:val="16"/>
      </w:rPr>
      <w:t>SMLOUVA</w:t>
    </w:r>
    <w:r w:rsidR="0077204F" w:rsidRPr="0077204F">
      <w:rPr>
        <w:noProof/>
      </w:rPr>
      <w:t xml:space="preserve">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C6" w:rsidRDefault="00D850C6">
      <w:r>
        <w:separator/>
      </w:r>
    </w:p>
  </w:footnote>
  <w:footnote w:type="continuationSeparator" w:id="0">
    <w:p w:rsidR="00D850C6" w:rsidRDefault="00D8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C6" w:rsidRDefault="00D850C6">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3E2DF0">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3E2DF0">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84403C">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84403C">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2DF0"/>
    <w:rsid w:val="003E50B1"/>
    <w:rsid w:val="003F09FA"/>
    <w:rsid w:val="003F12DE"/>
    <w:rsid w:val="00403172"/>
    <w:rsid w:val="0040519B"/>
    <w:rsid w:val="00406358"/>
    <w:rsid w:val="00412B00"/>
    <w:rsid w:val="00416725"/>
    <w:rsid w:val="00417A78"/>
    <w:rsid w:val="004458C7"/>
    <w:rsid w:val="0044632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B6983"/>
    <w:rsid w:val="005C52DF"/>
    <w:rsid w:val="005C5E60"/>
    <w:rsid w:val="00600667"/>
    <w:rsid w:val="00616F75"/>
    <w:rsid w:val="00631032"/>
    <w:rsid w:val="00632062"/>
    <w:rsid w:val="006412D5"/>
    <w:rsid w:val="00641B06"/>
    <w:rsid w:val="00642250"/>
    <w:rsid w:val="00660F1D"/>
    <w:rsid w:val="00663DDF"/>
    <w:rsid w:val="0067232A"/>
    <w:rsid w:val="00675111"/>
    <w:rsid w:val="006D1834"/>
    <w:rsid w:val="006D1C61"/>
    <w:rsid w:val="006D7510"/>
    <w:rsid w:val="006F2160"/>
    <w:rsid w:val="007001A0"/>
    <w:rsid w:val="0070286C"/>
    <w:rsid w:val="00703F73"/>
    <w:rsid w:val="007069E2"/>
    <w:rsid w:val="007148F8"/>
    <w:rsid w:val="00715B62"/>
    <w:rsid w:val="00717CA6"/>
    <w:rsid w:val="00721918"/>
    <w:rsid w:val="00730F77"/>
    <w:rsid w:val="00736950"/>
    <w:rsid w:val="007544A8"/>
    <w:rsid w:val="00755934"/>
    <w:rsid w:val="0077204F"/>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403C"/>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9F2FA7"/>
    <w:rsid w:val="00A03831"/>
    <w:rsid w:val="00A04BB9"/>
    <w:rsid w:val="00A06828"/>
    <w:rsid w:val="00A14588"/>
    <w:rsid w:val="00A15FDD"/>
    <w:rsid w:val="00A2298B"/>
    <w:rsid w:val="00A2348B"/>
    <w:rsid w:val="00A31B81"/>
    <w:rsid w:val="00A34FF0"/>
    <w:rsid w:val="00A377EA"/>
    <w:rsid w:val="00A508C6"/>
    <w:rsid w:val="00A55ACB"/>
    <w:rsid w:val="00A63833"/>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600C9"/>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850C6"/>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BA6"/>
    <w:rsid w:val="00EC6951"/>
    <w:rsid w:val="00EE1740"/>
    <w:rsid w:val="00EE6CBD"/>
    <w:rsid w:val="00EE7EB5"/>
    <w:rsid w:val="00EF008D"/>
    <w:rsid w:val="00F13812"/>
    <w:rsid w:val="00F32CE0"/>
    <w:rsid w:val="00F35218"/>
    <w:rsid w:val="00F4348E"/>
    <w:rsid w:val="00F60BBB"/>
    <w:rsid w:val="00F64F5D"/>
    <w:rsid w:val="00F7308F"/>
    <w:rsid w:val="00F73B60"/>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CB1-3841-41FC-8BDE-CB14AEC4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3055</Words>
  <Characters>17502</Characters>
  <Application>Microsoft Office Word</Application>
  <DocSecurity>0</DocSecurity>
  <Lines>145</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2024-08-09T09:59:00Z</dcterms:created>
  <dcterms:modified xsi:type="dcterms:W3CDTF">2024-08-09T09:59:00Z</dcterms:modified>
</cp:coreProperties>
</file>