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ACD04" w14:textId="2D19584B" w:rsidR="00D24F40" w:rsidRDefault="00D24F40" w:rsidP="00291553">
      <w:pPr>
        <w:jc w:val="center"/>
      </w:pPr>
      <w:bookmarkStart w:id="0" w:name="_Hlk58832453"/>
      <w:r>
        <w:rPr>
          <w:b/>
          <w:sz w:val="28"/>
          <w:szCs w:val="28"/>
        </w:rPr>
        <w:t>Smlouva o využití výsledků výzkumu a vývoje a o spolupráci na řešení projektu</w:t>
      </w:r>
    </w:p>
    <w:bookmarkEnd w:id="0"/>
    <w:p w14:paraId="0117CA21" w14:textId="77777777" w:rsidR="00D24F40" w:rsidRDefault="00D24F40">
      <w:pPr>
        <w:jc w:val="both"/>
        <w:rPr>
          <w:b/>
          <w:sz w:val="16"/>
          <w:szCs w:val="16"/>
        </w:rPr>
      </w:pPr>
    </w:p>
    <w:p w14:paraId="08B205E5" w14:textId="77777777" w:rsidR="00D24F40" w:rsidRDefault="00D24F40">
      <w:pPr>
        <w:spacing w:before="240"/>
        <w:jc w:val="both"/>
      </w:pPr>
      <w:r>
        <w:rPr>
          <w:b/>
        </w:rPr>
        <w:t>Níže uvedeného dne, měsíce a roku se smluvní strany:</w:t>
      </w:r>
    </w:p>
    <w:p w14:paraId="3098D49F" w14:textId="77777777" w:rsidR="00D24F40" w:rsidRDefault="00D24F40">
      <w:pPr>
        <w:spacing w:after="0"/>
        <w:jc w:val="both"/>
        <w:rPr>
          <w:b/>
        </w:rPr>
      </w:pPr>
    </w:p>
    <w:p w14:paraId="7221A01A" w14:textId="77777777" w:rsidR="00D24F40" w:rsidRDefault="00D24F40">
      <w:pPr>
        <w:spacing w:after="0"/>
        <w:jc w:val="both"/>
      </w:pPr>
      <w:r>
        <w:rPr>
          <w:b/>
        </w:rPr>
        <w:t xml:space="preserve">1) </w:t>
      </w:r>
      <w:r>
        <w:rPr>
          <w:b/>
        </w:rPr>
        <w:tab/>
        <w:t>ALIMEX s.r.o.</w:t>
      </w:r>
    </w:p>
    <w:p w14:paraId="0F0800D1" w14:textId="77777777" w:rsidR="00D24F40" w:rsidRDefault="00D24F40">
      <w:pPr>
        <w:spacing w:after="0"/>
        <w:jc w:val="both"/>
      </w:pPr>
      <w:r>
        <w:rPr>
          <w:b/>
        </w:rPr>
        <w:tab/>
      </w:r>
      <w:r>
        <w:t>Dolní Břežany,</w:t>
      </w:r>
      <w:r>
        <w:rPr>
          <w:b/>
        </w:rPr>
        <w:t xml:space="preserve"> </w:t>
      </w:r>
      <w:r>
        <w:t>Ke Zvoli 339, PSČ 252 41</w:t>
      </w:r>
      <w:r>
        <w:tab/>
      </w:r>
    </w:p>
    <w:p w14:paraId="41141B6E" w14:textId="77777777" w:rsidR="00D24F40" w:rsidRDefault="00D24F40">
      <w:pPr>
        <w:spacing w:after="0"/>
        <w:jc w:val="both"/>
      </w:pPr>
      <w:r>
        <w:tab/>
        <w:t>zapsaná v obchodním rejstříku vedeném Městským soudem v Praze, oddílu C, vložka 20943</w:t>
      </w:r>
    </w:p>
    <w:p w14:paraId="3B6D2C12" w14:textId="77777777" w:rsidR="00D24F40" w:rsidRDefault="00D24F40">
      <w:pPr>
        <w:spacing w:after="0"/>
        <w:jc w:val="both"/>
      </w:pPr>
      <w:r>
        <w:tab/>
        <w:t>jednající:</w:t>
      </w:r>
      <w:r>
        <w:tab/>
        <w:t>Ing. Jiří Rumler, jednatel</w:t>
      </w:r>
    </w:p>
    <w:p w14:paraId="66407199" w14:textId="77777777" w:rsidR="00D24F40" w:rsidRDefault="00D24F40">
      <w:pPr>
        <w:spacing w:after="0"/>
        <w:jc w:val="both"/>
      </w:pPr>
      <w:r>
        <w:tab/>
        <w:t>IČ: 49613529</w:t>
      </w:r>
      <w:r>
        <w:tab/>
        <w:t>DIČ: CZ49613529</w:t>
      </w:r>
    </w:p>
    <w:p w14:paraId="5152EA39" w14:textId="59C2E94B" w:rsidR="00D24F40" w:rsidRDefault="00D24F40">
      <w:pPr>
        <w:spacing w:after="0"/>
        <w:jc w:val="both"/>
      </w:pPr>
      <w:r>
        <w:tab/>
        <w:t xml:space="preserve">Kontaktní osoba: </w:t>
      </w:r>
      <w:proofErr w:type="spellStart"/>
      <w:r w:rsidR="002619BB">
        <w:t>xxxx</w:t>
      </w:r>
      <w:proofErr w:type="spellEnd"/>
    </w:p>
    <w:p w14:paraId="74F07F45" w14:textId="58EEA9FD" w:rsidR="00D24F40" w:rsidRDefault="00D24F40">
      <w:pPr>
        <w:ind w:firstLine="708"/>
        <w:jc w:val="both"/>
      </w:pPr>
      <w:r>
        <w:t xml:space="preserve">jakožto partner a účastník projektu na straně </w:t>
      </w:r>
      <w:r w:rsidR="009B68E2">
        <w:t>první</w:t>
      </w:r>
    </w:p>
    <w:p w14:paraId="49067D14" w14:textId="684927DB" w:rsidR="000629BC" w:rsidRDefault="00D24F40">
      <w:pPr>
        <w:jc w:val="both"/>
      </w:pPr>
      <w:r>
        <w:t>a</w:t>
      </w:r>
    </w:p>
    <w:p w14:paraId="44BFFF3F" w14:textId="6C2AFE20" w:rsidR="00D24F40" w:rsidRDefault="00D24F40">
      <w:pPr>
        <w:spacing w:after="0"/>
        <w:jc w:val="both"/>
      </w:pPr>
      <w:r>
        <w:rPr>
          <w:b/>
        </w:rPr>
        <w:t>2)</w:t>
      </w:r>
      <w:r>
        <w:rPr>
          <w:b/>
        </w:rPr>
        <w:tab/>
      </w:r>
      <w:r>
        <w:rPr>
          <w:rStyle w:val="Siln"/>
          <w:rFonts w:ascii="Arial" w:hAnsi="Arial" w:cs="Arial"/>
          <w:color w:val="333333"/>
          <w:shd w:val="clear" w:color="auto" w:fill="FFFFFF"/>
        </w:rPr>
        <w:t>České vysoké učení technické v Praze</w:t>
      </w:r>
    </w:p>
    <w:p w14:paraId="14AFFAC4" w14:textId="08506E90" w:rsidR="00D24F40" w:rsidRPr="004A0041" w:rsidRDefault="00D24F40">
      <w:pPr>
        <w:spacing w:after="0"/>
        <w:jc w:val="both"/>
        <w:rPr>
          <w:rFonts w:cs="Calibri"/>
        </w:rPr>
      </w:pPr>
      <w:r>
        <w:rPr>
          <w:bCs/>
        </w:rPr>
        <w:tab/>
      </w:r>
      <w:r w:rsidR="00014537" w:rsidRPr="004A0041">
        <w:rPr>
          <w:bCs/>
        </w:rPr>
        <w:t xml:space="preserve">Jugoslávských partyzánů 1580/3, Praha </w:t>
      </w:r>
      <w:r w:rsidRPr="004A0041">
        <w:rPr>
          <w:rFonts w:cs="Calibri"/>
        </w:rPr>
        <w:t xml:space="preserve">6 </w:t>
      </w:r>
      <w:r w:rsidR="00014537" w:rsidRPr="004A0041">
        <w:rPr>
          <w:rFonts w:cs="Calibri"/>
        </w:rPr>
        <w:t>–</w:t>
      </w:r>
      <w:r w:rsidRPr="004A0041">
        <w:rPr>
          <w:rFonts w:cs="Calibri"/>
        </w:rPr>
        <w:t xml:space="preserve"> Dejvice</w:t>
      </w:r>
    </w:p>
    <w:p w14:paraId="0152036B" w14:textId="55C271B9" w:rsidR="00014537" w:rsidRDefault="00014537">
      <w:pPr>
        <w:spacing w:after="0"/>
        <w:jc w:val="both"/>
      </w:pPr>
      <w:r w:rsidRPr="004A0041">
        <w:tab/>
        <w:t>Řešitelské pracoviště: Fakulta stavební</w:t>
      </w:r>
    </w:p>
    <w:p w14:paraId="3E33F3BD" w14:textId="20E20592" w:rsidR="00D24F40" w:rsidRDefault="00D24F40">
      <w:pPr>
        <w:spacing w:after="0"/>
        <w:jc w:val="both"/>
      </w:pPr>
      <w:r>
        <w:tab/>
        <w:t>zastoupená:</w:t>
      </w:r>
      <w:r>
        <w:tab/>
      </w:r>
      <w:r w:rsidR="00751934">
        <w:t xml:space="preserve">prof. Ing. Jiřím Mácou, CSc., </w:t>
      </w:r>
      <w:proofErr w:type="spellStart"/>
      <w:r w:rsidR="00751934">
        <w:t>FEng</w:t>
      </w:r>
      <w:proofErr w:type="spellEnd"/>
      <w:r w:rsidR="00751934">
        <w:t>., děkanem</w:t>
      </w:r>
      <w:r>
        <w:tab/>
      </w:r>
    </w:p>
    <w:p w14:paraId="6A1A7EE3" w14:textId="77777777" w:rsidR="00D24F40" w:rsidRDefault="00D24F40">
      <w:pPr>
        <w:spacing w:after="0"/>
        <w:jc w:val="both"/>
      </w:pPr>
      <w:r>
        <w:rPr>
          <w:rFonts w:cs="Calibri"/>
        </w:rPr>
        <w:t xml:space="preserve">              </w:t>
      </w:r>
      <w:r>
        <w:t xml:space="preserve">IČ: </w:t>
      </w:r>
      <w:r>
        <w:tab/>
      </w:r>
      <w:r>
        <w:tab/>
        <w:t>68407700</w:t>
      </w:r>
    </w:p>
    <w:p w14:paraId="1582B384" w14:textId="42CD04E5" w:rsidR="00D24F40" w:rsidRDefault="00D24F40">
      <w:pPr>
        <w:spacing w:after="0"/>
        <w:jc w:val="both"/>
      </w:pPr>
      <w:r>
        <w:tab/>
        <w:t xml:space="preserve">Kontaktní osoby: </w:t>
      </w:r>
      <w:proofErr w:type="spellStart"/>
      <w:r w:rsidR="00FB6856">
        <w:t>xxxx</w:t>
      </w:r>
      <w:proofErr w:type="spellEnd"/>
    </w:p>
    <w:p w14:paraId="522D9BC1" w14:textId="35404A1B" w:rsidR="00D24F40" w:rsidRDefault="00D24F40">
      <w:pPr>
        <w:spacing w:after="0"/>
        <w:ind w:firstLine="708"/>
        <w:jc w:val="both"/>
      </w:pPr>
      <w:r>
        <w:t xml:space="preserve">e-mail: </w:t>
      </w:r>
      <w:proofErr w:type="spellStart"/>
      <w:r w:rsidR="00FB6856">
        <w:t>xxxx</w:t>
      </w:r>
      <w:proofErr w:type="spellEnd"/>
    </w:p>
    <w:p w14:paraId="3ABD1BEC" w14:textId="77777777" w:rsidR="00D24F40" w:rsidRDefault="00D24F40">
      <w:pPr>
        <w:spacing w:after="0"/>
        <w:jc w:val="both"/>
      </w:pPr>
      <w:r>
        <w:tab/>
      </w:r>
      <w:r>
        <w:tab/>
      </w:r>
      <w:r>
        <w:tab/>
        <w:t xml:space="preserve">  </w:t>
      </w:r>
    </w:p>
    <w:p w14:paraId="03E4FA4A" w14:textId="56FC41B3" w:rsidR="00D24F40" w:rsidRDefault="00D24F40">
      <w:pPr>
        <w:ind w:firstLine="708"/>
        <w:jc w:val="both"/>
      </w:pPr>
      <w:r>
        <w:t xml:space="preserve">jakožto partner a další účastník projektu na straně </w:t>
      </w:r>
      <w:r w:rsidR="009B68E2">
        <w:t>druhé</w:t>
      </w:r>
    </w:p>
    <w:p w14:paraId="02629C4A" w14:textId="77777777" w:rsidR="00D24F40" w:rsidRDefault="00D24F40">
      <w:pPr>
        <w:spacing w:after="0"/>
        <w:jc w:val="both"/>
      </w:pPr>
    </w:p>
    <w:p w14:paraId="1C12673A" w14:textId="72C58FE0" w:rsidR="00D24F40" w:rsidRDefault="00D24F40">
      <w:pPr>
        <w:jc w:val="both"/>
      </w:pPr>
      <w:r>
        <w:rPr>
          <w:b/>
        </w:rPr>
        <w:t xml:space="preserve">dohodly na této smlouvě o spolupráci a využití výsledků výzkumu a vývoje, uzavřené podle § 1746 odst. 2 zákona č. 89 /2012 Sb., </w:t>
      </w:r>
      <w:r w:rsidR="00335FBC">
        <w:rPr>
          <w:b/>
        </w:rPr>
        <w:t xml:space="preserve">občanský </w:t>
      </w:r>
      <w:r>
        <w:rPr>
          <w:b/>
        </w:rPr>
        <w:t>zákoník, ve znění pozdějších předpisů na následujícím:</w:t>
      </w:r>
    </w:p>
    <w:p w14:paraId="090ED339" w14:textId="77777777" w:rsidR="00D24F40" w:rsidRDefault="00D24F40">
      <w:pPr>
        <w:jc w:val="both"/>
        <w:rPr>
          <w:b/>
        </w:rPr>
      </w:pPr>
    </w:p>
    <w:p w14:paraId="18C9F033" w14:textId="77777777" w:rsidR="00D24F40" w:rsidRDefault="00D24F40">
      <w:pPr>
        <w:jc w:val="both"/>
      </w:pPr>
      <w:r>
        <w:rPr>
          <w:b/>
        </w:rPr>
        <w:t>Článek 1.</w:t>
      </w:r>
      <w:r>
        <w:rPr>
          <w:b/>
        </w:rPr>
        <w:tab/>
        <w:t>Předmět smlouvy</w:t>
      </w:r>
    </w:p>
    <w:p w14:paraId="16109ABD" w14:textId="145D09C5" w:rsidR="00D24F40" w:rsidRDefault="00D24F40">
      <w:pPr>
        <w:spacing w:after="0"/>
        <w:jc w:val="both"/>
      </w:pPr>
      <w:r>
        <w:t>1.  Předmětem smlouvy je společné řešení výzkumně-vývojového projektu „</w:t>
      </w:r>
      <w:r w:rsidR="000629BC">
        <w:t>V</w:t>
      </w:r>
      <w:r w:rsidR="000629BC" w:rsidRPr="000629BC">
        <w:t xml:space="preserve">ýzkum a vývoj technologie monitoringu změn prostorové polohy, teploty a vibrací </w:t>
      </w:r>
      <w:proofErr w:type="spellStart"/>
      <w:r w:rsidR="000629BC" w:rsidRPr="000629BC">
        <w:t>turbostolic</w:t>
      </w:r>
      <w:proofErr w:type="spellEnd"/>
      <w:r w:rsidR="000629BC" w:rsidRPr="000629BC">
        <w:t>, turbosoustrojí a točivých strojů</w:t>
      </w:r>
      <w:r>
        <w:t xml:space="preserve">“. Projekt je řešen v rámci Operačního programu </w:t>
      </w:r>
      <w:r w:rsidR="000629BC">
        <w:t>Technologie a aplikace</w:t>
      </w:r>
      <w:r>
        <w:t xml:space="preserve"> pro konkurenceschopnost, Prioritní osa 1 Rozvoj výzkumu a vývoje pro inovace, program Podpory Aplikace. Poskytovatelem dotace je MPO České republiky prostřednictvím Agentury pro podnikání a inovace (API). Aktualizovaný harmonogram je následující:</w:t>
      </w:r>
    </w:p>
    <w:p w14:paraId="677F0198" w14:textId="005D11F7" w:rsidR="000629BC" w:rsidRDefault="004D3FD6" w:rsidP="00EE5EBA">
      <w:pPr>
        <w:numPr>
          <w:ilvl w:val="0"/>
          <w:numId w:val="2"/>
        </w:numPr>
        <w:spacing w:after="0"/>
        <w:jc w:val="both"/>
      </w:pPr>
      <w:r>
        <w:t>01/</w:t>
      </w:r>
      <w:r w:rsidR="000629BC">
        <w:t xml:space="preserve">2023 – </w:t>
      </w:r>
      <w:r w:rsidR="00181DB0">
        <w:t>12</w:t>
      </w:r>
      <w:r w:rsidR="000629BC">
        <w:t>/20</w:t>
      </w:r>
      <w:r w:rsidR="00EE5EBA">
        <w:t>26</w:t>
      </w:r>
    </w:p>
    <w:p w14:paraId="5C3E10C3" w14:textId="77777777" w:rsidR="00D24F40" w:rsidRDefault="00D24F40">
      <w:pPr>
        <w:jc w:val="both"/>
        <w:rPr>
          <w:b/>
        </w:rPr>
      </w:pPr>
    </w:p>
    <w:p w14:paraId="5415F08A" w14:textId="77777777" w:rsidR="00D24F40" w:rsidRDefault="00D24F40">
      <w:pPr>
        <w:jc w:val="both"/>
      </w:pPr>
      <w:r>
        <w:rPr>
          <w:b/>
        </w:rPr>
        <w:t>Článek 2.</w:t>
      </w:r>
      <w:r>
        <w:rPr>
          <w:b/>
        </w:rPr>
        <w:tab/>
        <w:t>Řízení projektu</w:t>
      </w:r>
    </w:p>
    <w:p w14:paraId="68B9C6F5" w14:textId="77777777" w:rsidR="00D24F40" w:rsidRDefault="00D24F40">
      <w:pPr>
        <w:jc w:val="both"/>
      </w:pPr>
      <w:r>
        <w:t>Projekt je řízen firmou ALIMEX s.r.o.</w:t>
      </w:r>
    </w:p>
    <w:p w14:paraId="3A128344" w14:textId="77777777" w:rsidR="00D24F40" w:rsidRDefault="00D24F40">
      <w:pPr>
        <w:jc w:val="both"/>
      </w:pPr>
    </w:p>
    <w:p w14:paraId="73428E82" w14:textId="77777777" w:rsidR="00D24F40" w:rsidRDefault="00D24F40" w:rsidP="00BA44DB">
      <w:pPr>
        <w:keepNext/>
        <w:jc w:val="both"/>
      </w:pPr>
      <w:r>
        <w:rPr>
          <w:b/>
        </w:rPr>
        <w:t>Článek 3.</w:t>
      </w:r>
      <w:r>
        <w:rPr>
          <w:b/>
        </w:rPr>
        <w:tab/>
        <w:t>Práva, povinnosti a zapojení smluvních stran na projektu</w:t>
      </w:r>
    </w:p>
    <w:p w14:paraId="5B620404" w14:textId="77777777" w:rsidR="00D24F40" w:rsidRDefault="00D24F40" w:rsidP="00BA44DB">
      <w:pPr>
        <w:keepNext/>
        <w:jc w:val="both"/>
      </w:pPr>
      <w:r>
        <w:t>Po odsouhlasení podpory a zahájení projektu, jsou práva a povinnosti smluvních stran následující:</w:t>
      </w:r>
    </w:p>
    <w:p w14:paraId="5A40F1C8" w14:textId="77777777" w:rsidR="00D24F40" w:rsidRDefault="00D24F40">
      <w:pPr>
        <w:jc w:val="both"/>
      </w:pPr>
      <w:r>
        <w:rPr>
          <w:b/>
        </w:rPr>
        <w:t>1.  Firma ALIMEX s.r.o.:</w:t>
      </w:r>
    </w:p>
    <w:p w14:paraId="088867D1" w14:textId="6D4A2540" w:rsidR="00D24F40" w:rsidRDefault="00D24F40">
      <w:pPr>
        <w:numPr>
          <w:ilvl w:val="0"/>
          <w:numId w:val="1"/>
        </w:numPr>
        <w:spacing w:after="0"/>
        <w:jc w:val="both"/>
      </w:pPr>
      <w:r>
        <w:t>je žadatelem a hlavním řešitelem projektu, podíl účasti společnosti ALIMEX na projektu činí </w:t>
      </w:r>
      <w:r w:rsidR="0054163E">
        <w:t>77</w:t>
      </w:r>
      <w:r w:rsidR="00181DB0">
        <w:t>,</w:t>
      </w:r>
      <w:r w:rsidR="0054163E">
        <w:t>28</w:t>
      </w:r>
      <w:r w:rsidR="00CB3881">
        <w:t xml:space="preserve"> </w:t>
      </w:r>
      <w:r>
        <w:t>%,</w:t>
      </w:r>
    </w:p>
    <w:p w14:paraId="74036E73" w14:textId="459FDAB7" w:rsidR="00D24F40" w:rsidRDefault="00D24F40">
      <w:pPr>
        <w:numPr>
          <w:ilvl w:val="0"/>
          <w:numId w:val="1"/>
        </w:numPr>
        <w:jc w:val="both"/>
      </w:pPr>
      <w:r>
        <w:lastRenderedPageBreak/>
        <w:t xml:space="preserve">je odpovědná za řízení celého projektu, po odborné stránce bude řízením pověřen </w:t>
      </w:r>
      <w:proofErr w:type="spellStart"/>
      <w:r w:rsidR="00FB6856">
        <w:t>xxxx</w:t>
      </w:r>
      <w:proofErr w:type="spellEnd"/>
    </w:p>
    <w:p w14:paraId="42B13474" w14:textId="43521F08" w:rsidR="00D24F40" w:rsidRDefault="00D24F40">
      <w:pPr>
        <w:numPr>
          <w:ilvl w:val="0"/>
          <w:numId w:val="1"/>
        </w:numPr>
        <w:jc w:val="both"/>
      </w:pPr>
      <w:r>
        <w:t xml:space="preserve">je odpovědná za zpracování ideového návrhu řešení celého projektu a koordinaci prací se spoluřešiteli, pověřenou osobou bude </w:t>
      </w:r>
      <w:r w:rsidR="00FB6856">
        <w:t>xxxx</w:t>
      </w:r>
      <w:bookmarkStart w:id="1" w:name="_GoBack"/>
      <w:bookmarkEnd w:id="1"/>
    </w:p>
    <w:p w14:paraId="23361797" w14:textId="34EE661D" w:rsidR="00D24F40" w:rsidRDefault="00D24F40">
      <w:pPr>
        <w:numPr>
          <w:ilvl w:val="0"/>
          <w:numId w:val="1"/>
        </w:numPr>
        <w:jc w:val="both"/>
      </w:pPr>
      <w:r>
        <w:t>zabezpečuje nákup nezbytného materiálu a komponent pro výzkum a vývoj, provádí praktické ověření a posouzení navrhované metodiky řešení projektu,</w:t>
      </w:r>
    </w:p>
    <w:p w14:paraId="6D33C056" w14:textId="77777777" w:rsidR="00D24F40" w:rsidRDefault="00D24F40">
      <w:pPr>
        <w:numPr>
          <w:ilvl w:val="0"/>
          <w:numId w:val="1"/>
        </w:numPr>
        <w:jc w:val="both"/>
      </w:pPr>
      <w:r>
        <w:t xml:space="preserve">po dokončení projektu jí přísluší podíl ve výši </w:t>
      </w:r>
      <w:proofErr w:type="gramStart"/>
      <w:r>
        <w:t>50%</w:t>
      </w:r>
      <w:proofErr w:type="gramEnd"/>
      <w:r>
        <w:t xml:space="preserve"> z vlastnictví případných užitných vzorů a know-how dosažených v rámci projektu, podrobnosti budou upřesněny ve Smlouvě o spolupráci,</w:t>
      </w:r>
    </w:p>
    <w:p w14:paraId="7566A431" w14:textId="77777777" w:rsidR="00D24F40" w:rsidRDefault="00D24F40">
      <w:pPr>
        <w:numPr>
          <w:ilvl w:val="0"/>
          <w:numId w:val="1"/>
        </w:numPr>
        <w:jc w:val="both"/>
      </w:pPr>
      <w:r>
        <w:t>v průběhu projektu jsou smluvní strany povinny zachovávat mlčenlivost o výsledcích vývoje a výzkumu.</w:t>
      </w:r>
    </w:p>
    <w:p w14:paraId="7DB5DCDD" w14:textId="1F91B75A" w:rsidR="00D24F40" w:rsidRDefault="00D24F40">
      <w:pPr>
        <w:pStyle w:val="Default"/>
        <w:numPr>
          <w:ilvl w:val="0"/>
          <w:numId w:val="1"/>
        </w:numPr>
        <w:jc w:val="both"/>
        <w:rPr>
          <w:sz w:val="22"/>
          <w:szCs w:val="22"/>
        </w:rPr>
      </w:pPr>
      <w:r>
        <w:rPr>
          <w:sz w:val="22"/>
          <w:szCs w:val="22"/>
        </w:rPr>
        <w:t>míra podpory</w:t>
      </w:r>
      <w:r>
        <w:rPr>
          <w:b/>
          <w:bCs/>
          <w:sz w:val="22"/>
          <w:szCs w:val="22"/>
        </w:rPr>
        <w:t xml:space="preserve"> </w:t>
      </w:r>
      <w:r w:rsidR="004D3FD6">
        <w:rPr>
          <w:b/>
          <w:bCs/>
          <w:sz w:val="22"/>
          <w:szCs w:val="22"/>
        </w:rPr>
        <w:t xml:space="preserve">žadatele </w:t>
      </w:r>
      <w:r>
        <w:rPr>
          <w:sz w:val="22"/>
          <w:szCs w:val="22"/>
        </w:rPr>
        <w:t xml:space="preserve">za celý projekt je </w:t>
      </w:r>
      <w:r w:rsidR="00F9084D">
        <w:rPr>
          <w:b/>
          <w:bCs/>
          <w:sz w:val="22"/>
          <w:szCs w:val="22"/>
        </w:rPr>
        <w:t>8</w:t>
      </w:r>
      <w:r>
        <w:rPr>
          <w:b/>
          <w:bCs/>
          <w:sz w:val="22"/>
          <w:szCs w:val="22"/>
        </w:rPr>
        <w:t>0 %</w:t>
      </w:r>
      <w:r w:rsidRPr="00BA44DB">
        <w:rPr>
          <w:sz w:val="22"/>
          <w:szCs w:val="22"/>
        </w:rPr>
        <w:t xml:space="preserve"> výdajů kategorie průmyslového výzkumu</w:t>
      </w:r>
      <w:r w:rsidR="00F9084D">
        <w:rPr>
          <w:sz w:val="22"/>
          <w:szCs w:val="22"/>
        </w:rPr>
        <w:t xml:space="preserve"> a </w:t>
      </w:r>
      <w:proofErr w:type="gramStart"/>
      <w:r w:rsidR="00F9084D">
        <w:rPr>
          <w:b/>
          <w:bCs/>
          <w:sz w:val="22"/>
          <w:szCs w:val="22"/>
        </w:rPr>
        <w:t>60%</w:t>
      </w:r>
      <w:proofErr w:type="gramEnd"/>
      <w:r w:rsidR="00F9084D">
        <w:rPr>
          <w:b/>
          <w:bCs/>
          <w:sz w:val="22"/>
          <w:szCs w:val="22"/>
        </w:rPr>
        <w:t xml:space="preserve"> </w:t>
      </w:r>
      <w:r w:rsidR="00F9084D" w:rsidRPr="00BA44DB">
        <w:rPr>
          <w:sz w:val="22"/>
          <w:szCs w:val="22"/>
        </w:rPr>
        <w:t xml:space="preserve">výdajů kategorie </w:t>
      </w:r>
      <w:r w:rsidR="00F9084D">
        <w:rPr>
          <w:sz w:val="22"/>
          <w:szCs w:val="22"/>
        </w:rPr>
        <w:t xml:space="preserve">experimentálního </w:t>
      </w:r>
      <w:r w:rsidR="00772059" w:rsidRPr="00BA44DB">
        <w:rPr>
          <w:sz w:val="22"/>
          <w:szCs w:val="22"/>
        </w:rPr>
        <w:t>výzkumu</w:t>
      </w:r>
      <w:r w:rsidR="00772059">
        <w:rPr>
          <w:sz w:val="22"/>
          <w:szCs w:val="22"/>
        </w:rPr>
        <w:t xml:space="preserve"> </w:t>
      </w:r>
      <w:r w:rsidRPr="00BA44DB">
        <w:rPr>
          <w:sz w:val="22"/>
          <w:szCs w:val="22"/>
        </w:rPr>
        <w:t>na celkových způsobilých výdajích.</w:t>
      </w:r>
    </w:p>
    <w:p w14:paraId="3433B5D0" w14:textId="20A57541" w:rsidR="00014537" w:rsidRPr="004A0041" w:rsidRDefault="008D61BE" w:rsidP="00056E0F">
      <w:pPr>
        <w:pStyle w:val="Default"/>
        <w:numPr>
          <w:ilvl w:val="0"/>
          <w:numId w:val="1"/>
        </w:numPr>
        <w:spacing w:before="240"/>
        <w:jc w:val="both"/>
        <w:rPr>
          <w:sz w:val="22"/>
          <w:szCs w:val="22"/>
        </w:rPr>
      </w:pPr>
      <w:r w:rsidRPr="004A0041">
        <w:rPr>
          <w:sz w:val="22"/>
          <w:szCs w:val="22"/>
        </w:rPr>
        <w:t>uznanou část podpory převede dalšímu účastníku do 15 kalendářních dnů ode dne obdržení podpory</w:t>
      </w:r>
    </w:p>
    <w:p w14:paraId="7FED810E" w14:textId="77777777" w:rsidR="00E36516" w:rsidRDefault="00E36516">
      <w:pPr>
        <w:pStyle w:val="Default"/>
        <w:ind w:left="720"/>
        <w:jc w:val="both"/>
      </w:pPr>
    </w:p>
    <w:tbl>
      <w:tblPr>
        <w:tblStyle w:val="Modvod"/>
        <w:tblW w:w="9291" w:type="dxa"/>
        <w:tblInd w:w="-5" w:type="dxa"/>
        <w:tblLayout w:type="fixed"/>
        <w:tblLook w:val="04A0" w:firstRow="1" w:lastRow="0" w:firstColumn="1" w:lastColumn="0" w:noHBand="0" w:noVBand="1"/>
      </w:tblPr>
      <w:tblGrid>
        <w:gridCol w:w="4773"/>
        <w:gridCol w:w="2259"/>
        <w:gridCol w:w="2259"/>
      </w:tblGrid>
      <w:tr w:rsidR="00CB3881" w:rsidRPr="00897BA5" w14:paraId="40596872" w14:textId="77777777" w:rsidTr="00BA44DB">
        <w:trPr>
          <w:cnfStyle w:val="100000000000" w:firstRow="1" w:lastRow="0" w:firstColumn="0" w:lastColumn="0" w:oddVBand="0" w:evenVBand="0" w:oddHBand="0" w:evenHBand="0" w:firstRowFirstColumn="0" w:firstRowLastColumn="0" w:lastRowFirstColumn="0" w:lastRowLastColumn="0"/>
        </w:trPr>
        <w:tc>
          <w:tcPr>
            <w:tcW w:w="9291" w:type="dxa"/>
            <w:gridSpan w:val="3"/>
          </w:tcPr>
          <w:p w14:paraId="432367FF" w14:textId="77777777" w:rsidR="00CB3881" w:rsidRPr="00BA44DB" w:rsidRDefault="00CB3881" w:rsidP="002F1779">
            <w:pPr>
              <w:spacing w:after="0"/>
              <w:jc w:val="center"/>
              <w:rPr>
                <w:rFonts w:cs="Times New Roman"/>
                <w:sz w:val="20"/>
                <w:szCs w:val="20"/>
                <w:lang w:val="cs-CZ"/>
              </w:rPr>
            </w:pPr>
            <w:proofErr w:type="spellStart"/>
            <w:r w:rsidRPr="0000335E">
              <w:rPr>
                <w:sz w:val="20"/>
                <w:szCs w:val="20"/>
              </w:rPr>
              <w:t>Žadatel</w:t>
            </w:r>
            <w:proofErr w:type="spellEnd"/>
            <w:r w:rsidRPr="0000335E">
              <w:rPr>
                <w:sz w:val="20"/>
                <w:szCs w:val="20"/>
              </w:rPr>
              <w:t xml:space="preserve"> ALIMEX </w:t>
            </w:r>
            <w:proofErr w:type="spellStart"/>
            <w:r w:rsidRPr="0000335E">
              <w:rPr>
                <w:sz w:val="20"/>
                <w:szCs w:val="20"/>
              </w:rPr>
              <w:t>s.r.o</w:t>
            </w:r>
            <w:proofErr w:type="spellEnd"/>
            <w:r w:rsidRPr="0000335E">
              <w:rPr>
                <w:sz w:val="20"/>
                <w:szCs w:val="20"/>
              </w:rPr>
              <w:t>.</w:t>
            </w:r>
          </w:p>
        </w:tc>
      </w:tr>
      <w:tr w:rsidR="00CB3881" w:rsidRPr="00897BA5" w14:paraId="32BA8393" w14:textId="77777777" w:rsidTr="00BA44DB">
        <w:trPr>
          <w:trHeight w:val="70"/>
        </w:trPr>
        <w:tc>
          <w:tcPr>
            <w:tcW w:w="4773" w:type="dxa"/>
          </w:tcPr>
          <w:p w14:paraId="4108A9D7" w14:textId="77777777" w:rsidR="00CB3881" w:rsidRPr="00BA44DB" w:rsidRDefault="00CB3881" w:rsidP="002F1779">
            <w:pPr>
              <w:spacing w:after="0"/>
              <w:rPr>
                <w:rFonts w:cs="Times New Roman"/>
                <w:sz w:val="20"/>
                <w:szCs w:val="20"/>
                <w:lang w:val="cs-CZ"/>
              </w:rPr>
            </w:pPr>
            <w:r w:rsidRPr="0000335E">
              <w:rPr>
                <w:sz w:val="20"/>
                <w:szCs w:val="20"/>
              </w:rPr>
              <w:t xml:space="preserve">Vlastní zdroje </w:t>
            </w:r>
            <w:proofErr w:type="spellStart"/>
            <w:r w:rsidRPr="0000335E">
              <w:rPr>
                <w:sz w:val="20"/>
                <w:szCs w:val="20"/>
              </w:rPr>
              <w:t>žadatele</w:t>
            </w:r>
            <w:proofErr w:type="spellEnd"/>
          </w:p>
        </w:tc>
        <w:tc>
          <w:tcPr>
            <w:tcW w:w="2259" w:type="dxa"/>
          </w:tcPr>
          <w:p w14:paraId="04688170" w14:textId="6E941F97" w:rsidR="00CB3881" w:rsidRPr="00BA44DB" w:rsidRDefault="0054163E" w:rsidP="002F1779">
            <w:pPr>
              <w:spacing w:after="0"/>
              <w:jc w:val="right"/>
              <w:rPr>
                <w:rFonts w:cs="Times New Roman"/>
                <w:b/>
                <w:sz w:val="20"/>
                <w:szCs w:val="20"/>
                <w:lang w:val="cs-CZ"/>
              </w:rPr>
            </w:pPr>
            <w:r w:rsidRPr="0054163E">
              <w:rPr>
                <w:rFonts w:cs="Times New Roman"/>
                <w:b/>
                <w:sz w:val="20"/>
                <w:szCs w:val="20"/>
                <w:lang w:val="cs-CZ"/>
              </w:rPr>
              <w:t>7 431 500 Kč</w:t>
            </w:r>
          </w:p>
        </w:tc>
        <w:tc>
          <w:tcPr>
            <w:tcW w:w="2259" w:type="dxa"/>
          </w:tcPr>
          <w:p w14:paraId="383A617B" w14:textId="0E98307B" w:rsidR="00CB3881" w:rsidRPr="00BA44DB" w:rsidRDefault="000629BC" w:rsidP="0054163E">
            <w:pPr>
              <w:spacing w:after="0"/>
              <w:jc w:val="center"/>
              <w:rPr>
                <w:rFonts w:cs="Times New Roman"/>
                <w:sz w:val="20"/>
                <w:szCs w:val="20"/>
                <w:lang w:val="cs-CZ"/>
              </w:rPr>
            </w:pPr>
            <w:r>
              <w:rPr>
                <w:rFonts w:cs="Times New Roman"/>
                <w:sz w:val="20"/>
                <w:szCs w:val="20"/>
                <w:lang w:val="cs-CZ"/>
              </w:rPr>
              <w:t>34 %</w:t>
            </w:r>
          </w:p>
        </w:tc>
      </w:tr>
      <w:tr w:rsidR="00CB3881" w:rsidRPr="00897BA5" w14:paraId="6DBE5B80" w14:textId="77777777" w:rsidTr="00BA44DB">
        <w:tc>
          <w:tcPr>
            <w:tcW w:w="4773" w:type="dxa"/>
          </w:tcPr>
          <w:p w14:paraId="38567AB7" w14:textId="77777777" w:rsidR="00CB3881" w:rsidRPr="00BA44DB" w:rsidRDefault="00CB3881" w:rsidP="002F1779">
            <w:pPr>
              <w:spacing w:after="0"/>
              <w:rPr>
                <w:rFonts w:cs="Times New Roman"/>
                <w:sz w:val="20"/>
                <w:szCs w:val="20"/>
                <w:lang w:val="cs-CZ"/>
              </w:rPr>
            </w:pPr>
            <w:proofErr w:type="spellStart"/>
            <w:r w:rsidRPr="0000335E">
              <w:rPr>
                <w:sz w:val="20"/>
                <w:szCs w:val="20"/>
              </w:rPr>
              <w:t>Dotace</w:t>
            </w:r>
            <w:proofErr w:type="spellEnd"/>
          </w:p>
        </w:tc>
        <w:tc>
          <w:tcPr>
            <w:tcW w:w="2259" w:type="dxa"/>
          </w:tcPr>
          <w:p w14:paraId="68AE8FED" w14:textId="4724DC7D" w:rsidR="00CB3881" w:rsidRPr="0054163E" w:rsidRDefault="0054163E" w:rsidP="0054163E">
            <w:pPr>
              <w:spacing w:after="0"/>
              <w:jc w:val="right"/>
              <w:rPr>
                <w:b/>
                <w:bCs/>
                <w:sz w:val="20"/>
                <w:szCs w:val="20"/>
              </w:rPr>
            </w:pPr>
            <w:r w:rsidRPr="0054163E">
              <w:rPr>
                <w:b/>
                <w:bCs/>
                <w:sz w:val="20"/>
                <w:szCs w:val="20"/>
              </w:rPr>
              <w:t>14 378 018 Kč</w:t>
            </w:r>
          </w:p>
        </w:tc>
        <w:tc>
          <w:tcPr>
            <w:tcW w:w="2259" w:type="dxa"/>
          </w:tcPr>
          <w:p w14:paraId="0BD461F3" w14:textId="73BAEEE1" w:rsidR="00CB3881" w:rsidRPr="0054163E" w:rsidRDefault="000629BC" w:rsidP="0054163E">
            <w:pPr>
              <w:spacing w:after="0"/>
              <w:jc w:val="center"/>
              <w:rPr>
                <w:b/>
                <w:bCs/>
                <w:sz w:val="20"/>
                <w:szCs w:val="20"/>
              </w:rPr>
            </w:pPr>
            <w:r w:rsidRPr="0054163E">
              <w:rPr>
                <w:b/>
                <w:bCs/>
                <w:sz w:val="20"/>
                <w:szCs w:val="20"/>
              </w:rPr>
              <w:t>66 %</w:t>
            </w:r>
          </w:p>
        </w:tc>
      </w:tr>
      <w:tr w:rsidR="00CB3881" w:rsidRPr="00897BA5" w14:paraId="622876F4" w14:textId="77777777" w:rsidTr="00BA44DB">
        <w:tc>
          <w:tcPr>
            <w:tcW w:w="4773" w:type="dxa"/>
          </w:tcPr>
          <w:p w14:paraId="3AC92E7E" w14:textId="77777777" w:rsidR="00CB3881" w:rsidRPr="0054163E" w:rsidRDefault="00CB3881" w:rsidP="002F1779">
            <w:pPr>
              <w:spacing w:after="0"/>
              <w:rPr>
                <w:sz w:val="20"/>
                <w:szCs w:val="20"/>
              </w:rPr>
            </w:pPr>
            <w:proofErr w:type="spellStart"/>
            <w:r w:rsidRPr="0000335E">
              <w:rPr>
                <w:sz w:val="20"/>
                <w:szCs w:val="20"/>
              </w:rPr>
              <w:t>Celkem</w:t>
            </w:r>
            <w:proofErr w:type="spellEnd"/>
            <w:r w:rsidRPr="0000335E">
              <w:rPr>
                <w:sz w:val="20"/>
                <w:szCs w:val="20"/>
              </w:rPr>
              <w:t xml:space="preserve"> </w:t>
            </w:r>
          </w:p>
        </w:tc>
        <w:tc>
          <w:tcPr>
            <w:tcW w:w="2259" w:type="dxa"/>
          </w:tcPr>
          <w:p w14:paraId="53096E51" w14:textId="2066FA96" w:rsidR="000629BC" w:rsidRPr="0054163E" w:rsidRDefault="0054163E" w:rsidP="0054163E">
            <w:pPr>
              <w:spacing w:after="0"/>
              <w:jc w:val="right"/>
              <w:rPr>
                <w:b/>
                <w:bCs/>
                <w:sz w:val="20"/>
                <w:szCs w:val="20"/>
              </w:rPr>
            </w:pPr>
            <w:r w:rsidRPr="0054163E">
              <w:rPr>
                <w:b/>
                <w:bCs/>
                <w:sz w:val="20"/>
                <w:szCs w:val="20"/>
              </w:rPr>
              <w:t>21 809 518 Kč</w:t>
            </w:r>
          </w:p>
        </w:tc>
        <w:tc>
          <w:tcPr>
            <w:tcW w:w="2259" w:type="dxa"/>
          </w:tcPr>
          <w:p w14:paraId="2BD9EB66" w14:textId="6CFA09F5" w:rsidR="00CB3881" w:rsidRPr="0054163E" w:rsidRDefault="000629BC" w:rsidP="0054163E">
            <w:pPr>
              <w:spacing w:after="0"/>
              <w:jc w:val="center"/>
              <w:rPr>
                <w:sz w:val="20"/>
                <w:szCs w:val="20"/>
              </w:rPr>
            </w:pPr>
            <w:r w:rsidRPr="0054163E">
              <w:rPr>
                <w:sz w:val="20"/>
                <w:szCs w:val="20"/>
              </w:rPr>
              <w:t>100 %</w:t>
            </w:r>
          </w:p>
        </w:tc>
      </w:tr>
    </w:tbl>
    <w:p w14:paraId="0420F4F5" w14:textId="77777777" w:rsidR="00CB3881" w:rsidRDefault="00CB3881">
      <w:pPr>
        <w:pStyle w:val="Default"/>
        <w:ind w:left="720"/>
        <w:jc w:val="both"/>
      </w:pPr>
    </w:p>
    <w:p w14:paraId="6F19E8B0" w14:textId="0CC57935" w:rsidR="00D24F40" w:rsidRDefault="00D24F40">
      <w:pPr>
        <w:jc w:val="both"/>
      </w:pPr>
      <w:r>
        <w:rPr>
          <w:rFonts w:cs="Calibri"/>
          <w:b/>
        </w:rPr>
        <w:t xml:space="preserve">  </w:t>
      </w:r>
      <w:r>
        <w:rPr>
          <w:b/>
        </w:rPr>
        <w:t>2.  České vysoké technické učení v Praze</w:t>
      </w:r>
    </w:p>
    <w:p w14:paraId="5000A06C" w14:textId="1ADB5BBE" w:rsidR="00D24F40" w:rsidRDefault="00D24F40">
      <w:pPr>
        <w:numPr>
          <w:ilvl w:val="0"/>
          <w:numId w:val="3"/>
        </w:numPr>
        <w:spacing w:before="120"/>
        <w:jc w:val="both"/>
      </w:pPr>
      <w:r>
        <w:t xml:space="preserve">je partnerem a spoluřešitelem projektu, podíl účasti ČVUT na projektu činí </w:t>
      </w:r>
      <w:r w:rsidR="0054163E">
        <w:t>22</w:t>
      </w:r>
      <w:r w:rsidR="00181DB0">
        <w:t>,</w:t>
      </w:r>
      <w:r w:rsidR="0054163E">
        <w:t>72</w:t>
      </w:r>
      <w:r w:rsidR="00CB3881">
        <w:t xml:space="preserve"> </w:t>
      </w:r>
      <w:r>
        <w:t>%,</w:t>
      </w:r>
    </w:p>
    <w:p w14:paraId="43172C12" w14:textId="2671545C" w:rsidR="00D24F40" w:rsidRDefault="00D24F40">
      <w:pPr>
        <w:numPr>
          <w:ilvl w:val="0"/>
          <w:numId w:val="3"/>
        </w:numPr>
        <w:spacing w:before="120"/>
        <w:jc w:val="both"/>
      </w:pPr>
      <w:r>
        <w:t>spolupráce ČVUT na projektu spočívá,</w:t>
      </w:r>
      <w:r w:rsidR="0000335E">
        <w:t xml:space="preserve"> </w:t>
      </w:r>
      <w:r>
        <w:t xml:space="preserve">v posouzení navrhovaných technických řešení, postupů a metodiky monitorování </w:t>
      </w:r>
      <w:proofErr w:type="spellStart"/>
      <w:r w:rsidR="00E210AD">
        <w:t>turbostolice</w:t>
      </w:r>
      <w:proofErr w:type="spellEnd"/>
      <w:r w:rsidR="00E210AD">
        <w:t xml:space="preserve"> a turbosoustrojí</w:t>
      </w:r>
      <w:r>
        <w:t xml:space="preserve"> a jejich praktickém ověření</w:t>
      </w:r>
      <w:r w:rsidR="00E210AD">
        <w:t xml:space="preserve"> na vytvořeném modelu</w:t>
      </w:r>
      <w:r>
        <w:t xml:space="preserve"> zabezpečuje účast pověřených pracovníků na projektu, těmto pracovníkům hradí mzdy,</w:t>
      </w:r>
      <w:r w:rsidR="0000335E">
        <w:t xml:space="preserve"> </w:t>
      </w:r>
      <w:r>
        <w:t>za to jí náleží podpora poskytovaná na mzdu těchto pracovníků v rámci programu Aplikace,</w:t>
      </w:r>
    </w:p>
    <w:p w14:paraId="6B028A66" w14:textId="563E3726" w:rsidR="00D24F40" w:rsidRDefault="00D24F40">
      <w:pPr>
        <w:numPr>
          <w:ilvl w:val="0"/>
          <w:numId w:val="3"/>
        </w:numPr>
        <w:spacing w:before="120"/>
        <w:jc w:val="both"/>
      </w:pPr>
      <w:r>
        <w:t>zabezpečuje nákup nezbytného materiálu a komponent pro výzkum a vývoj a provádí posouzení navrhované řešení projektu a jeho praktické ověření</w:t>
      </w:r>
    </w:p>
    <w:p w14:paraId="5B845F6B" w14:textId="77777777" w:rsidR="00D24F40" w:rsidRDefault="00D24F40">
      <w:pPr>
        <w:numPr>
          <w:ilvl w:val="0"/>
          <w:numId w:val="3"/>
        </w:numPr>
        <w:spacing w:before="120"/>
        <w:jc w:val="both"/>
      </w:pPr>
      <w:r>
        <w:t xml:space="preserve">po dokončení projektu jí přísluší podíl ve výši 50% z vlastnictví případných užitných vzorů </w:t>
      </w:r>
      <w:proofErr w:type="gramStart"/>
      <w:r>
        <w:t>a  know</w:t>
      </w:r>
      <w:proofErr w:type="gramEnd"/>
      <w:r>
        <w:t>-how dosažených v rámci projektu, podrobnosti budou upřesněny ve Smlouvě o spolupráci,</w:t>
      </w:r>
    </w:p>
    <w:p w14:paraId="004D6929" w14:textId="77777777" w:rsidR="00D24F40" w:rsidRDefault="00D24F40">
      <w:pPr>
        <w:numPr>
          <w:ilvl w:val="0"/>
          <w:numId w:val="3"/>
        </w:numPr>
        <w:spacing w:before="120"/>
        <w:jc w:val="both"/>
      </w:pPr>
      <w:r>
        <w:t>v průběhu projektu jsou smluvní strany povinny zachovávat mlčenlivost o výsledcích vývoje a výzkumu.</w:t>
      </w:r>
    </w:p>
    <w:p w14:paraId="34C802D7" w14:textId="17A46D74" w:rsidR="00D24F40" w:rsidRPr="00BA44DB" w:rsidRDefault="00D24F40">
      <w:pPr>
        <w:pStyle w:val="Default"/>
        <w:numPr>
          <w:ilvl w:val="0"/>
          <w:numId w:val="3"/>
        </w:numPr>
        <w:jc w:val="both"/>
        <w:rPr>
          <w:sz w:val="22"/>
          <w:szCs w:val="22"/>
        </w:rPr>
      </w:pPr>
      <w:r>
        <w:rPr>
          <w:sz w:val="22"/>
          <w:szCs w:val="22"/>
        </w:rPr>
        <w:t>míra podpory</w:t>
      </w:r>
      <w:r>
        <w:rPr>
          <w:b/>
          <w:bCs/>
          <w:sz w:val="22"/>
          <w:szCs w:val="22"/>
        </w:rPr>
        <w:t xml:space="preserve"> </w:t>
      </w:r>
      <w:r w:rsidR="004D3FD6">
        <w:rPr>
          <w:b/>
          <w:bCs/>
          <w:sz w:val="22"/>
          <w:szCs w:val="22"/>
        </w:rPr>
        <w:t xml:space="preserve">partnera </w:t>
      </w:r>
      <w:r>
        <w:rPr>
          <w:sz w:val="22"/>
          <w:szCs w:val="22"/>
        </w:rPr>
        <w:t xml:space="preserve">za celý projekt je </w:t>
      </w:r>
      <w:r w:rsidR="0054163E">
        <w:rPr>
          <w:b/>
          <w:bCs/>
          <w:sz w:val="22"/>
          <w:szCs w:val="22"/>
        </w:rPr>
        <w:t>8</w:t>
      </w:r>
      <w:r w:rsidR="0054163E" w:rsidRPr="00772059">
        <w:rPr>
          <w:b/>
          <w:bCs/>
          <w:sz w:val="22"/>
          <w:szCs w:val="22"/>
        </w:rPr>
        <w:t>5</w:t>
      </w:r>
      <w:r w:rsidR="00A66E48">
        <w:rPr>
          <w:b/>
          <w:bCs/>
          <w:sz w:val="22"/>
          <w:szCs w:val="22"/>
        </w:rPr>
        <w:t xml:space="preserve"> </w:t>
      </w:r>
      <w:r w:rsidRPr="00772059">
        <w:rPr>
          <w:b/>
          <w:bCs/>
          <w:sz w:val="22"/>
          <w:szCs w:val="22"/>
        </w:rPr>
        <w:t>%</w:t>
      </w:r>
      <w:r w:rsidRPr="00BA44DB">
        <w:rPr>
          <w:sz w:val="22"/>
          <w:szCs w:val="22"/>
        </w:rPr>
        <w:t xml:space="preserve"> výdajů kategorie průmyslového </w:t>
      </w:r>
      <w:r w:rsidR="00772059">
        <w:rPr>
          <w:sz w:val="22"/>
          <w:szCs w:val="22"/>
        </w:rPr>
        <w:t xml:space="preserve">a experimentálního </w:t>
      </w:r>
      <w:r w:rsidRPr="00BA44DB">
        <w:rPr>
          <w:sz w:val="22"/>
          <w:szCs w:val="22"/>
        </w:rPr>
        <w:t>výzkumu na celkových způsobilých výdajích.</w:t>
      </w:r>
    </w:p>
    <w:p w14:paraId="7821CDBE" w14:textId="395EEFB6" w:rsidR="00D24F40" w:rsidRDefault="00D24F40">
      <w:pPr>
        <w:jc w:val="both"/>
        <w:rPr>
          <w:b/>
        </w:rPr>
      </w:pPr>
    </w:p>
    <w:tbl>
      <w:tblPr>
        <w:tblStyle w:val="Modvod"/>
        <w:tblW w:w="9291" w:type="dxa"/>
        <w:tblLayout w:type="fixed"/>
        <w:tblLook w:val="04A0" w:firstRow="1" w:lastRow="0" w:firstColumn="1" w:lastColumn="0" w:noHBand="0" w:noVBand="1"/>
      </w:tblPr>
      <w:tblGrid>
        <w:gridCol w:w="4773"/>
        <w:gridCol w:w="2259"/>
        <w:gridCol w:w="2259"/>
      </w:tblGrid>
      <w:tr w:rsidR="00CB3881" w:rsidRPr="004D3FD6" w14:paraId="17BDD0D5" w14:textId="77777777" w:rsidTr="002F1779">
        <w:trPr>
          <w:cnfStyle w:val="100000000000" w:firstRow="1" w:lastRow="0" w:firstColumn="0" w:lastColumn="0" w:oddVBand="0" w:evenVBand="0" w:oddHBand="0" w:evenHBand="0" w:firstRowFirstColumn="0" w:firstRowLastColumn="0" w:lastRowFirstColumn="0" w:lastRowLastColumn="0"/>
        </w:trPr>
        <w:tc>
          <w:tcPr>
            <w:tcW w:w="9291" w:type="dxa"/>
            <w:gridSpan w:val="3"/>
          </w:tcPr>
          <w:p w14:paraId="5FE2B81B" w14:textId="77777777" w:rsidR="00CB3881" w:rsidRPr="00BA44DB" w:rsidRDefault="00CB3881" w:rsidP="002F1779">
            <w:pPr>
              <w:spacing w:after="0"/>
              <w:jc w:val="center"/>
              <w:rPr>
                <w:rFonts w:cs="Times New Roman"/>
                <w:b w:val="0"/>
                <w:bCs/>
                <w:sz w:val="20"/>
                <w:szCs w:val="20"/>
                <w:lang w:val="cs-CZ"/>
              </w:rPr>
            </w:pPr>
            <w:r w:rsidRPr="0000335E">
              <w:rPr>
                <w:bCs/>
                <w:sz w:val="20"/>
                <w:szCs w:val="20"/>
              </w:rPr>
              <w:t>Partner</w:t>
            </w:r>
            <w:r w:rsidRPr="0000335E">
              <w:rPr>
                <w:bCs/>
              </w:rPr>
              <w:t xml:space="preserve"> ČVUT </w:t>
            </w:r>
          </w:p>
        </w:tc>
      </w:tr>
      <w:tr w:rsidR="00CB3881" w:rsidRPr="004D3FD6" w14:paraId="12214BB0" w14:textId="77777777" w:rsidTr="002F1779">
        <w:tc>
          <w:tcPr>
            <w:tcW w:w="4773" w:type="dxa"/>
          </w:tcPr>
          <w:p w14:paraId="680139DE" w14:textId="77777777" w:rsidR="00CB3881" w:rsidRPr="00BA44DB" w:rsidRDefault="00CB3881" w:rsidP="002F1779">
            <w:pPr>
              <w:spacing w:after="0"/>
              <w:rPr>
                <w:rFonts w:cs="Times New Roman"/>
                <w:sz w:val="20"/>
                <w:szCs w:val="20"/>
                <w:lang w:val="cs-CZ"/>
              </w:rPr>
            </w:pPr>
            <w:r w:rsidRPr="0000335E">
              <w:rPr>
                <w:sz w:val="20"/>
                <w:szCs w:val="20"/>
              </w:rPr>
              <w:t>Vlastní zdroje partner</w:t>
            </w:r>
          </w:p>
        </w:tc>
        <w:tc>
          <w:tcPr>
            <w:tcW w:w="2259" w:type="dxa"/>
          </w:tcPr>
          <w:p w14:paraId="1215E639" w14:textId="08CFCCC6" w:rsidR="00CB3881" w:rsidRPr="00772059" w:rsidRDefault="00772059" w:rsidP="002F1779">
            <w:pPr>
              <w:spacing w:after="0"/>
              <w:jc w:val="right"/>
              <w:rPr>
                <w:rFonts w:cs="Times New Roman"/>
                <w:bCs/>
                <w:sz w:val="20"/>
                <w:szCs w:val="20"/>
                <w:lang w:val="cs-CZ"/>
              </w:rPr>
            </w:pPr>
            <w:r w:rsidRPr="00772059">
              <w:rPr>
                <w:rFonts w:cs="Times New Roman"/>
                <w:bCs/>
                <w:sz w:val="20"/>
                <w:szCs w:val="20"/>
                <w:lang w:val="cs-CZ"/>
              </w:rPr>
              <w:t>743 173 Kč</w:t>
            </w:r>
          </w:p>
        </w:tc>
        <w:tc>
          <w:tcPr>
            <w:tcW w:w="2259" w:type="dxa"/>
          </w:tcPr>
          <w:p w14:paraId="6D2DD3C0" w14:textId="432B191A" w:rsidR="00CB3881" w:rsidRPr="004D3FD6" w:rsidRDefault="00181DB0" w:rsidP="002F1779">
            <w:pPr>
              <w:spacing w:after="0"/>
              <w:jc w:val="center"/>
              <w:rPr>
                <w:rFonts w:cs="Times New Roman"/>
                <w:sz w:val="20"/>
                <w:szCs w:val="20"/>
              </w:rPr>
            </w:pPr>
            <w:r>
              <w:rPr>
                <w:sz w:val="20"/>
                <w:szCs w:val="20"/>
              </w:rPr>
              <w:t>15</w:t>
            </w:r>
            <w:r w:rsidR="00CB3881" w:rsidRPr="004D3FD6">
              <w:rPr>
                <w:sz w:val="20"/>
                <w:szCs w:val="20"/>
              </w:rPr>
              <w:t xml:space="preserve"> %</w:t>
            </w:r>
          </w:p>
        </w:tc>
      </w:tr>
      <w:tr w:rsidR="00CB3881" w:rsidRPr="004D3FD6" w14:paraId="5D4B3645" w14:textId="77777777" w:rsidTr="002F1779">
        <w:tc>
          <w:tcPr>
            <w:tcW w:w="4773" w:type="dxa"/>
          </w:tcPr>
          <w:p w14:paraId="226157CF" w14:textId="77777777" w:rsidR="00CB3881" w:rsidRPr="00BA44DB" w:rsidRDefault="00CB3881" w:rsidP="002F1779">
            <w:pPr>
              <w:spacing w:after="0"/>
              <w:rPr>
                <w:rFonts w:cs="Times New Roman"/>
                <w:sz w:val="20"/>
                <w:szCs w:val="20"/>
                <w:lang w:val="cs-CZ"/>
              </w:rPr>
            </w:pPr>
            <w:proofErr w:type="spellStart"/>
            <w:r w:rsidRPr="0000335E">
              <w:rPr>
                <w:sz w:val="20"/>
                <w:szCs w:val="20"/>
              </w:rPr>
              <w:t>Dotace</w:t>
            </w:r>
            <w:proofErr w:type="spellEnd"/>
          </w:p>
        </w:tc>
        <w:tc>
          <w:tcPr>
            <w:tcW w:w="2259" w:type="dxa"/>
          </w:tcPr>
          <w:p w14:paraId="0B7274DF" w14:textId="15B522E1" w:rsidR="00CB3881" w:rsidRPr="00772059" w:rsidRDefault="00772059" w:rsidP="00772059">
            <w:pPr>
              <w:spacing w:after="0"/>
              <w:jc w:val="right"/>
              <w:rPr>
                <w:bCs/>
                <w:sz w:val="20"/>
                <w:szCs w:val="20"/>
              </w:rPr>
            </w:pPr>
            <w:r w:rsidRPr="00772059">
              <w:rPr>
                <w:rFonts w:cs="Times New Roman"/>
                <w:bCs/>
                <w:sz w:val="20"/>
                <w:szCs w:val="20"/>
                <w:lang w:val="cs-CZ"/>
              </w:rPr>
              <w:t>4 211 315 Kč</w:t>
            </w:r>
          </w:p>
        </w:tc>
        <w:tc>
          <w:tcPr>
            <w:tcW w:w="2259" w:type="dxa"/>
          </w:tcPr>
          <w:p w14:paraId="40FA4C3A" w14:textId="366C2763" w:rsidR="00CB3881" w:rsidRPr="00BA44DB" w:rsidRDefault="00181DB0" w:rsidP="002F1779">
            <w:pPr>
              <w:spacing w:after="0"/>
              <w:jc w:val="center"/>
              <w:rPr>
                <w:rFonts w:cs="Times New Roman"/>
                <w:bCs/>
                <w:sz w:val="20"/>
                <w:szCs w:val="20"/>
              </w:rPr>
            </w:pPr>
            <w:r>
              <w:rPr>
                <w:bCs/>
                <w:sz w:val="20"/>
                <w:szCs w:val="20"/>
              </w:rPr>
              <w:t>85</w:t>
            </w:r>
            <w:r w:rsidR="00CB3881" w:rsidRPr="00BA44DB">
              <w:rPr>
                <w:bCs/>
                <w:sz w:val="20"/>
                <w:szCs w:val="20"/>
              </w:rPr>
              <w:t xml:space="preserve"> %</w:t>
            </w:r>
          </w:p>
        </w:tc>
      </w:tr>
      <w:tr w:rsidR="00CB3881" w:rsidRPr="00897BA5" w14:paraId="7FC348A3" w14:textId="77777777" w:rsidTr="002F1779">
        <w:tc>
          <w:tcPr>
            <w:tcW w:w="4773" w:type="dxa"/>
          </w:tcPr>
          <w:p w14:paraId="296DCFCE" w14:textId="77777777" w:rsidR="00CB3881" w:rsidRPr="00BA44DB" w:rsidRDefault="00CB3881" w:rsidP="002F1779">
            <w:pPr>
              <w:spacing w:after="0"/>
              <w:rPr>
                <w:rFonts w:cs="Times New Roman"/>
                <w:sz w:val="20"/>
                <w:szCs w:val="20"/>
                <w:lang w:val="cs-CZ"/>
              </w:rPr>
            </w:pPr>
            <w:proofErr w:type="spellStart"/>
            <w:r w:rsidRPr="0000335E">
              <w:rPr>
                <w:sz w:val="20"/>
                <w:szCs w:val="20"/>
              </w:rPr>
              <w:t>Celkem</w:t>
            </w:r>
            <w:proofErr w:type="spellEnd"/>
            <w:r w:rsidRPr="0000335E">
              <w:rPr>
                <w:sz w:val="20"/>
                <w:szCs w:val="20"/>
              </w:rPr>
              <w:t xml:space="preserve"> </w:t>
            </w:r>
          </w:p>
        </w:tc>
        <w:tc>
          <w:tcPr>
            <w:tcW w:w="2259" w:type="dxa"/>
          </w:tcPr>
          <w:p w14:paraId="74C9EA66" w14:textId="66690CE5" w:rsidR="00CB3881" w:rsidRPr="00772059" w:rsidRDefault="00772059" w:rsidP="00772059">
            <w:pPr>
              <w:spacing w:after="0"/>
              <w:jc w:val="right"/>
              <w:rPr>
                <w:rFonts w:cs="Times New Roman"/>
                <w:bCs/>
                <w:sz w:val="20"/>
                <w:szCs w:val="20"/>
                <w:lang w:val="cs-CZ"/>
              </w:rPr>
            </w:pPr>
            <w:r w:rsidRPr="00772059">
              <w:rPr>
                <w:rFonts w:cs="Times New Roman"/>
                <w:bCs/>
                <w:sz w:val="20"/>
                <w:szCs w:val="20"/>
                <w:lang w:val="cs-CZ"/>
              </w:rPr>
              <w:t>4 954 488 Kč</w:t>
            </w:r>
          </w:p>
        </w:tc>
        <w:tc>
          <w:tcPr>
            <w:tcW w:w="2259" w:type="dxa"/>
          </w:tcPr>
          <w:p w14:paraId="01323FB9" w14:textId="77777777" w:rsidR="00CB3881" w:rsidRPr="00223512" w:rsidRDefault="00CB3881" w:rsidP="002F1779">
            <w:pPr>
              <w:spacing w:after="0"/>
              <w:jc w:val="center"/>
              <w:rPr>
                <w:rFonts w:cs="Times New Roman"/>
                <w:bCs/>
                <w:sz w:val="20"/>
                <w:szCs w:val="20"/>
              </w:rPr>
            </w:pPr>
            <w:r w:rsidRPr="004D3FD6">
              <w:rPr>
                <w:bCs/>
                <w:sz w:val="20"/>
                <w:szCs w:val="20"/>
              </w:rPr>
              <w:t>100 %</w:t>
            </w:r>
          </w:p>
        </w:tc>
      </w:tr>
    </w:tbl>
    <w:p w14:paraId="0A1EEFD0" w14:textId="77777777" w:rsidR="00CB3881" w:rsidRDefault="00CB3881">
      <w:pPr>
        <w:jc w:val="both"/>
        <w:rPr>
          <w:b/>
        </w:rPr>
      </w:pPr>
    </w:p>
    <w:p w14:paraId="43DEDFDE" w14:textId="77777777" w:rsidR="00D24F40" w:rsidRDefault="00D24F40">
      <w:pPr>
        <w:jc w:val="both"/>
      </w:pPr>
      <w:r>
        <w:rPr>
          <w:b/>
        </w:rPr>
        <w:t>Článek 4.</w:t>
      </w:r>
      <w:r>
        <w:rPr>
          <w:b/>
        </w:rPr>
        <w:tab/>
        <w:t>Výdaje projektu</w:t>
      </w:r>
    </w:p>
    <w:p w14:paraId="583F2C93" w14:textId="5B30E0F0" w:rsidR="00D24F40" w:rsidRDefault="00D24F40" w:rsidP="00772059">
      <w:r>
        <w:rPr>
          <w:b/>
        </w:rPr>
        <w:t xml:space="preserve">Celkové plánované způsobilé výdaje (CZV) projektu jsou </w:t>
      </w:r>
      <w:r w:rsidR="00772059" w:rsidRPr="00772059">
        <w:rPr>
          <w:b/>
        </w:rPr>
        <w:t>26 764 006 Kč</w:t>
      </w:r>
      <w:r>
        <w:rPr>
          <w:b/>
        </w:rPr>
        <w:t xml:space="preserve">. Z toho ZV společnosti ALIMEX </w:t>
      </w:r>
      <w:r w:rsidR="00772059" w:rsidRPr="00772059">
        <w:rPr>
          <w:b/>
        </w:rPr>
        <w:t>21 809 518 Kč</w:t>
      </w:r>
      <w:r>
        <w:rPr>
          <w:b/>
        </w:rPr>
        <w:t xml:space="preserve"> a partnera projektu ČVUT </w:t>
      </w:r>
      <w:r w:rsidR="00181DB0">
        <w:rPr>
          <w:b/>
        </w:rPr>
        <w:t>4 954 488</w:t>
      </w:r>
      <w:r w:rsidR="00291553">
        <w:rPr>
          <w:b/>
        </w:rPr>
        <w:t xml:space="preserve"> </w:t>
      </w:r>
      <w:r>
        <w:rPr>
          <w:b/>
        </w:rPr>
        <w:t>Kč.</w:t>
      </w:r>
    </w:p>
    <w:p w14:paraId="0A9DF6F2" w14:textId="77777777" w:rsidR="00D24F40" w:rsidRDefault="00D24F40">
      <w:pPr>
        <w:jc w:val="both"/>
        <w:rPr>
          <w:b/>
        </w:rPr>
      </w:pPr>
    </w:p>
    <w:p w14:paraId="691758D6" w14:textId="77777777" w:rsidR="00D24F40" w:rsidRDefault="00D24F40">
      <w:pPr>
        <w:jc w:val="both"/>
      </w:pPr>
      <w:r>
        <w:rPr>
          <w:b/>
        </w:rPr>
        <w:t>Článek 5.</w:t>
      </w:r>
      <w:r>
        <w:rPr>
          <w:b/>
        </w:rPr>
        <w:tab/>
        <w:t>Úprava vlastnických práv a užívacích práv k Výsledku výzkumu</w:t>
      </w:r>
    </w:p>
    <w:p w14:paraId="3FB7E90D" w14:textId="1A07C074" w:rsidR="00D24F40" w:rsidRDefault="00D24F40">
      <w:pPr>
        <w:numPr>
          <w:ilvl w:val="0"/>
          <w:numId w:val="4"/>
        </w:numPr>
        <w:jc w:val="both"/>
      </w:pPr>
      <w:r>
        <w:t>Smluvní strany prohlašují, že pokud v důsledku provádění Výzkumu na základě této Smlouvy dojde k vytvoření Nehmotného statku (průmyslových vzorů, patentů, prototypů), Žadatel se stává jeho spoluvlastníkem se spoluvlastnickým podílem o velikosti 50 %, Partner ČVUT se stává jeho spoluvlastníkem se spoluvlastnickým podílem o velikosti 50</w:t>
      </w:r>
      <w:r w:rsidR="00A66E48">
        <w:t xml:space="preserve"> </w:t>
      </w:r>
      <w:r>
        <w:t>%. Smluvní strany se v takovém případě stávají spoluvlastníky majetkových práv plynoucích z vytvořeného Nehmotného statku. U tematicky zaměřených vědeckých článků se stává jejich výhradním vlastníkem autor.</w:t>
      </w:r>
    </w:p>
    <w:p w14:paraId="0D74735D" w14:textId="77777777" w:rsidR="00D24F40" w:rsidRDefault="00D24F40">
      <w:pPr>
        <w:numPr>
          <w:ilvl w:val="0"/>
          <w:numId w:val="4"/>
        </w:numPr>
        <w:jc w:val="both"/>
      </w:pPr>
      <w:r>
        <w:t>Smluvní strany jsou povinny poskytnout si vzájemnou součinnost při přípravě a průběhu příslušných řízení za účelem dosažení ochrany práv vyplývajících z Nehmotného statku. Náklady spojené s vedením příslušných řízení nesou smluvní strany podle velikosti vlastnických podílů a užívacích práv k Výsledku výzkumu</w:t>
      </w:r>
    </w:p>
    <w:p w14:paraId="477A6FE1" w14:textId="77777777" w:rsidR="00D24F40" w:rsidRDefault="00D24F40">
      <w:pPr>
        <w:numPr>
          <w:ilvl w:val="0"/>
          <w:numId w:val="4"/>
        </w:numPr>
        <w:jc w:val="both"/>
      </w:pPr>
      <w:r>
        <w:t>Žadatel výhradně disponuje výkonem práv plynoucích z vytvořených Nehmotných statků (průmyslových vzorů, patentů, prototypů).</w:t>
      </w:r>
    </w:p>
    <w:p w14:paraId="3B037848" w14:textId="4863FC3F" w:rsidR="00D24F40" w:rsidRDefault="00D24F40" w:rsidP="00E210AD">
      <w:pPr>
        <w:numPr>
          <w:ilvl w:val="0"/>
          <w:numId w:val="4"/>
        </w:numPr>
        <w:jc w:val="both"/>
      </w:pPr>
      <w:r>
        <w:t>Postoupí-li Smluvní strana výkon majetkových práv k vytvořenému Nehmotnému statku třetím osobám, je povinna zajistit prostřednictvím odpovídajících opatření nebo smluv, aby povinnosti vyplývající z této Smlouvy přešly na nového spoluvlastníka majetkových práv k Nehmotnému statku.</w:t>
      </w:r>
    </w:p>
    <w:p w14:paraId="0F2A261F" w14:textId="77777777" w:rsidR="00D24F40" w:rsidRDefault="00D24F40">
      <w:pPr>
        <w:jc w:val="both"/>
      </w:pPr>
      <w:r>
        <w:rPr>
          <w:b/>
        </w:rPr>
        <w:t>Článek 6.</w:t>
      </w:r>
      <w:r>
        <w:rPr>
          <w:b/>
        </w:rPr>
        <w:tab/>
        <w:t>Ostatní ujednání</w:t>
      </w:r>
    </w:p>
    <w:p w14:paraId="5F051D12" w14:textId="1A177F93" w:rsidR="00D24F40" w:rsidRDefault="00D24F40" w:rsidP="00652CBB">
      <w:pPr>
        <w:pStyle w:val="Odstavecseseznamem"/>
        <w:numPr>
          <w:ilvl w:val="0"/>
          <w:numId w:val="7"/>
        </w:numPr>
        <w:jc w:val="both"/>
      </w:pPr>
      <w:r>
        <w:t xml:space="preserve">Smlouva je vyhotovena ve </w:t>
      </w:r>
      <w:r w:rsidR="00A54029">
        <w:t xml:space="preserve">třech </w:t>
      </w:r>
      <w:r>
        <w:t xml:space="preserve">stejnopisech s platností originálu, přičemž každá ze stran obdrží po jednom vyhotovení této smlouvy a jeden bude přiložen k Rozhodnutí o poskytnutí dotace. </w:t>
      </w:r>
    </w:p>
    <w:p w14:paraId="1285F795" w14:textId="77777777" w:rsidR="00652CBB" w:rsidRDefault="00652CBB" w:rsidP="00652CBB">
      <w:pPr>
        <w:pStyle w:val="Odstavecseseznamem"/>
        <w:jc w:val="both"/>
      </w:pPr>
    </w:p>
    <w:p w14:paraId="225DCAC0" w14:textId="77777777" w:rsidR="00335FBC" w:rsidRPr="009B68E2" w:rsidRDefault="00335FBC" w:rsidP="00652CBB">
      <w:pPr>
        <w:pStyle w:val="Odstavecseseznamem"/>
        <w:numPr>
          <w:ilvl w:val="0"/>
          <w:numId w:val="7"/>
        </w:numPr>
        <w:jc w:val="both"/>
      </w:pPr>
      <w:r w:rsidRPr="009B68E2">
        <w:t>Smluvní strany souhlasí s uveřejněním této smlouvy v registru smluv podle zákona č.</w:t>
      </w:r>
      <w:r w:rsidRPr="00652CBB">
        <w:t xml:space="preserve"> 340/2015 Sb., </w:t>
      </w:r>
      <w:r w:rsidRPr="009B68E2">
        <w:t>o registru smluv, které zajistí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501245F" w14:textId="77777777" w:rsidR="00D24F40" w:rsidRDefault="00D24F40">
      <w:pPr>
        <w:spacing w:after="0"/>
        <w:jc w:val="both"/>
      </w:pPr>
    </w:p>
    <w:p w14:paraId="5D327366" w14:textId="726E55ED" w:rsidR="00D24F40" w:rsidRDefault="00D24F40">
      <w:pPr>
        <w:jc w:val="both"/>
      </w:pPr>
      <w:r>
        <w:t xml:space="preserve">V Praze, dne </w:t>
      </w:r>
      <w:r w:rsidR="009D0BB1">
        <w:t>____________</w:t>
      </w:r>
      <w:r>
        <w:tab/>
      </w:r>
      <w:r>
        <w:tab/>
      </w:r>
      <w:r>
        <w:tab/>
        <w:t xml:space="preserve">V Praze, dne </w:t>
      </w:r>
      <w:r w:rsidR="00A54029">
        <w:t>____________</w:t>
      </w:r>
    </w:p>
    <w:p w14:paraId="7381E70B" w14:textId="77777777" w:rsidR="00D24F40" w:rsidRDefault="00D24F40">
      <w:pPr>
        <w:jc w:val="both"/>
      </w:pPr>
    </w:p>
    <w:p w14:paraId="59898CC7" w14:textId="77777777" w:rsidR="00D24F40" w:rsidRDefault="00D24F40">
      <w:pPr>
        <w:jc w:val="both"/>
      </w:pPr>
    </w:p>
    <w:p w14:paraId="0CEA8AD5" w14:textId="77777777" w:rsidR="00D24F40" w:rsidRDefault="00D24F40">
      <w:pPr>
        <w:jc w:val="both"/>
      </w:pPr>
    </w:p>
    <w:p w14:paraId="1CDCCD5F" w14:textId="6E88BB50" w:rsidR="00D24F40" w:rsidRDefault="00D24F40">
      <w:pPr>
        <w:tabs>
          <w:tab w:val="center" w:pos="2268"/>
          <w:tab w:val="center" w:pos="6804"/>
        </w:tabs>
        <w:spacing w:after="0"/>
        <w:jc w:val="both"/>
      </w:pPr>
      <w:r>
        <w:rPr>
          <w:rFonts w:cs="Calibri"/>
        </w:rPr>
        <w:t xml:space="preserve"> </w:t>
      </w:r>
      <w:r>
        <w:tab/>
        <w:t>______________________________</w:t>
      </w:r>
      <w:r>
        <w:tab/>
        <w:t>____________________________</w:t>
      </w:r>
    </w:p>
    <w:p w14:paraId="5DBF6DA2" w14:textId="49E265A9" w:rsidR="00D24F40" w:rsidRDefault="00D24F40">
      <w:pPr>
        <w:tabs>
          <w:tab w:val="center" w:pos="2268"/>
          <w:tab w:val="center" w:pos="6804"/>
        </w:tabs>
        <w:spacing w:after="0"/>
        <w:jc w:val="both"/>
      </w:pPr>
      <w:r>
        <w:rPr>
          <w:rFonts w:cs="Calibri"/>
        </w:rPr>
        <w:t xml:space="preserve"> </w:t>
      </w:r>
      <w:r>
        <w:tab/>
        <w:t>za ČVUT v Praze, Fakulta stavební</w:t>
      </w:r>
      <w:r>
        <w:tab/>
        <w:t>za ALIMEX s.r.o.</w:t>
      </w:r>
    </w:p>
    <w:p w14:paraId="3C7169BD" w14:textId="2DFF2C55" w:rsidR="00D24F40" w:rsidRDefault="00D24F40">
      <w:pPr>
        <w:tabs>
          <w:tab w:val="center" w:pos="2268"/>
          <w:tab w:val="center" w:pos="6804"/>
        </w:tabs>
        <w:spacing w:after="0"/>
        <w:jc w:val="both"/>
      </w:pPr>
      <w:r>
        <w:rPr>
          <w:rFonts w:cs="Calibri"/>
        </w:rPr>
        <w:t xml:space="preserve"> </w:t>
      </w:r>
      <w:r>
        <w:tab/>
        <w:t xml:space="preserve">prof. Ing. Jiří Máca, CSc., </w:t>
      </w:r>
      <w:proofErr w:type="spellStart"/>
      <w:r>
        <w:t>FEng</w:t>
      </w:r>
      <w:proofErr w:type="spellEnd"/>
      <w:r>
        <w:t>., děkan</w:t>
      </w:r>
      <w:r>
        <w:tab/>
        <w:t xml:space="preserve">Ing. Jiří Rumler, jednatel </w:t>
      </w:r>
    </w:p>
    <w:sectPr w:rsidR="00D24F40" w:rsidSect="00C311D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56DEF" w14:textId="77777777" w:rsidR="00145C8E" w:rsidRDefault="00145C8E" w:rsidP="00F97B88">
      <w:pPr>
        <w:spacing w:after="0" w:line="240" w:lineRule="auto"/>
      </w:pPr>
      <w:r>
        <w:separator/>
      </w:r>
    </w:p>
  </w:endnote>
  <w:endnote w:type="continuationSeparator" w:id="0">
    <w:p w14:paraId="3A46D54C" w14:textId="77777777" w:rsidR="00145C8E" w:rsidRDefault="00145C8E" w:rsidP="00F9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B6C2B" w14:textId="77777777" w:rsidR="00145C8E" w:rsidRDefault="00145C8E" w:rsidP="00F97B88">
      <w:pPr>
        <w:spacing w:after="0" w:line="240" w:lineRule="auto"/>
      </w:pPr>
      <w:r>
        <w:separator/>
      </w:r>
    </w:p>
  </w:footnote>
  <w:footnote w:type="continuationSeparator" w:id="0">
    <w:p w14:paraId="5CA8B4DE" w14:textId="77777777" w:rsidR="00145C8E" w:rsidRDefault="00145C8E" w:rsidP="00F97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F161F0"/>
    <w:multiLevelType w:val="hybridMultilevel"/>
    <w:tmpl w:val="20D4CA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9C78CC"/>
    <w:multiLevelType w:val="hybridMultilevel"/>
    <w:tmpl w:val="720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27"/>
    <w:rsid w:val="00000442"/>
    <w:rsid w:val="0000335E"/>
    <w:rsid w:val="00014537"/>
    <w:rsid w:val="00056E0F"/>
    <w:rsid w:val="000629BC"/>
    <w:rsid w:val="00145C8E"/>
    <w:rsid w:val="00181DB0"/>
    <w:rsid w:val="00193833"/>
    <w:rsid w:val="002619BB"/>
    <w:rsid w:val="00277A9B"/>
    <w:rsid w:val="00291553"/>
    <w:rsid w:val="003044FD"/>
    <w:rsid w:val="00335FBC"/>
    <w:rsid w:val="004824CC"/>
    <w:rsid w:val="004A0041"/>
    <w:rsid w:val="004D3FD6"/>
    <w:rsid w:val="0054163E"/>
    <w:rsid w:val="0056202B"/>
    <w:rsid w:val="00641460"/>
    <w:rsid w:val="00652CBB"/>
    <w:rsid w:val="00751934"/>
    <w:rsid w:val="00772059"/>
    <w:rsid w:val="007B3427"/>
    <w:rsid w:val="007E5433"/>
    <w:rsid w:val="008135E6"/>
    <w:rsid w:val="00861C88"/>
    <w:rsid w:val="008A626E"/>
    <w:rsid w:val="008C3B5F"/>
    <w:rsid w:val="008D61BE"/>
    <w:rsid w:val="00933DDB"/>
    <w:rsid w:val="009B68E2"/>
    <w:rsid w:val="009D0BB1"/>
    <w:rsid w:val="009D5FC6"/>
    <w:rsid w:val="00A13F27"/>
    <w:rsid w:val="00A3410F"/>
    <w:rsid w:val="00A54029"/>
    <w:rsid w:val="00A66E48"/>
    <w:rsid w:val="00B008F6"/>
    <w:rsid w:val="00B92852"/>
    <w:rsid w:val="00BA44DB"/>
    <w:rsid w:val="00C311DA"/>
    <w:rsid w:val="00C45C77"/>
    <w:rsid w:val="00CB3881"/>
    <w:rsid w:val="00D24F40"/>
    <w:rsid w:val="00D31A3A"/>
    <w:rsid w:val="00D62D81"/>
    <w:rsid w:val="00E210AD"/>
    <w:rsid w:val="00E36516"/>
    <w:rsid w:val="00E426CF"/>
    <w:rsid w:val="00EC4E41"/>
    <w:rsid w:val="00EE5EBA"/>
    <w:rsid w:val="00F27105"/>
    <w:rsid w:val="00F9084D"/>
    <w:rsid w:val="00F97B88"/>
    <w:rsid w:val="00FB2074"/>
    <w:rsid w:val="00FB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EAF921"/>
  <w15:chartTrackingRefBased/>
  <w15:docId w15:val="{5BB50A11-EC2B-4E8A-811A-0001B075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after="160" w:line="252"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rPr>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color w:val="auto"/>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styleId="Hypertextovodkaz">
    <w:name w:val="Hyperlink"/>
    <w:rPr>
      <w:color w:val="0563C1"/>
      <w:u w:val="single"/>
    </w:rPr>
  </w:style>
  <w:style w:type="character" w:customStyle="1" w:styleId="TextbublinyChar">
    <w:name w:val="Text bubliny Char"/>
    <w:rPr>
      <w:rFonts w:ascii="Segoe UI" w:hAnsi="Segoe UI" w:cs="Segoe UI"/>
      <w:sz w:val="18"/>
      <w:szCs w:val="18"/>
    </w:rPr>
  </w:style>
  <w:style w:type="character" w:customStyle="1" w:styleId="ZhlavChar">
    <w:name w:val="Záhlaví Char"/>
    <w:rPr>
      <w:sz w:val="22"/>
      <w:szCs w:val="22"/>
    </w:rPr>
  </w:style>
  <w:style w:type="character" w:customStyle="1" w:styleId="ZpatChar">
    <w:name w:val="Zápatí Char"/>
    <w:rPr>
      <w:sz w:val="22"/>
      <w:szCs w:val="22"/>
    </w:rPr>
  </w:style>
  <w:style w:type="character" w:styleId="Siln">
    <w:name w:val="Strong"/>
    <w:qFormat/>
    <w:rPr>
      <w:b/>
      <w:bCs/>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Textbubliny">
    <w:name w:val="Balloon Text"/>
    <w:basedOn w:val="Normln"/>
    <w:pPr>
      <w:spacing w:after="0" w:line="240" w:lineRule="auto"/>
    </w:pPr>
    <w:rPr>
      <w:rFonts w:ascii="Segoe UI" w:hAnsi="Segoe UI" w:cs="Segoe UI"/>
      <w:sz w:val="18"/>
      <w:szCs w:val="18"/>
    </w:rPr>
  </w:style>
  <w:style w:type="paragraph" w:styleId="Revize">
    <w:name w:val="Revision"/>
    <w:pPr>
      <w:suppressAutoHyphens/>
    </w:pPr>
    <w:rPr>
      <w:rFonts w:ascii="Calibri" w:eastAsia="Calibri" w:hAnsi="Calibri"/>
      <w:sz w:val="22"/>
      <w:szCs w:val="22"/>
      <w:lang w:eastAsia="zh-CN"/>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character" w:styleId="Nevyeenzmnka">
    <w:name w:val="Unresolved Mention"/>
    <w:uiPriority w:val="99"/>
    <w:semiHidden/>
    <w:unhideWhenUsed/>
    <w:rsid w:val="007B3427"/>
    <w:rPr>
      <w:color w:val="605E5C"/>
      <w:shd w:val="clear" w:color="auto" w:fill="E1DFDD"/>
    </w:rPr>
  </w:style>
  <w:style w:type="character" w:styleId="Odkaznakoment">
    <w:name w:val="annotation reference"/>
    <w:basedOn w:val="Standardnpsmoodstavce"/>
    <w:uiPriority w:val="99"/>
    <w:semiHidden/>
    <w:unhideWhenUsed/>
    <w:rsid w:val="00CB3881"/>
    <w:rPr>
      <w:sz w:val="16"/>
      <w:szCs w:val="16"/>
    </w:rPr>
  </w:style>
  <w:style w:type="paragraph" w:styleId="Textkomente">
    <w:name w:val="annotation text"/>
    <w:basedOn w:val="Normln"/>
    <w:link w:val="TextkomenteChar"/>
    <w:uiPriority w:val="99"/>
    <w:semiHidden/>
    <w:unhideWhenUsed/>
    <w:rsid w:val="00CB3881"/>
    <w:pPr>
      <w:spacing w:line="240" w:lineRule="auto"/>
    </w:pPr>
    <w:rPr>
      <w:sz w:val="20"/>
      <w:szCs w:val="20"/>
    </w:rPr>
  </w:style>
  <w:style w:type="character" w:customStyle="1" w:styleId="TextkomenteChar">
    <w:name w:val="Text komentáře Char"/>
    <w:basedOn w:val="Standardnpsmoodstavce"/>
    <w:link w:val="Textkomente"/>
    <w:uiPriority w:val="99"/>
    <w:semiHidden/>
    <w:rsid w:val="00CB3881"/>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sid w:val="00CB3881"/>
    <w:rPr>
      <w:b/>
      <w:bCs/>
    </w:rPr>
  </w:style>
  <w:style w:type="character" w:customStyle="1" w:styleId="PedmtkomenteChar">
    <w:name w:val="Předmět komentáře Char"/>
    <w:basedOn w:val="TextkomenteChar"/>
    <w:link w:val="Pedmtkomente"/>
    <w:uiPriority w:val="99"/>
    <w:semiHidden/>
    <w:rsid w:val="00CB3881"/>
    <w:rPr>
      <w:rFonts w:ascii="Calibri" w:eastAsia="Calibri" w:hAnsi="Calibri"/>
      <w:b/>
      <w:bCs/>
      <w:lang w:eastAsia="zh-CN"/>
    </w:rPr>
  </w:style>
  <w:style w:type="table" w:customStyle="1" w:styleId="Modvod">
    <w:name w:val="Modý úvod"/>
    <w:basedOn w:val="Normlntabulka"/>
    <w:uiPriority w:val="99"/>
    <w:rsid w:val="00CB3881"/>
    <w:rPr>
      <w:rFonts w:asciiTheme="minorHAnsi" w:eastAsiaTheme="minorEastAsia" w:hAnsiTheme="minorHAnsi" w:cstheme="minorBidi"/>
      <w:sz w:val="22"/>
      <w:szCs w:val="22"/>
      <w:lang w:val="sk-SK"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232E83"/>
      </w:tcPr>
    </w:tblStylePr>
  </w:style>
  <w:style w:type="paragraph" w:styleId="Odstavecseseznamem">
    <w:name w:val="List Paragraph"/>
    <w:basedOn w:val="Normln"/>
    <w:uiPriority w:val="34"/>
    <w:qFormat/>
    <w:rsid w:val="00652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4766">
      <w:bodyDiv w:val="1"/>
      <w:marLeft w:val="0"/>
      <w:marRight w:val="0"/>
      <w:marTop w:val="0"/>
      <w:marBottom w:val="0"/>
      <w:divBdr>
        <w:top w:val="none" w:sz="0" w:space="0" w:color="auto"/>
        <w:left w:val="none" w:sz="0" w:space="0" w:color="auto"/>
        <w:bottom w:val="none" w:sz="0" w:space="0" w:color="auto"/>
        <w:right w:val="none" w:sz="0" w:space="0" w:color="auto"/>
      </w:divBdr>
    </w:div>
    <w:div w:id="330914587">
      <w:bodyDiv w:val="1"/>
      <w:marLeft w:val="0"/>
      <w:marRight w:val="0"/>
      <w:marTop w:val="0"/>
      <w:marBottom w:val="0"/>
      <w:divBdr>
        <w:top w:val="none" w:sz="0" w:space="0" w:color="auto"/>
        <w:left w:val="none" w:sz="0" w:space="0" w:color="auto"/>
        <w:bottom w:val="none" w:sz="0" w:space="0" w:color="auto"/>
        <w:right w:val="none" w:sz="0" w:space="0" w:color="auto"/>
      </w:divBdr>
    </w:div>
    <w:div w:id="562060661">
      <w:bodyDiv w:val="1"/>
      <w:marLeft w:val="0"/>
      <w:marRight w:val="0"/>
      <w:marTop w:val="0"/>
      <w:marBottom w:val="0"/>
      <w:divBdr>
        <w:top w:val="none" w:sz="0" w:space="0" w:color="auto"/>
        <w:left w:val="none" w:sz="0" w:space="0" w:color="auto"/>
        <w:bottom w:val="none" w:sz="0" w:space="0" w:color="auto"/>
        <w:right w:val="none" w:sz="0" w:space="0" w:color="auto"/>
      </w:divBdr>
    </w:div>
    <w:div w:id="687029248">
      <w:bodyDiv w:val="1"/>
      <w:marLeft w:val="0"/>
      <w:marRight w:val="0"/>
      <w:marTop w:val="0"/>
      <w:marBottom w:val="0"/>
      <w:divBdr>
        <w:top w:val="none" w:sz="0" w:space="0" w:color="auto"/>
        <w:left w:val="none" w:sz="0" w:space="0" w:color="auto"/>
        <w:bottom w:val="none" w:sz="0" w:space="0" w:color="auto"/>
        <w:right w:val="none" w:sz="0" w:space="0" w:color="auto"/>
      </w:divBdr>
    </w:div>
    <w:div w:id="791284898">
      <w:bodyDiv w:val="1"/>
      <w:marLeft w:val="0"/>
      <w:marRight w:val="0"/>
      <w:marTop w:val="0"/>
      <w:marBottom w:val="0"/>
      <w:divBdr>
        <w:top w:val="none" w:sz="0" w:space="0" w:color="auto"/>
        <w:left w:val="none" w:sz="0" w:space="0" w:color="auto"/>
        <w:bottom w:val="none" w:sz="0" w:space="0" w:color="auto"/>
        <w:right w:val="none" w:sz="0" w:space="0" w:color="auto"/>
      </w:divBdr>
    </w:div>
    <w:div w:id="1207795648">
      <w:bodyDiv w:val="1"/>
      <w:marLeft w:val="0"/>
      <w:marRight w:val="0"/>
      <w:marTop w:val="0"/>
      <w:marBottom w:val="0"/>
      <w:divBdr>
        <w:top w:val="none" w:sz="0" w:space="0" w:color="auto"/>
        <w:left w:val="none" w:sz="0" w:space="0" w:color="auto"/>
        <w:bottom w:val="none" w:sz="0" w:space="0" w:color="auto"/>
        <w:right w:val="none" w:sz="0" w:space="0" w:color="auto"/>
      </w:divBdr>
    </w:div>
    <w:div w:id="1213034128">
      <w:bodyDiv w:val="1"/>
      <w:marLeft w:val="0"/>
      <w:marRight w:val="0"/>
      <w:marTop w:val="0"/>
      <w:marBottom w:val="0"/>
      <w:divBdr>
        <w:top w:val="none" w:sz="0" w:space="0" w:color="auto"/>
        <w:left w:val="none" w:sz="0" w:space="0" w:color="auto"/>
        <w:bottom w:val="none" w:sz="0" w:space="0" w:color="auto"/>
        <w:right w:val="none" w:sz="0" w:space="0" w:color="auto"/>
      </w:divBdr>
    </w:div>
    <w:div w:id="1416056349">
      <w:bodyDiv w:val="1"/>
      <w:marLeft w:val="0"/>
      <w:marRight w:val="0"/>
      <w:marTop w:val="0"/>
      <w:marBottom w:val="0"/>
      <w:divBdr>
        <w:top w:val="none" w:sz="0" w:space="0" w:color="auto"/>
        <w:left w:val="none" w:sz="0" w:space="0" w:color="auto"/>
        <w:bottom w:val="none" w:sz="0" w:space="0" w:color="auto"/>
        <w:right w:val="none" w:sz="0" w:space="0" w:color="auto"/>
      </w:divBdr>
    </w:div>
    <w:div w:id="1467550452">
      <w:bodyDiv w:val="1"/>
      <w:marLeft w:val="0"/>
      <w:marRight w:val="0"/>
      <w:marTop w:val="0"/>
      <w:marBottom w:val="0"/>
      <w:divBdr>
        <w:top w:val="none" w:sz="0" w:space="0" w:color="auto"/>
        <w:left w:val="none" w:sz="0" w:space="0" w:color="auto"/>
        <w:bottom w:val="none" w:sz="0" w:space="0" w:color="auto"/>
        <w:right w:val="none" w:sz="0" w:space="0" w:color="auto"/>
      </w:divBdr>
    </w:div>
    <w:div w:id="2106029218">
      <w:bodyDiv w:val="1"/>
      <w:marLeft w:val="0"/>
      <w:marRight w:val="0"/>
      <w:marTop w:val="0"/>
      <w:marBottom w:val="0"/>
      <w:divBdr>
        <w:top w:val="none" w:sz="0" w:space="0" w:color="auto"/>
        <w:left w:val="none" w:sz="0" w:space="0" w:color="auto"/>
        <w:bottom w:val="none" w:sz="0" w:space="0" w:color="auto"/>
        <w:right w:val="none" w:sz="0" w:space="0" w:color="auto"/>
      </w:divBdr>
    </w:div>
    <w:div w:id="21307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5493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6411</CharactersWithSpaces>
  <SharedDoc>false</SharedDoc>
  <HLinks>
    <vt:vector size="12" baseType="variant">
      <vt:variant>
        <vt:i4>5505141</vt:i4>
      </vt:variant>
      <vt:variant>
        <vt:i4>3</vt:i4>
      </vt:variant>
      <vt:variant>
        <vt:i4>0</vt:i4>
      </vt:variant>
      <vt:variant>
        <vt:i4>5</vt:i4>
      </vt:variant>
      <vt:variant>
        <vt:lpwstr>mailto:lukas.vrablik@fsv.cvut.cz</vt:lpwstr>
      </vt:variant>
      <vt:variant>
        <vt:lpwstr/>
      </vt:variant>
      <vt:variant>
        <vt:i4>5898346</vt:i4>
      </vt:variant>
      <vt:variant>
        <vt:i4>0</vt:i4>
      </vt:variant>
      <vt:variant>
        <vt:i4>0</vt:i4>
      </vt:variant>
      <vt:variant>
        <vt:i4>5</vt:i4>
      </vt:variant>
      <vt:variant>
        <vt:lpwstr>mailto:jrumler@alimex.cz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Pohan</dc:creator>
  <cp:keywords/>
  <cp:lastModifiedBy>Brabcova, Sarka</cp:lastModifiedBy>
  <cp:revision>3</cp:revision>
  <cp:lastPrinted>2024-08-08T09:00:00Z</cp:lastPrinted>
  <dcterms:created xsi:type="dcterms:W3CDTF">2024-08-08T11:10:00Z</dcterms:created>
  <dcterms:modified xsi:type="dcterms:W3CDTF">2024-08-08T11:13:00Z</dcterms:modified>
</cp:coreProperties>
</file>