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b/>
          <w:bCs/>
          <w:color w:val="000000"/>
          <w:spacing w:val="0"/>
          <w:w w:val="100"/>
          <w:position w:val="0"/>
          <w:sz w:val="28"/>
          <w:szCs w:val="28"/>
          <w:shd w:val="clear" w:color="auto" w:fill="auto"/>
          <w:lang w:val="cs-CZ" w:eastAsia="cs-CZ" w:bidi="cs-CZ"/>
        </w:rPr>
        <w:t>SMLOUVA O DÍLO</w:t>
        <w:br/>
        <w:t>č. objednatele: 865/2024</w:t>
        <w:br/>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uzavřená na základě § 2586 a násl. z. č. 89/2012 Sb. Občanský zákoník.</w:t>
      </w:r>
    </w:p>
    <w:p>
      <w:pPr>
        <w:pStyle w:val="Style2"/>
        <w:keepNext w:val="0"/>
        <w:keepLines w:val="0"/>
        <w:widowControl w:val="0"/>
        <w:numPr>
          <w:ilvl w:val="0"/>
          <w:numId w:val="1"/>
        </w:numPr>
        <w:shd w:val="clear" w:color="auto" w:fill="auto"/>
        <w:tabs>
          <w:tab w:pos="378" w:val="left"/>
        </w:tabs>
        <w:bidi w:val="0"/>
        <w:spacing w:before="0" w:after="0" w:line="240" w:lineRule="auto"/>
        <w:ind w:left="0" w:right="0" w:firstLine="0"/>
        <w:jc w:val="left"/>
      </w:pPr>
      <w:bookmarkStart w:id="0" w:name="bookmark0"/>
      <w:bookmarkEnd w:id="0"/>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Smluvní strany: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zhotovitel: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ADVERCOM s.r.o.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Zadní Vinohrady 5340, Chomutov 430 01 IČO: 28739736 DIČ CZ28739736 Společnost je zapsána v obchodním rejstříku, vedeném Krajským soudem v Ústí nad Labem pod sp. zn. C 29791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objednatel: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Bezručova 4219, 430 03 Chomutov</w:t>
      </w:r>
    </w:p>
    <w:p>
      <w:pPr>
        <w:pStyle w:val="Style2"/>
        <w:keepNext w:val="0"/>
        <w:keepLines w:val="0"/>
        <w:widowControl w:val="0"/>
        <w:shd w:val="clear" w:color="auto" w:fill="auto"/>
        <w:tabs>
          <w:tab w:pos="1128" w:val="left"/>
        </w:tabs>
        <w:bidi w:val="0"/>
        <w:spacing w:before="0" w:after="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IČO:</w:t>
        <w:tab/>
        <w:t>70889988 DIČ: CZ70889988</w:t>
      </w:r>
    </w:p>
    <w:p>
      <w:pPr>
        <w:pStyle w:val="Style2"/>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z w:val="24"/>
          <w:szCs w:val="24"/>
          <w:shd w:val="clear" w:color="auto" w:fill="auto"/>
          <w:lang w:val="cs-CZ" w:eastAsia="cs-CZ" w:bidi="cs-CZ"/>
        </w:rPr>
        <w:t>Podnik je zapsán v obchodním rejstříku, vedeném Krajským soudem v Ústí nad Labem, oddíl A, vložka 13052</w:t>
      </w:r>
    </w:p>
    <w:p>
      <w:pPr>
        <w:pStyle w:val="Style2"/>
        <w:keepNext w:val="0"/>
        <w:keepLines w:val="0"/>
        <w:widowControl w:val="0"/>
        <w:numPr>
          <w:ilvl w:val="0"/>
          <w:numId w:val="1"/>
        </w:numPr>
        <w:shd w:val="clear" w:color="auto" w:fill="auto"/>
        <w:tabs>
          <w:tab w:pos="378" w:val="left"/>
        </w:tabs>
        <w:bidi w:val="0"/>
        <w:spacing w:before="0" w:after="0" w:line="240" w:lineRule="auto"/>
        <w:ind w:left="0" w:right="0" w:firstLine="0"/>
        <w:jc w:val="left"/>
      </w:pPr>
      <w:bookmarkStart w:id="1" w:name="bookmark1"/>
      <w:bookmarkEnd w:id="1"/>
      <w:r>
        <w:rPr>
          <w:rFonts w:ascii="Times New Roman" w:eastAsia="Times New Roman" w:hAnsi="Times New Roman" w:cs="Times New Roman"/>
          <w:b/>
          <w:bCs/>
          <w:color w:val="000000"/>
          <w:spacing w:val="0"/>
          <w:w w:val="100"/>
          <w:position w:val="0"/>
          <w:sz w:val="24"/>
          <w:szCs w:val="24"/>
          <w:shd w:val="clear" w:color="auto" w:fill="auto"/>
          <w:lang w:val="cs-CZ" w:eastAsia="cs-CZ" w:bidi="cs-CZ"/>
        </w:rPr>
        <w:t>Předmět smlouvy:</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Předmětem této zakázky je zpracování min. 3 grafických návrhů kalendáře stolního a min. 3 grafických návrhů kalendáře nástěnného. Objednatelem pak bude vybrána finální verze grafické úpravy kalendáře stolního i nástěnného, a to dle níže specifikovaného zadání. Podkladem pro výrobu kalendářů budou fotografie dodané objednatelem.</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Nástěnný kalendář </w:t>
      </w:r>
      <w:r>
        <w:rPr>
          <w:rFonts w:ascii="Times New Roman" w:eastAsia="Times New Roman" w:hAnsi="Times New Roman" w:cs="Times New Roman"/>
          <w:color w:val="000000"/>
          <w:spacing w:val="0"/>
          <w:w w:val="100"/>
          <w:position w:val="0"/>
          <w:sz w:val="24"/>
          <w:szCs w:val="24"/>
          <w:shd w:val="clear" w:color="auto" w:fill="auto"/>
          <w:lang w:val="cs-CZ" w:eastAsia="cs-CZ" w:bidi="cs-CZ"/>
        </w:rPr>
        <w:t>2025 - A3 na šířku, 13 listů, barevnost 4/0, papír 200 g křída silk, pod</w:t>
        <w:softHyphen/>
        <w:t>ložka s tiskem 1/0, kalendářová vazba, množství 530 ks</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Stolní kalendář </w:t>
      </w:r>
      <w:r>
        <w:rPr>
          <w:rFonts w:ascii="Times New Roman" w:eastAsia="Times New Roman" w:hAnsi="Times New Roman" w:cs="Times New Roman"/>
          <w:color w:val="000000"/>
          <w:spacing w:val="0"/>
          <w:w w:val="100"/>
          <w:position w:val="0"/>
          <w:sz w:val="24"/>
          <w:szCs w:val="24"/>
          <w:shd w:val="clear" w:color="auto" w:fill="auto"/>
          <w:lang w:val="cs-CZ" w:eastAsia="cs-CZ" w:bidi="cs-CZ"/>
        </w:rPr>
        <w:t>2025 - 30 x 15 cm á 29 listů, barevnost 4/4, papír 130 g křída silk, stojánek lepenka 600 g s výsekem bez potisku, kalendářová vazba, množství 820 ks</w:t>
      </w:r>
    </w:p>
    <w:p>
      <w:pPr>
        <w:pStyle w:val="Style2"/>
        <w:keepNext w:val="0"/>
        <w:keepLines w:val="0"/>
        <w:widowControl w:val="0"/>
        <w:numPr>
          <w:ilvl w:val="0"/>
          <w:numId w:val="1"/>
        </w:numPr>
        <w:shd w:val="clear" w:color="auto" w:fill="auto"/>
        <w:tabs>
          <w:tab w:pos="378" w:val="left"/>
        </w:tabs>
        <w:bidi w:val="0"/>
        <w:spacing w:before="0" w:after="0" w:line="240" w:lineRule="auto"/>
        <w:ind w:left="0" w:right="0" w:firstLine="0"/>
        <w:jc w:val="both"/>
      </w:pPr>
      <w:bookmarkStart w:id="2" w:name="bookmark2"/>
      <w:bookmarkEnd w:id="2"/>
      <w:r>
        <w:rPr>
          <w:rFonts w:ascii="Times New Roman" w:eastAsia="Times New Roman" w:hAnsi="Times New Roman" w:cs="Times New Roman"/>
          <w:b/>
          <w:bCs/>
          <w:color w:val="000000"/>
          <w:spacing w:val="0"/>
          <w:w w:val="100"/>
          <w:position w:val="0"/>
          <w:sz w:val="24"/>
          <w:szCs w:val="24"/>
          <w:shd w:val="clear" w:color="auto" w:fill="auto"/>
          <w:lang w:val="cs-CZ" w:eastAsia="cs-CZ" w:bidi="cs-CZ"/>
        </w:rPr>
        <w:t>Termín plnění:</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předá fotografický materiál pro zhotovení kalendářů do 31. 8. 2024.</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Termín předání stolního i nástěnného kalendáře 2025 je stanoven na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31. října 2024.</w:t>
      </w:r>
    </w:p>
    <w:p>
      <w:pPr>
        <w:pStyle w:val="Style2"/>
        <w:keepNext w:val="0"/>
        <w:keepLines w:val="0"/>
        <w:widowControl w:val="0"/>
        <w:numPr>
          <w:ilvl w:val="0"/>
          <w:numId w:val="1"/>
        </w:numPr>
        <w:shd w:val="clear" w:color="auto" w:fill="auto"/>
        <w:tabs>
          <w:tab w:pos="378" w:val="left"/>
        </w:tabs>
        <w:bidi w:val="0"/>
        <w:spacing w:before="0" w:after="0" w:line="240" w:lineRule="auto"/>
        <w:ind w:left="0" w:right="0" w:firstLine="0"/>
        <w:jc w:val="both"/>
      </w:pPr>
      <w:bookmarkStart w:id="3" w:name="bookmark3"/>
      <w:bookmarkEnd w:id="3"/>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Odpovědnost za vady:</w:t>
      </w:r>
    </w:p>
    <w:p>
      <w:pPr>
        <w:pStyle w:val="Style2"/>
        <w:keepNext w:val="0"/>
        <w:keepLines w:val="0"/>
        <w:widowControl w:val="0"/>
        <w:shd w:val="clear" w:color="auto" w:fill="auto"/>
        <w:bidi w:val="0"/>
        <w:spacing w:before="0" w:after="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V návaznosti na příslušná ustanovení občanského zákoníku se zhotovitel zavazuje, že stolní kalendář vyrobí na vlastní nebezpečí.</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Zjistí-li objednatel po předání díla, že dílo není v bezvadném stavu, zavazuje se zhotovitel, že dílo okamžitě uvede do bezvadného stavu nebo vrátí objednateli část ceny, která odpovídá částce za chybné dílo.</w:t>
      </w:r>
    </w:p>
    <w:p>
      <w:pPr>
        <w:pStyle w:val="Style2"/>
        <w:keepNext w:val="0"/>
        <w:keepLines w:val="0"/>
        <w:widowControl w:val="0"/>
        <w:numPr>
          <w:ilvl w:val="0"/>
          <w:numId w:val="1"/>
        </w:numPr>
        <w:shd w:val="clear" w:color="auto" w:fill="auto"/>
        <w:tabs>
          <w:tab w:pos="378" w:val="left"/>
        </w:tabs>
        <w:bidi w:val="0"/>
        <w:spacing w:before="0" w:after="0" w:line="240" w:lineRule="auto"/>
        <w:ind w:left="0" w:right="0" w:firstLine="0"/>
        <w:jc w:val="both"/>
      </w:pPr>
      <w:bookmarkStart w:id="4" w:name="bookmark4"/>
      <w:bookmarkEnd w:id="4"/>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Cena díla:</w:t>
      </w:r>
    </w:p>
    <w:p>
      <w:pPr>
        <w:pStyle w:val="Style2"/>
        <w:keepNext w:val="0"/>
        <w:keepLines w:val="0"/>
        <w:widowControl w:val="0"/>
        <w:shd w:val="clear" w:color="auto" w:fill="auto"/>
        <w:bidi w:val="0"/>
        <w:spacing w:before="0" w:line="240" w:lineRule="auto"/>
        <w:ind w:left="0" w:right="0" w:firstLine="0"/>
        <w:jc w:val="both"/>
      </w:pPr>
      <w:bookmarkStart w:id="5" w:name="bookmark5"/>
      <w:r>
        <w:rPr>
          <w:rFonts w:ascii="Times New Roman" w:eastAsia="Times New Roman" w:hAnsi="Times New Roman" w:cs="Times New Roman"/>
          <w:color w:val="000000"/>
          <w:spacing w:val="0"/>
          <w:w w:val="100"/>
          <w:position w:val="0"/>
          <w:sz w:val="24"/>
          <w:szCs w:val="24"/>
          <w:shd w:val="clear" w:color="auto" w:fill="auto"/>
          <w:lang w:val="cs-CZ" w:eastAsia="cs-CZ" w:bidi="cs-CZ"/>
        </w:rPr>
        <w:t>C</w:t>
      </w:r>
      <w:bookmarkEnd w:id="5"/>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ena díla je stanovena dohodou obou stran na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120 961,- Kč</w:t>
      </w:r>
      <w:r>
        <w:rPr>
          <w:rFonts w:ascii="Times New Roman" w:eastAsia="Times New Roman" w:hAnsi="Times New Roman" w:cs="Times New Roman"/>
          <w:color w:val="000000"/>
          <w:spacing w:val="0"/>
          <w:w w:val="100"/>
          <w:position w:val="0"/>
          <w:sz w:val="24"/>
          <w:szCs w:val="24"/>
          <w:shd w:val="clear" w:color="auto" w:fill="auto"/>
          <w:lang w:val="cs-CZ" w:eastAsia="cs-CZ" w:bidi="cs-CZ"/>
        </w:rPr>
        <w:t>. K této ceně bude připočtena DPH podle zák. č. 235/2004 Sb. v platném znění.</w:t>
      </w:r>
    </w:p>
    <w:p>
      <w:pPr>
        <w:pStyle w:val="Style2"/>
        <w:keepNext w:val="0"/>
        <w:keepLines w:val="0"/>
        <w:widowControl w:val="0"/>
        <w:numPr>
          <w:ilvl w:val="0"/>
          <w:numId w:val="3"/>
        </w:numPr>
        <w:shd w:val="clear" w:color="auto" w:fill="auto"/>
        <w:tabs>
          <w:tab w:pos="378" w:val="left"/>
        </w:tabs>
        <w:bidi w:val="0"/>
        <w:spacing w:before="0" w:after="0" w:line="240" w:lineRule="auto"/>
        <w:ind w:left="0" w:right="0" w:firstLine="0"/>
        <w:jc w:val="both"/>
      </w:pPr>
      <w:bookmarkStart w:id="6" w:name="bookmark6"/>
      <w:bookmarkEnd w:id="6"/>
      <w:r>
        <w:rPr>
          <w:rFonts w:ascii="Times New Roman" w:eastAsia="Times New Roman" w:hAnsi="Times New Roman" w:cs="Times New Roman"/>
          <w:b/>
          <w:bCs/>
          <w:color w:val="000000"/>
          <w:spacing w:val="0"/>
          <w:w w:val="100"/>
          <w:position w:val="0"/>
          <w:sz w:val="24"/>
          <w:szCs w:val="24"/>
          <w:shd w:val="clear" w:color="auto" w:fill="auto"/>
          <w:lang w:val="cs-CZ" w:eastAsia="cs-CZ" w:bidi="cs-CZ"/>
        </w:rPr>
        <w:t>Fakturace a platební podmínky</w:t>
      </w:r>
    </w:p>
    <w:p>
      <w:pPr>
        <w:pStyle w:val="Style2"/>
        <w:keepNext w:val="0"/>
        <w:keepLines w:val="0"/>
        <w:widowControl w:val="0"/>
        <w:numPr>
          <w:ilvl w:val="0"/>
          <w:numId w:val="5"/>
        </w:numPr>
        <w:shd w:val="clear" w:color="auto" w:fill="auto"/>
        <w:tabs>
          <w:tab w:pos="277" w:val="left"/>
        </w:tabs>
        <w:bidi w:val="0"/>
        <w:spacing w:before="0" w:after="0" w:line="240" w:lineRule="auto"/>
        <w:ind w:left="0" w:right="0" w:firstLine="0"/>
        <w:jc w:val="both"/>
      </w:pPr>
      <w:bookmarkStart w:id="7" w:name="bookmark7"/>
      <w:bookmarkEnd w:id="7"/>
      <w:r>
        <w:rPr>
          <w:rFonts w:ascii="Times New Roman" w:eastAsia="Times New Roman" w:hAnsi="Times New Roman" w:cs="Times New Roman"/>
          <w:color w:val="000000"/>
          <w:spacing w:val="0"/>
          <w:w w:val="100"/>
          <w:position w:val="0"/>
          <w:sz w:val="24"/>
          <w:szCs w:val="24"/>
          <w:shd w:val="clear" w:color="auto" w:fill="auto"/>
          <w:lang w:val="cs-CZ" w:eastAsia="cs-CZ" w:bidi="cs-CZ"/>
        </w:rPr>
        <w:t>Po předání a převzetí kompletního díla má zhotovitel právo dílo fakturovat. Den předání a převzetí bude i dnem uskutečnění zdanitelného plnění.</w:t>
      </w:r>
    </w:p>
    <w:p>
      <w:pPr>
        <w:pStyle w:val="Style2"/>
        <w:keepNext w:val="0"/>
        <w:keepLines w:val="0"/>
        <w:widowControl w:val="0"/>
        <w:numPr>
          <w:ilvl w:val="0"/>
          <w:numId w:val="5"/>
        </w:numPr>
        <w:shd w:val="clear" w:color="auto" w:fill="auto"/>
        <w:tabs>
          <w:tab w:pos="277" w:val="left"/>
        </w:tabs>
        <w:bidi w:val="0"/>
        <w:spacing w:before="0" w:line="240" w:lineRule="auto"/>
        <w:ind w:left="0" w:right="0" w:firstLine="0"/>
        <w:jc w:val="both"/>
      </w:pPr>
      <w:bookmarkStart w:id="8" w:name="bookmark8"/>
      <w:bookmarkEnd w:id="8"/>
      <w:r>
        <w:rPr>
          <w:rFonts w:ascii="Times New Roman" w:eastAsia="Times New Roman" w:hAnsi="Times New Roman" w:cs="Times New Roman"/>
          <w:color w:val="000000"/>
          <w:spacing w:val="0"/>
          <w:w w:val="100"/>
          <w:position w:val="0"/>
          <w:sz w:val="24"/>
          <w:szCs w:val="24"/>
          <w:shd w:val="clear" w:color="auto" w:fill="auto"/>
          <w:lang w:val="cs-CZ" w:eastAsia="cs-CZ" w:bidi="cs-CZ"/>
        </w:rPr>
        <w:t>Objednatel se zavazuje uhradit zhotoviteli smluvní cenu na základě daňového dokladu, který zhotovitel vystaví do 15 ti dnů ode dne uskutečnění zdanitelného plnění se splatností 14 ti dnů ode dne doručení.</w:t>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Daňový doklad musí splňovat náležitosti ve smyslu daňových a účetních předpisů platných na území České republiky, zejména zákona č. 563/91 Sb., o účetnictví a zákona č. 235/2004 Sb. o DPH v platném znění. V případě chybějících nebo chybných náležitostí vrátí objednatel zhotoviteli daňový doklad k opravě. Lhůta pro zaplacení pak počíná běžet od okamžiku vrá</w:t>
        <w:softHyphen/>
        <w:t>cení opraveného daňového dokladu.</w:t>
      </w:r>
    </w:p>
    <w:p>
      <w:pPr>
        <w:pStyle w:val="Style2"/>
        <w:keepNext w:val="0"/>
        <w:keepLines w:val="0"/>
        <w:widowControl w:val="0"/>
        <w:numPr>
          <w:ilvl w:val="0"/>
          <w:numId w:val="3"/>
        </w:numPr>
        <w:shd w:val="clear" w:color="auto" w:fill="auto"/>
        <w:tabs>
          <w:tab w:pos="318" w:val="left"/>
        </w:tabs>
        <w:bidi w:val="0"/>
        <w:spacing w:before="0" w:line="240" w:lineRule="auto"/>
        <w:ind w:left="0" w:right="0" w:firstLine="0"/>
        <w:jc w:val="both"/>
      </w:pPr>
      <w:bookmarkStart w:id="9" w:name="bookmark9"/>
      <w:bookmarkEnd w:id="9"/>
      <w:r>
        <w:rPr>
          <w:rFonts w:ascii="Times New Roman" w:eastAsia="Times New Roman" w:hAnsi="Times New Roman" w:cs="Times New Roman"/>
          <w:b/>
          <w:bCs/>
          <w:color w:val="000000"/>
          <w:spacing w:val="0"/>
          <w:w w:val="100"/>
          <w:position w:val="0"/>
          <w:sz w:val="24"/>
          <w:szCs w:val="24"/>
          <w:shd w:val="clear" w:color="auto" w:fill="auto"/>
          <w:lang w:val="cs-CZ" w:eastAsia="cs-CZ" w:bidi="cs-CZ"/>
        </w:rPr>
        <w:t>Compliance doložka</w:t>
      </w:r>
    </w:p>
    <w:p>
      <w:pPr>
        <w:pStyle w:val="Style2"/>
        <w:keepNext w:val="0"/>
        <w:keepLines w:val="0"/>
        <w:widowControl w:val="0"/>
        <w:numPr>
          <w:ilvl w:val="0"/>
          <w:numId w:val="7"/>
        </w:numPr>
        <w:shd w:val="clear" w:color="auto" w:fill="auto"/>
        <w:tabs>
          <w:tab w:pos="738" w:val="left"/>
        </w:tabs>
        <w:bidi w:val="0"/>
        <w:spacing w:before="0" w:after="0" w:line="240" w:lineRule="auto"/>
        <w:ind w:left="720" w:right="0" w:hanging="340"/>
        <w:jc w:val="both"/>
      </w:pPr>
      <w:bookmarkStart w:id="10" w:name="bookmark10"/>
      <w:bookmarkEnd w:id="10"/>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7"/>
        </w:numPr>
        <w:shd w:val="clear" w:color="auto" w:fill="auto"/>
        <w:tabs>
          <w:tab w:pos="738" w:val="left"/>
        </w:tabs>
        <w:bidi w:val="0"/>
        <w:spacing w:before="0" w:after="0" w:line="240" w:lineRule="auto"/>
        <w:ind w:left="720" w:right="0" w:hanging="340"/>
        <w:jc w:val="both"/>
      </w:pPr>
      <w:bookmarkStart w:id="11" w:name="bookmark11"/>
      <w:bookmarkEnd w:id="11"/>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7"/>
        </w:numPr>
        <w:shd w:val="clear" w:color="auto" w:fill="auto"/>
        <w:tabs>
          <w:tab w:pos="738" w:val="left"/>
        </w:tabs>
        <w:bidi w:val="0"/>
        <w:spacing w:before="0" w:after="0" w:line="240" w:lineRule="auto"/>
        <w:ind w:left="720" w:right="0" w:hanging="340"/>
        <w:jc w:val="both"/>
      </w:pPr>
      <w:bookmarkStart w:id="12" w:name="bookmark12"/>
      <w:bookmarkEnd w:id="12"/>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Druhá smluvní strana (zhotovitel, kupující, prodávající, pronajímatel, nájemce, atd.) prohlašuje, že se seznámila se zásadami, hodnotami a cíli Compliance programu Povodí Ohře, s. p. (viz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http://www.poh.cz/protikorupcni-a-compliance-program/d-</w:t>
      </w:r>
      <w:r>
        <w:fldChar w:fldCharType="end"/>
      </w:r>
      <w:r>
        <w:rPr>
          <w:rFonts w:ascii="Times New Roman" w:eastAsia="Times New Roman" w:hAnsi="Times New Roman" w:cs="Times New Roman"/>
          <w:color w:val="0000FF"/>
          <w:spacing w:val="0"/>
          <w:w w:val="100"/>
          <w:position w:val="0"/>
          <w:sz w:val="24"/>
          <w:szCs w:val="24"/>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rFonts w:ascii="Times New Roman" w:eastAsia="Times New Roman" w:hAnsi="Times New Roman" w:cs="Times New Roman"/>
          <w:color w:val="0000FF"/>
          <w:spacing w:val="0"/>
          <w:w w:val="100"/>
          <w:position w:val="0"/>
          <w:sz w:val="24"/>
          <w:szCs w:val="24"/>
          <w:shd w:val="clear" w:color="auto" w:fill="auto"/>
          <w:lang w:val="cs-CZ" w:eastAsia="cs-CZ" w:bidi="cs-CZ"/>
        </w:rPr>
        <w:t>1346/p1=1458</w:t>
      </w:r>
      <w:r>
        <w:fldChar w:fldCharType="end"/>
      </w:r>
      <w:r>
        <w:rPr>
          <w:rFonts w:ascii="Times New Roman" w:eastAsia="Times New Roman" w:hAnsi="Times New Roman" w:cs="Times New Roman"/>
          <w:color w:val="000000"/>
          <w:spacing w:val="0"/>
          <w:w w:val="100"/>
          <w:position w:val="0"/>
          <w:sz w:val="24"/>
          <w:szCs w:val="24"/>
          <w:shd w:val="clear" w:color="auto" w:fill="auto"/>
          <w:lang w:val="cs-CZ" w:eastAsia="cs-CZ" w:bidi="cs-CZ"/>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7"/>
        </w:numPr>
        <w:shd w:val="clear" w:color="auto" w:fill="auto"/>
        <w:tabs>
          <w:tab w:pos="738" w:val="left"/>
        </w:tabs>
        <w:bidi w:val="0"/>
        <w:spacing w:before="0" w:after="280" w:line="240" w:lineRule="auto"/>
        <w:ind w:left="720" w:right="0" w:hanging="340"/>
        <w:jc w:val="both"/>
      </w:pPr>
      <w:bookmarkStart w:id="13" w:name="bookmark13"/>
      <w:bookmarkEnd w:id="13"/>
      <w:r>
        <w:rPr>
          <w:rFonts w:ascii="Times New Roman" w:eastAsia="Times New Roman" w:hAnsi="Times New Roman" w:cs="Times New Roman"/>
          <w:color w:val="000000"/>
          <w:spacing w:val="0"/>
          <w:w w:val="100"/>
          <w:position w:val="0"/>
          <w:sz w:val="24"/>
          <w:szCs w:val="24"/>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3"/>
        </w:numPr>
        <w:shd w:val="clear" w:color="auto" w:fill="auto"/>
        <w:tabs>
          <w:tab w:pos="318" w:val="left"/>
        </w:tabs>
        <w:bidi w:val="0"/>
        <w:spacing w:before="0" w:line="240" w:lineRule="auto"/>
        <w:ind w:left="0" w:right="0" w:firstLine="0"/>
        <w:jc w:val="left"/>
      </w:pPr>
      <w:bookmarkStart w:id="14" w:name="bookmark14"/>
      <w:bookmarkEnd w:id="14"/>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Ochrana a zpracování osobních údajů</w:t>
      </w:r>
    </w:p>
    <w:p>
      <w:pPr>
        <w:pStyle w:val="Style2"/>
        <w:keepNext w:val="0"/>
        <w:keepLines w:val="0"/>
        <w:widowControl w:val="0"/>
        <w:shd w:val="clear" w:color="auto" w:fill="auto"/>
        <w:bidi w:val="0"/>
        <w:spacing w:before="0" w:after="104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b/>
          <w:bCs/>
          <w:color w:val="0000FF"/>
          <w:spacing w:val="0"/>
          <w:w w:val="100"/>
          <w:position w:val="0"/>
          <w:sz w:val="24"/>
          <w:szCs w:val="24"/>
          <w:shd w:val="clear" w:color="auto" w:fill="auto"/>
          <w:lang w:val="cs-CZ" w:eastAsia="cs-CZ" w:bidi="cs-CZ"/>
        </w:rPr>
        <w:t>http://www.poh.cz/informace-o-zpracovani-osobnich-udaju/d-</w:t>
      </w:r>
      <w:r>
        <w:fldChar w:fldCharType="end"/>
      </w:r>
      <w:r>
        <w:rPr>
          <w:rFonts w:ascii="Times New Roman" w:eastAsia="Times New Roman" w:hAnsi="Times New Roman" w:cs="Times New Roman"/>
          <w:b/>
          <w:bCs/>
          <w:color w:val="0000FF"/>
          <w:spacing w:val="0"/>
          <w:w w:val="100"/>
          <w:position w:val="0"/>
          <w:sz w:val="24"/>
          <w:szCs w:val="24"/>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rFonts w:ascii="Times New Roman" w:eastAsia="Times New Roman" w:hAnsi="Times New Roman" w:cs="Times New Roman"/>
          <w:b/>
          <w:bCs/>
          <w:color w:val="0000FF"/>
          <w:spacing w:val="0"/>
          <w:w w:val="100"/>
          <w:position w:val="0"/>
          <w:sz w:val="24"/>
          <w:szCs w:val="24"/>
          <w:shd w:val="clear" w:color="auto" w:fill="auto"/>
          <w:lang w:val="cs-CZ" w:eastAsia="cs-CZ" w:bidi="cs-CZ"/>
        </w:rPr>
        <w:t>1369/p1=1459</w:t>
      </w:r>
      <w:r>
        <w:fldChar w:fldCharType="end"/>
      </w:r>
    </w:p>
    <w:p>
      <w:pPr>
        <w:pStyle w:val="Style2"/>
        <w:keepNext w:val="0"/>
        <w:keepLines w:val="0"/>
        <w:widowControl w:val="0"/>
        <w:numPr>
          <w:ilvl w:val="0"/>
          <w:numId w:val="3"/>
        </w:numPr>
        <w:shd w:val="clear" w:color="auto" w:fill="auto"/>
        <w:tabs>
          <w:tab w:pos="438" w:val="left"/>
        </w:tabs>
        <w:bidi w:val="0"/>
        <w:spacing w:before="0" w:after="0" w:line="240" w:lineRule="auto"/>
        <w:ind w:left="0" w:right="0" w:firstLine="0"/>
        <w:jc w:val="both"/>
      </w:pPr>
      <w:bookmarkStart w:id="15" w:name="bookmark15"/>
      <w:bookmarkEnd w:id="15"/>
      <w:r>
        <w:rPr>
          <w:rFonts w:ascii="Times New Roman" w:eastAsia="Times New Roman" w:hAnsi="Times New Roman" w:cs="Times New Roman"/>
          <w:b/>
          <w:bCs/>
          <w:color w:val="000000"/>
          <w:spacing w:val="0"/>
          <w:w w:val="100"/>
          <w:position w:val="0"/>
          <w:sz w:val="24"/>
          <w:szCs w:val="24"/>
          <w:shd w:val="clear" w:color="auto" w:fill="auto"/>
          <w:lang w:val="cs-CZ" w:eastAsia="cs-CZ" w:bidi="cs-CZ"/>
        </w:rPr>
        <w:t>Ostatní ujednání</w:t>
      </w:r>
    </w:p>
    <w:p>
      <w:pPr>
        <w:pStyle w:val="Style2"/>
        <w:keepNext w:val="0"/>
        <w:keepLines w:val="0"/>
        <w:widowControl w:val="0"/>
        <w:numPr>
          <w:ilvl w:val="0"/>
          <w:numId w:val="9"/>
        </w:numPr>
        <w:shd w:val="clear" w:color="auto" w:fill="auto"/>
        <w:tabs>
          <w:tab w:pos="337" w:val="left"/>
        </w:tabs>
        <w:bidi w:val="0"/>
        <w:spacing w:before="0" w:after="0" w:line="240" w:lineRule="auto"/>
        <w:ind w:left="0" w:right="0" w:firstLine="0"/>
        <w:jc w:val="both"/>
      </w:pPr>
      <w:bookmarkStart w:id="16" w:name="bookmark16"/>
      <w:bookmarkEnd w:id="16"/>
      <w:r>
        <w:rPr>
          <w:rFonts w:ascii="Times New Roman" w:eastAsia="Times New Roman" w:hAnsi="Times New Roman" w:cs="Times New Roman"/>
          <w:color w:val="000000"/>
          <w:spacing w:val="0"/>
          <w:w w:val="100"/>
          <w:position w:val="0"/>
          <w:sz w:val="24"/>
          <w:szCs w:val="24"/>
          <w:shd w:val="clear" w:color="auto" w:fill="auto"/>
          <w:lang w:val="cs-CZ" w:eastAsia="cs-CZ" w:bidi="cs-CZ"/>
        </w:rPr>
        <w:t>Obě strany se dohodly na následujících sankcích:</w:t>
      </w:r>
    </w:p>
    <w:p>
      <w:pPr>
        <w:pStyle w:val="Style2"/>
        <w:keepNext w:val="0"/>
        <w:keepLines w:val="0"/>
        <w:widowControl w:val="0"/>
        <w:shd w:val="clear" w:color="auto" w:fill="auto"/>
        <w:bidi w:val="0"/>
        <w:spacing w:before="0" w:after="24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pro případ prodlení platby objednatele je dohodnuta smluvní pokuta ve výši 0,3 % z dlužné částky za každý den prodlení platby</w:t>
      </w:r>
      <w:r>
        <w:br w:type="page"/>
      </w:r>
    </w:p>
    <w:p>
      <w:pPr>
        <w:pStyle w:val="Style2"/>
        <w:keepNext w:val="0"/>
        <w:keepLines w:val="0"/>
        <w:widowControl w:val="0"/>
        <w:shd w:val="clear" w:color="auto" w:fill="auto"/>
        <w:bidi w:val="0"/>
        <w:spacing w:before="0" w:line="240" w:lineRule="auto"/>
        <w:ind w:left="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pro případ prodlení zhotovitele s dodáním díla je dohodnuta smluvní pokuta ve výši 0,3 % za každý den prodlení, a to z celkové ceny díla.</w:t>
      </w:r>
    </w:p>
    <w:p>
      <w:pPr>
        <w:pStyle w:val="Style2"/>
        <w:keepNext w:val="0"/>
        <w:keepLines w:val="0"/>
        <w:widowControl w:val="0"/>
        <w:numPr>
          <w:ilvl w:val="0"/>
          <w:numId w:val="9"/>
        </w:numPr>
        <w:shd w:val="clear" w:color="auto" w:fill="auto"/>
        <w:tabs>
          <w:tab w:pos="397" w:val="left"/>
        </w:tabs>
        <w:bidi w:val="0"/>
        <w:spacing w:before="0" w:line="240" w:lineRule="auto"/>
        <w:ind w:left="0" w:right="0" w:firstLine="0"/>
        <w:jc w:val="both"/>
      </w:pPr>
      <w:bookmarkStart w:id="17" w:name="bookmark17"/>
      <w:bookmarkEnd w:id="17"/>
      <w:r>
        <w:rPr>
          <w:rFonts w:ascii="Times New Roman" w:eastAsia="Times New Roman" w:hAnsi="Times New Roman" w:cs="Times New Roman"/>
          <w:color w:val="000000"/>
          <w:spacing w:val="0"/>
          <w:w w:val="100"/>
          <w:position w:val="0"/>
          <w:sz w:val="24"/>
          <w:szCs w:val="24"/>
          <w:shd w:val="clear" w:color="auto" w:fill="auto"/>
          <w:lang w:val="cs-CZ" w:eastAsia="cs-CZ" w:bidi="cs-CZ"/>
        </w:rPr>
        <w:t>Vztahy, které nejsou výslovně upraveny touto smlouvou, se řídí ustanoveními občanského zákoníku a dalšími obecně platnými předpisy.</w:t>
      </w:r>
    </w:p>
    <w:p>
      <w:pPr>
        <w:pStyle w:val="Style2"/>
        <w:keepNext w:val="0"/>
        <w:keepLines w:val="0"/>
        <w:widowControl w:val="0"/>
        <w:numPr>
          <w:ilvl w:val="0"/>
          <w:numId w:val="9"/>
        </w:numPr>
        <w:shd w:val="clear" w:color="auto" w:fill="auto"/>
        <w:tabs>
          <w:tab w:pos="397" w:val="left"/>
        </w:tabs>
        <w:bidi w:val="0"/>
        <w:spacing w:before="0" w:line="240" w:lineRule="auto"/>
        <w:ind w:left="0" w:right="0" w:firstLine="0"/>
        <w:jc w:val="both"/>
      </w:pPr>
      <w:bookmarkStart w:id="18" w:name="bookmark18"/>
      <w:bookmarkEnd w:id="18"/>
      <w:r>
        <w:rPr>
          <w:rFonts w:ascii="Times New Roman" w:eastAsia="Times New Roman" w:hAnsi="Times New Roman" w:cs="Times New Roman"/>
          <w:color w:val="000000"/>
          <w:spacing w:val="0"/>
          <w:w w:val="100"/>
          <w:position w:val="0"/>
          <w:sz w:val="24"/>
          <w:szCs w:val="24"/>
          <w:shd w:val="clear" w:color="auto" w:fill="auto"/>
          <w:lang w:val="cs-CZ" w:eastAsia="cs-CZ" w:bidi="cs-CZ"/>
        </w:rPr>
        <w:t>Smlouva je vyhotovena ve třech výtiscích, přičemž objednatel obdrží dva a zhotovitel jeden.</w:t>
      </w:r>
    </w:p>
    <w:p>
      <w:pPr>
        <w:pStyle w:val="Style2"/>
        <w:keepNext w:val="0"/>
        <w:keepLines w:val="0"/>
        <w:widowControl w:val="0"/>
        <w:numPr>
          <w:ilvl w:val="0"/>
          <w:numId w:val="9"/>
        </w:numPr>
        <w:shd w:val="clear" w:color="auto" w:fill="auto"/>
        <w:tabs>
          <w:tab w:pos="397" w:val="left"/>
        </w:tabs>
        <w:bidi w:val="0"/>
        <w:spacing w:before="0" w:line="240" w:lineRule="auto"/>
        <w:ind w:left="0" w:right="0" w:firstLine="0"/>
        <w:jc w:val="both"/>
      </w:pPr>
      <w:bookmarkStart w:id="19" w:name="bookmark19"/>
      <w:bookmarkEnd w:id="19"/>
      <w:r>
        <w:rPr>
          <w:rFonts w:ascii="Times New Roman" w:eastAsia="Times New Roman" w:hAnsi="Times New Roman" w:cs="Times New Roman"/>
          <w:color w:val="000000"/>
          <w:spacing w:val="0"/>
          <w:w w:val="100"/>
          <w:position w:val="0"/>
          <w:sz w:val="24"/>
          <w:szCs w:val="24"/>
          <w:shd w:val="clear" w:color="auto" w:fill="auto"/>
          <w:lang w:val="cs-CZ" w:eastAsia="cs-CZ" w:bidi="cs-CZ"/>
        </w:rPr>
        <w:t>Změny nebo doplňky této smlouvy lze provádět jen na základě vzájemné dohody obou smluvních stran, a to formou písemných dodatků k této smlouvě.</w:t>
      </w:r>
    </w:p>
    <w:p>
      <w:pPr>
        <w:pStyle w:val="Style2"/>
        <w:keepNext w:val="0"/>
        <w:keepLines w:val="0"/>
        <w:widowControl w:val="0"/>
        <w:numPr>
          <w:ilvl w:val="0"/>
          <w:numId w:val="9"/>
        </w:numPr>
        <w:shd w:val="clear" w:color="auto" w:fill="auto"/>
        <w:tabs>
          <w:tab w:pos="397" w:val="left"/>
        </w:tabs>
        <w:bidi w:val="0"/>
        <w:spacing w:before="0" w:line="240" w:lineRule="auto"/>
        <w:ind w:left="0" w:right="0" w:firstLine="0"/>
        <w:jc w:val="both"/>
      </w:pPr>
      <w:bookmarkStart w:id="20" w:name="bookmark20"/>
      <w:bookmarkEnd w:id="20"/>
      <w:r>
        <w:rPr>
          <w:rFonts w:ascii="Times New Roman" w:eastAsia="Times New Roman" w:hAnsi="Times New Roman" w:cs="Times New Roman"/>
          <w:color w:val="000000"/>
          <w:spacing w:val="0"/>
          <w:w w:val="100"/>
          <w:position w:val="0"/>
          <w:sz w:val="24"/>
          <w:szCs w:val="24"/>
          <w:shd w:val="clear" w:color="auto" w:fill="auto"/>
          <w:lang w:val="cs-CZ" w:eastAsia="cs-CZ" w:bidi="cs-CZ"/>
        </w:rPr>
        <w:t>Při odstoupení od smlouvy objednavatelem má zhotovitel nárok na náhradu prokazatelně vynaložených nákladů, které mu vznikly při rozpracování zakázky.</w:t>
      </w:r>
    </w:p>
    <w:p>
      <w:pPr>
        <w:pStyle w:val="Style9"/>
        <w:keepNext/>
        <w:keepLines/>
        <w:widowControl w:val="0"/>
        <w:numPr>
          <w:ilvl w:val="0"/>
          <w:numId w:val="9"/>
        </w:numPr>
        <w:shd w:val="clear" w:color="auto" w:fill="auto"/>
        <w:tabs>
          <w:tab w:pos="397" w:val="left"/>
        </w:tabs>
        <w:bidi w:val="0"/>
        <w:spacing w:before="0" w:line="240" w:lineRule="auto"/>
        <w:ind w:left="0" w:right="0" w:firstLine="0"/>
        <w:jc w:val="both"/>
      </w:pPr>
      <w:bookmarkStart w:id="21" w:name="bookmark21"/>
      <w:bookmarkStart w:id="22" w:name="bookmark22"/>
      <w:bookmarkStart w:id="23" w:name="bookmark23"/>
      <w:bookmarkStart w:id="24" w:name="bookmark24"/>
      <w:bookmarkEnd w:id="23"/>
      <w:r>
        <w:rPr>
          <w:rFonts w:ascii="Times New Roman" w:eastAsia="Times New Roman" w:hAnsi="Times New Roman" w:cs="Times New Roman"/>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bookmarkEnd w:id="21"/>
      <w:bookmarkEnd w:id="22"/>
      <w:bookmarkEnd w:id="24"/>
    </w:p>
    <w:p>
      <w:pPr>
        <w:pStyle w:val="Style9"/>
        <w:keepNext/>
        <w:keepLines/>
        <w:widowControl w:val="0"/>
        <w:shd w:val="clear" w:color="auto" w:fill="auto"/>
        <w:bidi w:val="0"/>
        <w:spacing w:before="0" w:line="240" w:lineRule="auto"/>
        <w:ind w:left="0" w:right="0" w:firstLine="0"/>
        <w:jc w:val="both"/>
      </w:pPr>
      <w:bookmarkStart w:id="25" w:name="bookmark25"/>
      <w:bookmarkStart w:id="26" w:name="bookmark26"/>
      <w:bookmarkStart w:id="27" w:name="bookmark27"/>
      <w:r>
        <w:rPr>
          <w:rFonts w:ascii="Times New Roman" w:eastAsia="Times New Roman" w:hAnsi="Times New Roman" w:cs="Times New Roman"/>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bookmarkEnd w:id="25"/>
      <w:bookmarkEnd w:id="26"/>
      <w:bookmarkEnd w:id="27"/>
    </w:p>
    <w:p>
      <w:pPr>
        <w:pStyle w:val="Style9"/>
        <w:keepNext/>
        <w:keepLines/>
        <w:widowControl w:val="0"/>
        <w:shd w:val="clear" w:color="auto" w:fill="auto"/>
        <w:bidi w:val="0"/>
        <w:spacing w:before="0" w:line="240" w:lineRule="auto"/>
        <w:ind w:left="0" w:right="0" w:firstLine="0"/>
        <w:jc w:val="both"/>
      </w:pPr>
      <w:bookmarkStart w:id="28" w:name="bookmark28"/>
      <w:bookmarkStart w:id="29" w:name="bookmark29"/>
      <w:bookmarkStart w:id="30" w:name="bookmark30"/>
      <w:r>
        <w:rPr>
          <w:rFonts w:ascii="Times New Roman" w:eastAsia="Times New Roman" w:hAnsi="Times New Roman" w:cs="Times New Roman"/>
          <w:color w:val="000000"/>
          <w:spacing w:val="0"/>
          <w:w w:val="100"/>
          <w:position w:val="0"/>
          <w:shd w:val="clear" w:color="auto" w:fill="auto"/>
          <w:lang w:val="cs-CZ" w:eastAsia="cs-CZ" w:bidi="cs-CZ"/>
        </w:rPr>
        <w:t>Smluvní strany nepovažují žádné ustanovení smlouvy za obchodní tajemství.</w:t>
      </w:r>
      <w:bookmarkEnd w:id="28"/>
      <w:bookmarkEnd w:id="29"/>
      <w:bookmarkEnd w:id="30"/>
    </w:p>
    <w:p>
      <w:pPr>
        <w:pStyle w:val="Style2"/>
        <w:keepNext w:val="0"/>
        <w:keepLines w:val="0"/>
        <w:widowControl w:val="0"/>
        <w:shd w:val="clear" w:color="auto" w:fill="auto"/>
        <w:bidi w:val="0"/>
        <w:spacing w:before="0" w:line="480" w:lineRule="auto"/>
        <w:ind w:left="0" w:right="0" w:firstLine="0"/>
        <w:jc w:val="both"/>
        <w:rPr>
          <w:sz w:val="22"/>
          <w:szCs w:val="22"/>
        </w:rPr>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304800</wp:posOffset>
                </wp:positionV>
                <wp:extent cx="877570" cy="225425"/>
                <wp:wrapSquare wrapText="left"/>
                <wp:docPr id="1" name="Shape 1"/>
                <a:graphic xmlns:a="http://schemas.openxmlformats.org/drawingml/2006/main">
                  <a:graphicData uri="http://schemas.microsoft.com/office/word/2010/wordprocessingShape">
                    <wps:wsp>
                      <wps:cNvSpPr txBox="1"/>
                      <wps:spPr>
                        <a:xfrm>
                          <a:ext cx="87757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za objednatele: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3.25pt;margin-top:24.pt;width:69.100000000000009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za objednatele:</w:t>
                      </w:r>
                    </w:p>
                  </w:txbxContent>
                </v:textbox>
                <w10:wrap type="square" side="left" anchorx="page"/>
              </v:shape>
            </w:pict>
          </mc:Fallback>
        </mc:AlternateContent>
      </w:r>
      <w:r>
        <w:rPr>
          <w:rFonts w:ascii="Times New Roman" w:eastAsia="Times New Roman" w:hAnsi="Times New Roman" w:cs="Times New Roman"/>
          <w:color w:val="000000"/>
          <w:spacing w:val="0"/>
          <w:w w:val="100"/>
          <w:position w:val="0"/>
          <w:sz w:val="22"/>
          <w:szCs w:val="22"/>
          <w:shd w:val="clear" w:color="auto" w:fill="auto"/>
          <w:lang w:val="cs-CZ" w:eastAsia="cs-CZ" w:bidi="cs-CZ"/>
        </w:rPr>
        <w:t>V Chomutově dne za zhotovitele:</w:t>
      </w:r>
    </w:p>
    <w:sectPr>
      <w:footnotePr>
        <w:pos w:val="pageBottom"/>
        <w:numFmt w:val="decimal"/>
        <w:numRestart w:val="continuous"/>
      </w:footnotePr>
      <w:pgSz w:w="11909" w:h="16838"/>
      <w:pgMar w:top="1360" w:left="1392" w:right="1387" w:bottom="1310" w:header="932" w:footer="882"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7"/>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u w:val="none"/>
    </w:rPr>
  </w:style>
  <w:style w:type="character" w:customStyle="1" w:styleId="CharStyle10">
    <w:name w:val="Char Style 10"/>
    <w:basedOn w:val="DefaultParagraphFont"/>
    <w:link w:val="Style9"/>
    <w:rPr>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20"/>
    </w:pPr>
    <w:rPr>
      <w:b w:val="0"/>
      <w:bCs w:val="0"/>
      <w:i w:val="0"/>
      <w:iCs w:val="0"/>
      <w:smallCaps w:val="0"/>
      <w:strike w:val="0"/>
      <w:u w:val="none"/>
    </w:rPr>
  </w:style>
  <w:style w:type="paragraph" w:customStyle="1" w:styleId="Style9">
    <w:name w:val="Style 9"/>
    <w:basedOn w:val="Normal"/>
    <w:link w:val="CharStyle10"/>
    <w:pPr>
      <w:widowControl w:val="0"/>
      <w:shd w:val="clear" w:color="auto" w:fill="FFFFFF"/>
      <w:spacing w:after="320"/>
      <w:outlineLvl w:val="0"/>
    </w:pPr>
    <w:rPr>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SMLOUVA O DÍLO č</dc:title>
  <dc:subject/>
  <dc:creator>Ing. Jaroslav Ježek</dc:creator>
  <cp:keywords/>
</cp:coreProperties>
</file>