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6395" w14:textId="42975461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1A2053">
        <w:rPr>
          <w:rFonts w:ascii="Times New Roman" w:hAnsi="Times New Roman"/>
          <w:sz w:val="18"/>
          <w:szCs w:val="18"/>
        </w:rPr>
        <w:t xml:space="preserve">č.j. </w:t>
      </w:r>
      <w:r w:rsidR="008F611D" w:rsidRPr="008F611D">
        <w:rPr>
          <w:rFonts w:ascii="Times New Roman" w:hAnsi="Times New Roman"/>
          <w:sz w:val="18"/>
          <w:szCs w:val="18"/>
        </w:rPr>
        <w:t>ND/3278/600300/2024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2D4EFEE0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24E3DEDC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342A0F">
        <w:rPr>
          <w:sz w:val="22"/>
          <w:szCs w:val="22"/>
          <w:vertAlign w:val="baseline"/>
        </w:rPr>
        <w:t xml:space="preserve">, </w:t>
      </w:r>
      <w:r w:rsidR="00175D3F" w:rsidRPr="00246185">
        <w:rPr>
          <w:sz w:val="22"/>
          <w:szCs w:val="22"/>
          <w:vertAlign w:val="baseline"/>
        </w:rPr>
        <w:t>občansk</w:t>
      </w:r>
      <w:r w:rsidR="00342A0F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342A0F">
        <w:rPr>
          <w:sz w:val="22"/>
          <w:szCs w:val="22"/>
          <w:vertAlign w:val="baseline"/>
        </w:rPr>
        <w:t>u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0445E5C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zastoupené prof. MgA. Jan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342A0F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342A0F">
        <w:rPr>
          <w:sz w:val="22"/>
          <w:szCs w:val="22"/>
          <w:vertAlign w:val="baseline"/>
        </w:rPr>
        <w:t>em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370FDD5A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číslo účtu: </w:t>
      </w:r>
      <w:r w:rsidR="00D963FF">
        <w:rPr>
          <w:sz w:val="22"/>
          <w:szCs w:val="22"/>
          <w:vertAlign w:val="baseline"/>
        </w:rPr>
        <w:t>xx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4A5D7E25" w14:textId="1D5C5E09" w:rsidR="00DE6958" w:rsidRPr="005D53C1" w:rsidRDefault="00D963FF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xx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D3E1BB5" w14:textId="4139A53E" w:rsidR="008F611D" w:rsidRPr="008F611D" w:rsidRDefault="005D53C1" w:rsidP="008F611D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8F611D" w:rsidRPr="008F611D">
        <w:rPr>
          <w:b/>
          <w:sz w:val="22"/>
          <w:szCs w:val="22"/>
          <w:vertAlign w:val="baseline"/>
        </w:rPr>
        <w:t>AG – REAL s.r.o.</w:t>
      </w:r>
    </w:p>
    <w:p w14:paraId="22B9A6BA" w14:textId="72C5C413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>se sídlem: Klapálkova 3138/16, 149 00 Praha 4</w:t>
      </w:r>
    </w:p>
    <w:p w14:paraId="473DFB59" w14:textId="77777777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>zastoupená: Vladimírem Augustou, jednatelem společnosti</w:t>
      </w:r>
    </w:p>
    <w:p w14:paraId="2FE04DA4" w14:textId="13707A66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 xml:space="preserve">Bankovní spojení: </w:t>
      </w:r>
      <w:r w:rsidR="00D963FF">
        <w:rPr>
          <w:sz w:val="22"/>
          <w:szCs w:val="22"/>
          <w:vertAlign w:val="baseline"/>
        </w:rPr>
        <w:t>xx</w:t>
      </w:r>
    </w:p>
    <w:p w14:paraId="4B0F4AEB" w14:textId="77777777" w:rsidR="008F611D" w:rsidRPr="008F611D" w:rsidRDefault="008F611D" w:rsidP="008F611D">
      <w:pPr>
        <w:tabs>
          <w:tab w:val="left" w:pos="2127"/>
        </w:tabs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>Zápis do OR: u Městského soudu v Praze, oddíl C, spisová zn. 24879</w:t>
      </w:r>
    </w:p>
    <w:p w14:paraId="24B9F802" w14:textId="77777777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>IČ: 60198770</w:t>
      </w:r>
    </w:p>
    <w:p w14:paraId="50EBE4FC" w14:textId="0D6C2804" w:rsidR="001D7071" w:rsidRPr="005D53C1" w:rsidRDefault="008F611D" w:rsidP="008F611D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>DIČ: CZ60198770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54E95D63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DE6958" w:rsidRPr="00260139">
        <w:rPr>
          <w:rFonts w:ascii="Times New Roman" w:hAnsi="Times New Roman" w:cs="Times New Roman"/>
          <w:szCs w:val="22"/>
        </w:rPr>
        <w:t>0</w:t>
      </w:r>
      <w:r w:rsidR="008F611D">
        <w:rPr>
          <w:rFonts w:ascii="Times New Roman" w:hAnsi="Times New Roman" w:cs="Times New Roman"/>
          <w:szCs w:val="22"/>
        </w:rPr>
        <w:t>4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8F611D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1D7071">
        <w:rPr>
          <w:rFonts w:ascii="Times New Roman" w:hAnsi="Times New Roman" w:cs="Times New Roman"/>
          <w:szCs w:val="22"/>
        </w:rPr>
        <w:t>2</w:t>
      </w:r>
      <w:r w:rsidR="008F611D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1390D">
        <w:rPr>
          <w:rFonts w:ascii="Times New Roman" w:hAnsi="Times New Roman" w:cs="Times New Roman"/>
          <w:szCs w:val="22"/>
        </w:rPr>
        <w:t>0</w:t>
      </w:r>
      <w:r w:rsidR="008F611D">
        <w:rPr>
          <w:rFonts w:ascii="Times New Roman" w:hAnsi="Times New Roman" w:cs="Times New Roman"/>
          <w:szCs w:val="22"/>
        </w:rPr>
        <w:t>5</w:t>
      </w:r>
      <w:r w:rsidR="0071390D" w:rsidRPr="0071390D">
        <w:rPr>
          <w:rFonts w:ascii="Times New Roman" w:hAnsi="Times New Roman" w:cs="Times New Roman"/>
          <w:szCs w:val="22"/>
        </w:rPr>
        <w:t>.20</w:t>
      </w:r>
      <w:r w:rsidR="00993332">
        <w:rPr>
          <w:rFonts w:ascii="Times New Roman" w:hAnsi="Times New Roman" w:cs="Times New Roman"/>
          <w:szCs w:val="22"/>
        </w:rPr>
        <w:t>2</w:t>
      </w:r>
      <w:r w:rsidR="008F611D">
        <w:rPr>
          <w:rFonts w:ascii="Times New Roman" w:hAnsi="Times New Roman" w:cs="Times New Roman"/>
          <w:szCs w:val="22"/>
        </w:rPr>
        <w:t>4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342A0F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17B0730A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342A0F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4900C0F8" w14:textId="7B933494" w:rsidR="008E03C4" w:rsidRDefault="008F611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8F611D">
        <w:rPr>
          <w:rFonts w:ascii="Times New Roman" w:hAnsi="Times New Roman" w:cs="Times New Roman"/>
          <w:b/>
          <w:sz w:val="24"/>
        </w:rPr>
        <w:t>ND – Rekonstrukce 4ks toalet v objektu Ateliérů a dílen Národního divadla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1B4D86E3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342A0F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C8B8A0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0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342A0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0"/>
    </w:p>
    <w:p w14:paraId="3150B320" w14:textId="07B4F3EC" w:rsidR="00683572" w:rsidRPr="00E54739" w:rsidRDefault="0032636F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>„</w:t>
      </w:r>
      <w:r w:rsidR="008F611D" w:rsidRPr="00E54739">
        <w:rPr>
          <w:iCs/>
          <w:color w:val="000000"/>
          <w:sz w:val="22"/>
          <w:szCs w:val="22"/>
          <w:vertAlign w:val="baseline"/>
        </w:rPr>
        <w:t>5</w:t>
      </w:r>
      <w:r w:rsidR="00503D98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>1</w:t>
      </w:r>
      <w:r w:rsidR="008534BE" w:rsidRPr="00E54739">
        <w:rPr>
          <w:iCs/>
          <w:color w:val="000000"/>
          <w:sz w:val="22"/>
          <w:szCs w:val="22"/>
          <w:vertAlign w:val="baseline"/>
        </w:rPr>
        <w:t>, ZL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7A137D" w:rsidRPr="00E54739">
        <w:rPr>
          <w:iCs/>
          <w:color w:val="000000"/>
          <w:sz w:val="22"/>
          <w:szCs w:val="22"/>
          <w:vertAlign w:val="baseline"/>
        </w:rPr>
        <w:t>2</w:t>
      </w:r>
      <w:r w:rsidR="005D53C1" w:rsidRPr="00E54739">
        <w:rPr>
          <w:iCs/>
          <w:color w:val="000000"/>
          <w:sz w:val="22"/>
          <w:szCs w:val="22"/>
          <w:vertAlign w:val="baseline"/>
        </w:rPr>
        <w:t>,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 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>3</w:t>
      </w:r>
      <w:r w:rsidR="008F611D" w:rsidRPr="00E54739">
        <w:rPr>
          <w:iCs/>
          <w:color w:val="000000"/>
          <w:sz w:val="22"/>
          <w:szCs w:val="22"/>
          <w:vertAlign w:val="baseline"/>
        </w:rPr>
        <w:t xml:space="preserve"> a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 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4,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které upravují předmět smlouvy uvedený v předchozích odstavcích této smlouvy, a které tvoří přílohu č. </w:t>
      </w:r>
      <w:r w:rsidR="006C6150" w:rsidRPr="00E54739">
        <w:rPr>
          <w:iCs/>
          <w:color w:val="000000"/>
          <w:sz w:val="22"/>
          <w:szCs w:val="22"/>
          <w:vertAlign w:val="baseline"/>
        </w:rPr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43FE6878" w:rsidR="008534BE" w:rsidRPr="00E54739" w:rsidRDefault="008F611D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lastRenderedPageBreak/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1, 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2, 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3</w:t>
      </w:r>
      <w:r w:rsidRPr="00E54739">
        <w:rPr>
          <w:iCs/>
          <w:color w:val="000000"/>
          <w:sz w:val="22"/>
          <w:szCs w:val="22"/>
          <w:vertAlign w:val="baseline"/>
        </w:rPr>
        <w:t xml:space="preserve"> a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4</w:t>
      </w:r>
      <w:r w:rsidR="00342A0F">
        <w:rPr>
          <w:iCs/>
          <w:color w:val="000000"/>
          <w:sz w:val="22"/>
          <w:szCs w:val="22"/>
          <w:vertAlign w:val="baseline"/>
        </w:rPr>
        <w:t xml:space="preserve">,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které tvoří přílohu č. </w:t>
      </w:r>
      <w:r w:rsidR="006C6150" w:rsidRPr="00E54739">
        <w:rPr>
          <w:iCs/>
          <w:color w:val="000000"/>
          <w:sz w:val="22"/>
          <w:szCs w:val="22"/>
          <w:vertAlign w:val="baseline"/>
        </w:rPr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E54739">
        <w:rPr>
          <w:iCs/>
          <w:color w:val="000000"/>
          <w:sz w:val="22"/>
          <w:szCs w:val="22"/>
          <w:vertAlign w:val="baseline"/>
        </w:rPr>
        <w:t>“</w:t>
      </w:r>
    </w:p>
    <w:p w14:paraId="65F120C6" w14:textId="109A0A8B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76EB3370" w14:textId="5C8CCFFA" w:rsidR="00E54739" w:rsidRPr="00291082" w:rsidRDefault="00E54739" w:rsidP="00E54739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2. </w:t>
      </w:r>
      <w:r>
        <w:rPr>
          <w:b/>
          <w:sz w:val="22"/>
          <w:vertAlign w:val="baseline"/>
        </w:rPr>
        <w:t>Stávající článek V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>
        <w:rPr>
          <w:b/>
          <w:sz w:val="22"/>
          <w:vertAlign w:val="baseline"/>
        </w:rPr>
        <w:t>Doba plnění díla</w:t>
      </w:r>
      <w:r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 se ruší a nově zní takto:</w:t>
      </w:r>
    </w:p>
    <w:p w14:paraId="00933A63" w14:textId="2B338ACF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040523B3" w14:textId="2133B767" w:rsidR="00E54739" w:rsidRPr="00E54739" w:rsidRDefault="00E54739" w:rsidP="00E54739">
      <w:pPr>
        <w:pStyle w:val="Odstavecseseznamem"/>
        <w:ind w:left="284"/>
        <w:rPr>
          <w:rFonts w:ascii="Arial" w:hAnsi="Arial" w:cs="Arial"/>
          <w:sz w:val="22"/>
          <w:szCs w:val="22"/>
        </w:rPr>
      </w:pPr>
      <w:r>
        <w:rPr>
          <w:iCs/>
          <w:color w:val="000000"/>
          <w:sz w:val="22"/>
          <w:szCs w:val="22"/>
          <w:vertAlign w:val="baseline"/>
        </w:rPr>
        <w:t>2. D</w:t>
      </w:r>
      <w:r w:rsidRPr="00E54739">
        <w:rPr>
          <w:iCs/>
          <w:color w:val="000000"/>
          <w:sz w:val="22"/>
          <w:szCs w:val="22"/>
          <w:vertAlign w:val="baseline"/>
        </w:rPr>
        <w:t xml:space="preserve">okončení a předání díla objednateli: nejpozději do </w:t>
      </w:r>
      <w:r>
        <w:rPr>
          <w:iCs/>
          <w:color w:val="000000"/>
          <w:sz w:val="22"/>
          <w:szCs w:val="22"/>
          <w:vertAlign w:val="baseline"/>
        </w:rPr>
        <w:t>16</w:t>
      </w:r>
      <w:r w:rsidRPr="00E54739">
        <w:rPr>
          <w:iCs/>
          <w:color w:val="000000"/>
          <w:sz w:val="22"/>
          <w:szCs w:val="22"/>
          <w:vertAlign w:val="baseline"/>
        </w:rPr>
        <w:t>.</w:t>
      </w:r>
      <w:r>
        <w:rPr>
          <w:iCs/>
          <w:color w:val="000000"/>
          <w:sz w:val="22"/>
          <w:szCs w:val="22"/>
          <w:vertAlign w:val="baseline"/>
        </w:rPr>
        <w:t>9</w:t>
      </w:r>
      <w:r w:rsidRPr="00E54739">
        <w:rPr>
          <w:iCs/>
          <w:color w:val="000000"/>
          <w:sz w:val="22"/>
          <w:szCs w:val="22"/>
          <w:vertAlign w:val="baseline"/>
        </w:rPr>
        <w:t>.2024</w:t>
      </w:r>
      <w:r w:rsidR="00342A0F">
        <w:rPr>
          <w:iCs/>
          <w:color w:val="000000"/>
          <w:sz w:val="22"/>
          <w:szCs w:val="22"/>
          <w:vertAlign w:val="baseline"/>
        </w:rPr>
        <w:t>.</w:t>
      </w:r>
    </w:p>
    <w:p w14:paraId="7360EC6E" w14:textId="685B3D5E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11FAA53A" w:rsidR="008534BE" w:rsidRPr="00291082" w:rsidRDefault="00E5473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 xml:space="preserve">“ odst. 1 se </w:t>
      </w:r>
      <w:r w:rsidR="00342A0F">
        <w:rPr>
          <w:b/>
          <w:sz w:val="22"/>
          <w:vertAlign w:val="baseline"/>
        </w:rPr>
        <w:t>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6397129D" w:rsidR="009C6BFD" w:rsidRPr="007A137D" w:rsidRDefault="009C6BFD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0C6522">
              <w:rPr>
                <w:color w:val="000000"/>
                <w:sz w:val="22"/>
                <w:szCs w:val="22"/>
                <w:vertAlign w:val="baseline"/>
              </w:rPr>
              <w:t>1.850.44</w:t>
            </w:r>
            <w:r w:rsidR="00E54739">
              <w:rPr>
                <w:color w:val="000000"/>
                <w:sz w:val="22"/>
                <w:szCs w:val="22"/>
                <w:vertAlign w:val="baseline"/>
              </w:rPr>
              <w:t>9,05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4B6B3B2B" w:rsidR="009C6BFD" w:rsidRPr="00B81D6D" w:rsidRDefault="000C6522" w:rsidP="007127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 126 565,15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méněprací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700C5A70" w:rsidR="009C6BFD" w:rsidRPr="009F56C0" w:rsidRDefault="009F56C0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0C652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- </w:t>
            </w:r>
            <w:r w:rsidR="00F876E2">
              <w:rPr>
                <w:color w:val="000000"/>
                <w:sz w:val="22"/>
                <w:szCs w:val="22"/>
                <w:vertAlign w:val="baseline"/>
              </w:rPr>
              <w:t>32.413,39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0BBEF8A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0EF2C374" w:rsidR="009C6BFD" w:rsidRPr="00B81D6D" w:rsidRDefault="000C6522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   94 151,76 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0F91AF78" w:rsidR="009C6BFD" w:rsidRPr="00B81D6D" w:rsidRDefault="000C6522" w:rsidP="000C6522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876E2">
              <w:rPr>
                <w:b/>
                <w:color w:val="000000"/>
                <w:sz w:val="22"/>
                <w:szCs w:val="22"/>
                <w:vertAlign w:val="baseline"/>
              </w:rPr>
              <w:t>1.944.6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0</w:t>
            </w:r>
            <w:r w:rsidR="00F876E2">
              <w:rPr>
                <w:b/>
                <w:color w:val="000000"/>
                <w:sz w:val="22"/>
                <w:szCs w:val="22"/>
                <w:vertAlign w:val="baseline"/>
              </w:rPr>
              <w:t>0,81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130EF5B6" w14:textId="7E666388" w:rsidR="00F876E2" w:rsidRPr="00F876E2" w:rsidRDefault="00F876E2" w:rsidP="00F876E2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F876E2">
        <w:rPr>
          <w:color w:val="000000"/>
          <w:sz w:val="22"/>
          <w:szCs w:val="22"/>
          <w:vertAlign w:val="baseline"/>
        </w:rPr>
        <w:t>Bude použit režim přenesení daňové povinnosti podle § 92a zákona č. 235/2004 Sb., o DPH, ve znění pozdějších předpisů. DPH ve výši 21 % odvede objednatel. Uvede se dle skutečnosti.</w:t>
      </w:r>
    </w:p>
    <w:p w14:paraId="25F86634" w14:textId="77777777" w:rsidR="00F876E2" w:rsidRDefault="00F876E2">
      <w:pPr>
        <w:rPr>
          <w:b/>
          <w:sz w:val="22"/>
          <w:vertAlign w:val="baseline"/>
        </w:rPr>
      </w:pPr>
    </w:p>
    <w:p w14:paraId="4D009C81" w14:textId="77777777" w:rsidR="00F876E2" w:rsidRDefault="00F876E2">
      <w:pPr>
        <w:rPr>
          <w:b/>
          <w:sz w:val="22"/>
          <w:vertAlign w:val="baseline"/>
        </w:rPr>
      </w:pPr>
    </w:p>
    <w:p w14:paraId="0B3BA715" w14:textId="43D1CA35" w:rsidR="00F876E2" w:rsidRDefault="00F876E2">
      <w:pPr>
        <w:rPr>
          <w:b/>
          <w:sz w:val="22"/>
          <w:vertAlign w:val="baseline"/>
        </w:rPr>
      </w:pPr>
      <w:r>
        <w:rPr>
          <w:b/>
          <w:vertAlign w:val="baseline"/>
        </w:rPr>
        <w:t xml:space="preserve">3. </w:t>
      </w:r>
      <w:r>
        <w:rPr>
          <w:b/>
          <w:sz w:val="22"/>
          <w:vertAlign w:val="baseline"/>
        </w:rPr>
        <w:t>Stávající článek V</w:t>
      </w:r>
      <w:r w:rsidR="00C72D4F">
        <w:rPr>
          <w:b/>
          <w:sz w:val="22"/>
          <w:vertAlign w:val="baseline"/>
        </w:rPr>
        <w:t>I</w:t>
      </w:r>
      <w:r w:rsidR="00C0060A">
        <w:rPr>
          <w:b/>
          <w:sz w:val="22"/>
          <w:vertAlign w:val="baseline"/>
        </w:rPr>
        <w:t>I</w:t>
      </w:r>
      <w:r w:rsidR="00C72D4F">
        <w:rPr>
          <w:b/>
          <w:sz w:val="22"/>
          <w:vertAlign w:val="baseline"/>
        </w:rPr>
        <w:t>I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 w:rsidR="00C72D4F">
        <w:rPr>
          <w:b/>
          <w:sz w:val="22"/>
          <w:vertAlign w:val="baseline"/>
        </w:rPr>
        <w:t>Způsob úhrady, fakturace</w:t>
      </w:r>
      <w:r w:rsidRPr="00291082">
        <w:rPr>
          <w:b/>
          <w:sz w:val="22"/>
          <w:vertAlign w:val="baseline"/>
        </w:rPr>
        <w:t xml:space="preserve">“ se </w:t>
      </w:r>
      <w:r w:rsidR="00C0060A">
        <w:rPr>
          <w:b/>
          <w:sz w:val="22"/>
          <w:vertAlign w:val="baseline"/>
        </w:rPr>
        <w:t>mění</w:t>
      </w:r>
      <w:r w:rsidRPr="00291082">
        <w:rPr>
          <w:b/>
          <w:sz w:val="22"/>
          <w:vertAlign w:val="baseline"/>
        </w:rPr>
        <w:t xml:space="preserve"> a nově zní takto:</w:t>
      </w:r>
    </w:p>
    <w:p w14:paraId="3D976396" w14:textId="77777777" w:rsidR="00F876E2" w:rsidRDefault="00F876E2">
      <w:pPr>
        <w:rPr>
          <w:b/>
          <w:sz w:val="22"/>
          <w:vertAlign w:val="baseline"/>
        </w:rPr>
      </w:pPr>
    </w:p>
    <w:p w14:paraId="3F49D619" w14:textId="77777777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Úhrada za dílo do výše smluvní ceny bude objednatelem provedena po řádném provedení díla, tj. po dokončení celého díla, nebo jeho ucelené části dle výkazů výměr a jeho předání objednateli a příp. odstranění vad. Cena za dílo nebude splatná do doby, dokud nebudou zhotovitelem odstraněny všechny případné vady díla či nedodělky, tzn., že nebude řádně provedeno.</w:t>
      </w:r>
    </w:p>
    <w:p w14:paraId="0EA763F6" w14:textId="3F37ACD8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 xml:space="preserve">Přípustná je i </w:t>
      </w:r>
      <w:r w:rsidR="00EC1C11">
        <w:rPr>
          <w:color w:val="000000"/>
          <w:sz w:val="22"/>
          <w:szCs w:val="22"/>
          <w:vertAlign w:val="baseline"/>
        </w:rPr>
        <w:t>dílčí</w:t>
      </w:r>
      <w:r w:rsidRPr="00C72D4F">
        <w:rPr>
          <w:color w:val="000000"/>
          <w:sz w:val="22"/>
          <w:szCs w:val="22"/>
          <w:vertAlign w:val="baseline"/>
        </w:rPr>
        <w:t xml:space="preserve"> fakturace za provedené práce a dodávky na základě zjišťovacích protokolů, podepsaných dle čl. XI, odst. 4 zástupci objednatele.</w:t>
      </w:r>
    </w:p>
    <w:p w14:paraId="4D951548" w14:textId="77777777" w:rsid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Splatnost ceny za dílo se sjednává 30 dnů od data doručení faktury objednateli. Za okamžik uhrazení ceny za dílo se považuje datum, kdy byla předmětná částka odepsána z účtu objednatele.</w:t>
      </w:r>
    </w:p>
    <w:p w14:paraId="32830BBE" w14:textId="328FC928" w:rsidR="00F876E2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Faktura bude mít náležitosti daňového dokladu bez uvedení výše daně (na faktuře bude uvedena pouze sazba daně z přidané hodnoty) a bude obsahovat sdělení, že výši daně je povinen doplnit a přiznat objednatel v souladu s § 92a zákona 235/2004 Sb.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o DPH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v platném znění.</w:t>
      </w:r>
    </w:p>
    <w:p w14:paraId="3E95C763" w14:textId="77777777" w:rsidR="00F876E2" w:rsidRDefault="00F876E2">
      <w:pPr>
        <w:rPr>
          <w:b/>
          <w:sz w:val="22"/>
          <w:vertAlign w:val="baseline"/>
        </w:rPr>
      </w:pPr>
    </w:p>
    <w:p w14:paraId="3EB4D087" w14:textId="488646FA" w:rsidR="009C6BFD" w:rsidRPr="00E54739" w:rsidRDefault="00E54739" w:rsidP="00B5283C">
      <w:pPr>
        <w:jc w:val="both"/>
        <w:rPr>
          <w:iCs/>
          <w:color w:val="000000"/>
          <w:sz w:val="22"/>
          <w:szCs w:val="22"/>
          <w:vertAlign w:val="baseline"/>
        </w:rPr>
      </w:pPr>
      <w:r>
        <w:rPr>
          <w:b/>
          <w:sz w:val="22"/>
          <w:vertAlign w:val="baseline"/>
        </w:rPr>
        <w:t>4</w:t>
      </w:r>
      <w:r w:rsidR="0071275E" w:rsidRPr="00B5283C">
        <w:rPr>
          <w:sz w:val="22"/>
          <w:vertAlign w:val="baseline"/>
        </w:rPr>
        <w:t xml:space="preserve">. </w:t>
      </w:r>
      <w:r w:rsidR="00C0060A" w:rsidRPr="00B5283C">
        <w:rPr>
          <w:sz w:val="22"/>
          <w:vertAlign w:val="baseline"/>
        </w:rPr>
        <w:t>Po dohodě smluvních stran se ke stávající smlouvě přikládá nová příloha</w:t>
      </w:r>
      <w:r w:rsidR="00C0060A">
        <w:rPr>
          <w:iCs/>
          <w:color w:val="000000"/>
          <w:sz w:val="22"/>
          <w:szCs w:val="22"/>
          <w:vertAlign w:val="baseline"/>
        </w:rPr>
        <w:t xml:space="preserve">, a to </w:t>
      </w:r>
      <w:r w:rsidR="006C6150" w:rsidRPr="00E54739">
        <w:rPr>
          <w:iCs/>
          <w:color w:val="000000"/>
          <w:sz w:val="22"/>
          <w:szCs w:val="22"/>
          <w:vertAlign w:val="baseline"/>
        </w:rPr>
        <w:t>Příloha č. 6</w:t>
      </w:r>
      <w:r w:rsidR="00C0060A">
        <w:rPr>
          <w:iCs/>
          <w:color w:val="000000"/>
          <w:sz w:val="22"/>
          <w:szCs w:val="22"/>
          <w:vertAlign w:val="baseline"/>
        </w:rPr>
        <w:t xml:space="preserve">, která obsahuje </w:t>
      </w:r>
      <w:r w:rsidR="00985349" w:rsidRPr="00E54739">
        <w:rPr>
          <w:iCs/>
          <w:color w:val="000000"/>
          <w:sz w:val="22"/>
          <w:szCs w:val="22"/>
          <w:vertAlign w:val="baseline"/>
        </w:rPr>
        <w:t xml:space="preserve">změnové listy 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1, ZL </w:t>
      </w:r>
      <w:r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2, ZL </w:t>
      </w:r>
      <w:r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>3</w:t>
      </w:r>
      <w:r>
        <w:rPr>
          <w:iCs/>
          <w:color w:val="000000"/>
          <w:sz w:val="22"/>
          <w:szCs w:val="22"/>
          <w:vertAlign w:val="baseline"/>
        </w:rPr>
        <w:t xml:space="preserve"> a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 ZL </w:t>
      </w:r>
      <w:r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>4</w:t>
      </w:r>
      <w:r w:rsidR="00C0060A">
        <w:rPr>
          <w:iCs/>
          <w:color w:val="000000"/>
          <w:sz w:val="22"/>
          <w:szCs w:val="22"/>
          <w:vertAlign w:val="baseline"/>
        </w:rPr>
        <w:t>.</w:t>
      </w:r>
    </w:p>
    <w:p w14:paraId="3F87BFB1" w14:textId="20FF449A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2A499907" w14:textId="0EE877BF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30011A">
        <w:rPr>
          <w:rFonts w:ascii="Times New Roman" w:hAnsi="Times New Roman"/>
          <w:b/>
          <w:sz w:val="28"/>
        </w:rPr>
        <w:t xml:space="preserve"> Dodatku</w:t>
      </w:r>
    </w:p>
    <w:p w14:paraId="64805817" w14:textId="12C62B7A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</w:t>
      </w:r>
      <w:r w:rsidR="00E54739">
        <w:rPr>
          <w:color w:val="000000"/>
          <w:sz w:val="22"/>
          <w:szCs w:val="22"/>
          <w:vertAlign w:val="baseline"/>
        </w:rPr>
        <w:t>4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E54739">
        <w:rPr>
          <w:color w:val="000000"/>
          <w:sz w:val="22"/>
          <w:szCs w:val="22"/>
          <w:vertAlign w:val="baseline"/>
        </w:rPr>
        <w:t>4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463B91">
        <w:rPr>
          <w:color w:val="000000"/>
          <w:sz w:val="22"/>
          <w:szCs w:val="22"/>
          <w:vertAlign w:val="baseline"/>
        </w:rPr>
        <w:t>2</w:t>
      </w:r>
      <w:r w:rsidR="00E54739">
        <w:rPr>
          <w:color w:val="000000"/>
          <w:sz w:val="22"/>
          <w:szCs w:val="22"/>
          <w:vertAlign w:val="baseline"/>
        </w:rPr>
        <w:t>4</w:t>
      </w:r>
      <w:r w:rsidR="00985349" w:rsidRPr="00985349">
        <w:rPr>
          <w:color w:val="000000"/>
          <w:sz w:val="22"/>
          <w:szCs w:val="22"/>
          <w:vertAlign w:val="baseline"/>
        </w:rPr>
        <w:t>.0</w:t>
      </w:r>
      <w:r w:rsidR="00E54739">
        <w:rPr>
          <w:color w:val="000000"/>
          <w:sz w:val="22"/>
          <w:szCs w:val="22"/>
          <w:vertAlign w:val="baseline"/>
        </w:rPr>
        <w:t>5</w:t>
      </w:r>
      <w:r w:rsidR="00985349" w:rsidRPr="00985349">
        <w:rPr>
          <w:color w:val="000000"/>
          <w:sz w:val="22"/>
          <w:szCs w:val="22"/>
          <w:vertAlign w:val="baseline"/>
        </w:rPr>
        <w:t>.202</w:t>
      </w:r>
      <w:r w:rsidR="00E54739">
        <w:rPr>
          <w:color w:val="000000"/>
          <w:sz w:val="22"/>
          <w:szCs w:val="22"/>
          <w:vertAlign w:val="baseline"/>
        </w:rPr>
        <w:t>4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tohoto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30011A">
        <w:rPr>
          <w:color w:val="000000"/>
          <w:sz w:val="22"/>
          <w:szCs w:val="22"/>
          <w:vertAlign w:val="baseline"/>
        </w:rPr>
        <w:t>č. 6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577EA8E2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3C96EC9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>se uzavírá v písemné formě, buď v listinné, nebo v elektronické podobě. Je sepsán ve 2 vyhotoveních s platností originálu, ze kterých každá smluvní strana po je</w:t>
      </w:r>
      <w:r w:rsidR="0030011A">
        <w:rPr>
          <w:color w:val="000000"/>
          <w:sz w:val="22"/>
          <w:szCs w:val="22"/>
          <w:vertAlign w:val="baseline"/>
        </w:rPr>
        <w:t>ho</w:t>
      </w:r>
      <w:r w:rsidR="00F876E2" w:rsidRPr="00F876E2">
        <w:rPr>
          <w:color w:val="000000"/>
          <w:sz w:val="22"/>
          <w:szCs w:val="22"/>
          <w:vertAlign w:val="baseline"/>
        </w:rPr>
        <w:t xml:space="preserve"> podepsání obdrží 1 vyhotovení, anebo je vyhotoven elektronicky s připojenými elektronickými podpisy obou smluvních stran.</w:t>
      </w:r>
    </w:p>
    <w:p w14:paraId="12F2348F" w14:textId="742F0334" w:rsidR="00F876E2" w:rsidRDefault="00F876E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4A9AD1AF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306B00B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30011A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3D264E7B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č.6</w:t>
      </w:r>
      <w:r w:rsidR="0030011A">
        <w:rPr>
          <w:rFonts w:ascii="Times New Roman" w:hAnsi="Times New Roman" w:cs="Times New Roman"/>
          <w:color w:val="000000"/>
          <w:szCs w:val="22"/>
        </w:rPr>
        <w:t xml:space="preserve"> -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změnové listy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1, 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2, 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3</w:t>
      </w:r>
      <w:r w:rsidR="00E54739">
        <w:rPr>
          <w:rFonts w:ascii="Times New Roman" w:hAnsi="Times New Roman" w:cs="Times New Roman"/>
          <w:color w:val="000000"/>
          <w:szCs w:val="22"/>
        </w:rPr>
        <w:t xml:space="preserve"> a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4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7777777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69B4FF80" w:rsidR="00C72D4F" w:rsidRPr="00246185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233A7C8B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E54739" w:rsidRPr="00E54739">
              <w:rPr>
                <w:rFonts w:ascii="Times New Roman" w:hAnsi="Times New Roman" w:cs="Times New Roman"/>
                <w:szCs w:val="22"/>
              </w:rPr>
              <w:t>Vladimír Augusta</w:t>
            </w:r>
          </w:p>
          <w:p w14:paraId="497C9B0E" w14:textId="3DB1EE28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="006C6150">
              <w:rPr>
                <w:rFonts w:ascii="Times New Roman" w:hAnsi="Times New Roman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MgA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77777777" w:rsidR="00630EDC" w:rsidRDefault="00630EDC" w:rsidP="006222FB">
      <w:pPr>
        <w:pStyle w:val="Zkladntextodsazen"/>
        <w:ind w:left="0" w:firstLine="0"/>
      </w:pPr>
    </w:p>
    <w:sectPr w:rsidR="00630EDC" w:rsidSect="00121700">
      <w:footerReference w:type="even" r:id="rId8"/>
      <w:footerReference w:type="default" r:id="rId9"/>
      <w:headerReference w:type="first" r:id="rId10"/>
      <w:pgSz w:w="11906" w:h="16838"/>
      <w:pgMar w:top="113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EDF" w14:textId="77777777" w:rsidR="00071DF4" w:rsidRDefault="00071DF4">
      <w:r>
        <w:separator/>
      </w:r>
    </w:p>
  </w:endnote>
  <w:endnote w:type="continuationSeparator" w:id="0">
    <w:p w14:paraId="2B723891" w14:textId="77777777" w:rsidR="00071DF4" w:rsidRDefault="0007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BC1A" w14:textId="7FC6C215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30011A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30011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0ADD" w14:textId="77777777" w:rsidR="00071DF4" w:rsidRDefault="00071DF4">
      <w:r>
        <w:separator/>
      </w:r>
    </w:p>
  </w:footnote>
  <w:footnote w:type="continuationSeparator" w:id="0">
    <w:p w14:paraId="5BBC5A79" w14:textId="77777777" w:rsidR="00071DF4" w:rsidRDefault="0007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32AD44A6"/>
    <w:multiLevelType w:val="hybridMultilevel"/>
    <w:tmpl w:val="5BA2F246"/>
    <w:lvl w:ilvl="0" w:tplc="4BEE5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6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7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3" w15:restartNumberingAfterBreak="0">
    <w:nsid w:val="76B72F0D"/>
    <w:multiLevelType w:val="hybridMultilevel"/>
    <w:tmpl w:val="A8CAFF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7373583">
    <w:abstractNumId w:val="52"/>
  </w:num>
  <w:num w:numId="2" w16cid:durableId="970553440">
    <w:abstractNumId w:val="20"/>
  </w:num>
  <w:num w:numId="3" w16cid:durableId="1181164930">
    <w:abstractNumId w:val="4"/>
  </w:num>
  <w:num w:numId="4" w16cid:durableId="1757559338">
    <w:abstractNumId w:val="35"/>
  </w:num>
  <w:num w:numId="5" w16cid:durableId="469247235">
    <w:abstractNumId w:val="43"/>
  </w:num>
  <w:num w:numId="6" w16cid:durableId="1652901969">
    <w:abstractNumId w:val="47"/>
  </w:num>
  <w:num w:numId="7" w16cid:durableId="1834027368">
    <w:abstractNumId w:val="17"/>
  </w:num>
  <w:num w:numId="8" w16cid:durableId="1973123510">
    <w:abstractNumId w:val="58"/>
  </w:num>
  <w:num w:numId="9" w16cid:durableId="1827429215">
    <w:abstractNumId w:val="39"/>
  </w:num>
  <w:num w:numId="10" w16cid:durableId="1294092521">
    <w:abstractNumId w:val="6"/>
  </w:num>
  <w:num w:numId="11" w16cid:durableId="789395624">
    <w:abstractNumId w:val="37"/>
  </w:num>
  <w:num w:numId="12" w16cid:durableId="2032030075">
    <w:abstractNumId w:val="15"/>
  </w:num>
  <w:num w:numId="13" w16cid:durableId="1197963865">
    <w:abstractNumId w:val="50"/>
  </w:num>
  <w:num w:numId="14" w16cid:durableId="93942289">
    <w:abstractNumId w:val="34"/>
  </w:num>
  <w:num w:numId="15" w16cid:durableId="406224309">
    <w:abstractNumId w:val="21"/>
  </w:num>
  <w:num w:numId="16" w16cid:durableId="100036545">
    <w:abstractNumId w:val="19"/>
  </w:num>
  <w:num w:numId="17" w16cid:durableId="1140222656">
    <w:abstractNumId w:val="59"/>
  </w:num>
  <w:num w:numId="18" w16cid:durableId="557404132">
    <w:abstractNumId w:val="33"/>
  </w:num>
  <w:num w:numId="19" w16cid:durableId="1728383052">
    <w:abstractNumId w:val="9"/>
  </w:num>
  <w:num w:numId="20" w16cid:durableId="1917202499">
    <w:abstractNumId w:val="28"/>
  </w:num>
  <w:num w:numId="21" w16cid:durableId="808740770">
    <w:abstractNumId w:val="27"/>
  </w:num>
  <w:num w:numId="22" w16cid:durableId="1918006790">
    <w:abstractNumId w:val="14"/>
  </w:num>
  <w:num w:numId="23" w16cid:durableId="561987546">
    <w:abstractNumId w:val="36"/>
  </w:num>
  <w:num w:numId="24" w16cid:durableId="973559203">
    <w:abstractNumId w:val="3"/>
  </w:num>
  <w:num w:numId="25" w16cid:durableId="967198447">
    <w:abstractNumId w:val="11"/>
  </w:num>
  <w:num w:numId="26" w16cid:durableId="785272570">
    <w:abstractNumId w:val="55"/>
  </w:num>
  <w:num w:numId="27" w16cid:durableId="579827059">
    <w:abstractNumId w:val="30"/>
  </w:num>
  <w:num w:numId="28" w16cid:durableId="1532378841">
    <w:abstractNumId w:val="26"/>
  </w:num>
  <w:num w:numId="29" w16cid:durableId="1011302459">
    <w:abstractNumId w:val="48"/>
  </w:num>
  <w:num w:numId="30" w16cid:durableId="1994023252">
    <w:abstractNumId w:val="32"/>
  </w:num>
  <w:num w:numId="31" w16cid:durableId="30352056">
    <w:abstractNumId w:val="29"/>
  </w:num>
  <w:num w:numId="32" w16cid:durableId="1435588656">
    <w:abstractNumId w:val="54"/>
  </w:num>
  <w:num w:numId="33" w16cid:durableId="13886032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3779034">
    <w:abstractNumId w:val="10"/>
  </w:num>
  <w:num w:numId="35" w16cid:durableId="824399780">
    <w:abstractNumId w:val="51"/>
  </w:num>
  <w:num w:numId="36" w16cid:durableId="620038396">
    <w:abstractNumId w:val="1"/>
  </w:num>
  <w:num w:numId="37" w16cid:durableId="1734625089">
    <w:abstractNumId w:val="12"/>
  </w:num>
  <w:num w:numId="38" w16cid:durableId="1261793573">
    <w:abstractNumId w:val="2"/>
  </w:num>
  <w:num w:numId="39" w16cid:durableId="2019966695">
    <w:abstractNumId w:val="38"/>
  </w:num>
  <w:num w:numId="40" w16cid:durableId="1543399263">
    <w:abstractNumId w:val="13"/>
  </w:num>
  <w:num w:numId="41" w16cid:durableId="102577628">
    <w:abstractNumId w:val="5"/>
  </w:num>
  <w:num w:numId="42" w16cid:durableId="335960163">
    <w:abstractNumId w:val="46"/>
  </w:num>
  <w:num w:numId="43" w16cid:durableId="1284381219">
    <w:abstractNumId w:val="16"/>
  </w:num>
  <w:num w:numId="44" w16cid:durableId="751241453">
    <w:abstractNumId w:val="24"/>
  </w:num>
  <w:num w:numId="45" w16cid:durableId="1060985552">
    <w:abstractNumId w:val="31"/>
  </w:num>
  <w:num w:numId="46" w16cid:durableId="1984116341">
    <w:abstractNumId w:val="7"/>
  </w:num>
  <w:num w:numId="47" w16cid:durableId="9814718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30722761">
    <w:abstractNumId w:val="57"/>
  </w:num>
  <w:num w:numId="49" w16cid:durableId="1871336272">
    <w:abstractNumId w:val="42"/>
  </w:num>
  <w:num w:numId="50" w16cid:durableId="796488004">
    <w:abstractNumId w:val="45"/>
  </w:num>
  <w:num w:numId="51" w16cid:durableId="206333297">
    <w:abstractNumId w:val="22"/>
  </w:num>
  <w:num w:numId="52" w16cid:durableId="544021917">
    <w:abstractNumId w:val="40"/>
  </w:num>
  <w:num w:numId="53" w16cid:durableId="1971396053">
    <w:abstractNumId w:val="0"/>
  </w:num>
  <w:num w:numId="54" w16cid:durableId="1959026191">
    <w:abstractNumId w:val="25"/>
  </w:num>
  <w:num w:numId="55" w16cid:durableId="1306468781">
    <w:abstractNumId w:val="56"/>
  </w:num>
  <w:num w:numId="56" w16cid:durableId="1917321953">
    <w:abstractNumId w:val="18"/>
  </w:num>
  <w:num w:numId="57" w16cid:durableId="1490901715">
    <w:abstractNumId w:val="8"/>
  </w:num>
  <w:num w:numId="58" w16cid:durableId="298463520">
    <w:abstractNumId w:val="53"/>
  </w:num>
  <w:num w:numId="59" w16cid:durableId="75984770">
    <w:abstractNumId w:val="23"/>
  </w:num>
  <w:num w:numId="60" w16cid:durableId="1396197641">
    <w:abstractNumId w:val="44"/>
  </w:num>
  <w:num w:numId="61" w16cid:durableId="80323749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68EC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1DF4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522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1700"/>
    <w:rsid w:val="00132F11"/>
    <w:rsid w:val="00134858"/>
    <w:rsid w:val="0013570D"/>
    <w:rsid w:val="00142D46"/>
    <w:rsid w:val="00142DDF"/>
    <w:rsid w:val="001434EE"/>
    <w:rsid w:val="001447C7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1F0A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011A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42A0F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D7451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2FB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A3A8E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283C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060A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D75D4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63FF"/>
    <w:rsid w:val="00D973F8"/>
    <w:rsid w:val="00DA046D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8A0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04F1"/>
    <w:rsid w:val="00E41464"/>
    <w:rsid w:val="00E43126"/>
    <w:rsid w:val="00E54739"/>
    <w:rsid w:val="00E56AEA"/>
    <w:rsid w:val="00E62086"/>
    <w:rsid w:val="00E62692"/>
    <w:rsid w:val="00E72918"/>
    <w:rsid w:val="00E74DDC"/>
    <w:rsid w:val="00E76C38"/>
    <w:rsid w:val="00E805CF"/>
    <w:rsid w:val="00E80C8A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109C5"/>
  <w15:chartTrackingRefBased/>
  <w15:docId w15:val="{51A4287E-EE53-4B0E-9A93-F1B05D5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13" ma:contentTypeDescription="Vytvoří nový dokument" ma:contentTypeScope="" ma:versionID="bcfad1f4ab8f3a6c5102d38727ddff2e">
  <xsd:schema xmlns:xsd="http://www.w3.org/2001/XMLSchema" xmlns:xs="http://www.w3.org/2001/XMLSchema" xmlns:p="http://schemas.microsoft.com/office/2006/metadata/properties" xmlns:ns2="7b07193f-0a83-45da-a8f5-4229e0fb15ed" xmlns:ns3="e0baaba3-fb45-43e3-9490-0c27f08bde2e" targetNamespace="http://schemas.microsoft.com/office/2006/metadata/properties" ma:root="true" ma:fieldsID="3f8f30b4aa699cf7e8271b9d265075c7" ns2:_="" ns3:_="">
    <xsd:import namespace="7b07193f-0a83-45da-a8f5-4229e0fb15ed"/>
    <xsd:import namespace="e0baaba3-fb45-43e3-9490-0c27f08bd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aa847fa-a6e0-4687-947f-34717659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aba3-fb45-43e3-9490-0c27f08b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974f93-2701-43ee-9560-3e7929f7b6f2}" ma:internalName="TaxCatchAll" ma:showField="CatchAllData" ma:web="e0baaba3-fb45-43e3-9490-0c27f08bd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aaba3-fb45-43e3-9490-0c27f08bde2e" xsi:nil="true"/>
    <lcf76f155ced4ddcb4097134ff3c332f xmlns="7b07193f-0a83-45da-a8f5-4229e0fb1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CAC961-13EF-4821-8409-D44779601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55583-A611-4EF1-A442-6BE10485B9D0}"/>
</file>

<file path=customXml/itemProps3.xml><?xml version="1.0" encoding="utf-8"?>
<ds:datastoreItem xmlns:ds="http://schemas.openxmlformats.org/officeDocument/2006/customXml" ds:itemID="{A34F211D-10D8-449C-B131-E49109169EF4}"/>
</file>

<file path=customXml/itemProps4.xml><?xml version="1.0" encoding="utf-8"?>
<ds:datastoreItem xmlns:ds="http://schemas.openxmlformats.org/officeDocument/2006/customXml" ds:itemID="{006A2FBE-2D24-4AD6-A0FA-5546142F5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Dagmar</dc:creator>
  <cp:keywords/>
  <cp:lastModifiedBy>Růžičková Dagmar</cp:lastModifiedBy>
  <cp:revision>3</cp:revision>
  <dcterms:created xsi:type="dcterms:W3CDTF">2024-08-08T08:05:00Z</dcterms:created>
  <dcterms:modified xsi:type="dcterms:W3CDTF">2024-08-08T08:05:00Z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