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 o ozvučení a technickém zajištění kulturních akcí na rok 2024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 2024 / 127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Kulturní služby města Moravská Třebová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IČ: 0371769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sídlem: </w:t>
      </w:r>
      <w:proofErr w:type="spellStart"/>
      <w:r>
        <w:rPr>
          <w:sz w:val="24"/>
          <w:szCs w:val="24"/>
        </w:rPr>
        <w:t>Svitavská</w:t>
      </w:r>
      <w:proofErr w:type="spellEnd"/>
      <w:r>
        <w:rPr>
          <w:sz w:val="24"/>
          <w:szCs w:val="24"/>
        </w:rPr>
        <w:t xml:space="preserve"> 18, 571 01 Moravská Třebová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zastoupené ředitelkou: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>. Marií Blažkovou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(dále jako „odběratel“ na straně jedné)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spacing w:line="240" w:lineRule="auto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František Macháček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3"/>
          <w:szCs w:val="23"/>
          <w:highlight w:val="white"/>
        </w:rPr>
        <w:t>12706043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3"/>
          <w:szCs w:val="23"/>
          <w:highlight w:val="white"/>
        </w:rPr>
      </w:pPr>
      <w:r>
        <w:rPr>
          <w:sz w:val="24"/>
          <w:szCs w:val="24"/>
        </w:rPr>
        <w:t xml:space="preserve">sídlem: </w:t>
      </w:r>
      <w:r>
        <w:rPr>
          <w:sz w:val="23"/>
          <w:szCs w:val="23"/>
          <w:highlight w:val="white"/>
        </w:rPr>
        <w:t>Na Příkopech 188, 593 01 Bystřice nad Pernštejnem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(dále </w:t>
      </w:r>
      <w:proofErr w:type="gramStart"/>
      <w:r>
        <w:rPr>
          <w:sz w:val="24"/>
          <w:szCs w:val="24"/>
        </w:rPr>
        <w:t>jako ,,dodavatel</w:t>
      </w:r>
      <w:proofErr w:type="gramEnd"/>
      <w:r>
        <w:rPr>
          <w:sz w:val="24"/>
          <w:szCs w:val="24"/>
        </w:rPr>
        <w:t xml:space="preserve">“ na straně druhé)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 (odběratel a dodavatel dále též společně jako „</w:t>
      </w:r>
      <w:r>
        <w:rPr>
          <w:b/>
          <w:sz w:val="24"/>
          <w:szCs w:val="24"/>
        </w:rPr>
        <w:t>smluvní strany</w:t>
      </w:r>
      <w:r>
        <w:rPr>
          <w:sz w:val="24"/>
          <w:szCs w:val="24"/>
        </w:rPr>
        <w:t xml:space="preserve">“ nebo každý samostatně jako </w:t>
      </w:r>
      <w:r>
        <w:rPr>
          <w:b/>
          <w:sz w:val="24"/>
          <w:szCs w:val="24"/>
        </w:rPr>
        <w:t xml:space="preserve">„smluvní strana") </w:t>
      </w:r>
      <w:r>
        <w:rPr>
          <w:sz w:val="24"/>
          <w:szCs w:val="24"/>
        </w:rPr>
        <w:t xml:space="preserve">uzavírají níže uvedeného dne měsíce a roku podle ustanovení § 1724 a </w:t>
      </w:r>
      <w:proofErr w:type="spellStart"/>
      <w:r>
        <w:rPr>
          <w:sz w:val="24"/>
          <w:szCs w:val="24"/>
        </w:rPr>
        <w:t>násl</w:t>
      </w:r>
      <w:proofErr w:type="spellEnd"/>
      <w:r>
        <w:rPr>
          <w:sz w:val="24"/>
          <w:szCs w:val="24"/>
        </w:rPr>
        <w:t xml:space="preserve">. občanského zákoníku (dále jako „občanský zákoník"), tuto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smlouvu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b/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 xml:space="preserve">Předmět smlouvy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Tato smlouva upravuje zajištění ozvučení, osv</w:t>
      </w:r>
      <w:r>
        <w:rPr>
          <w:sz w:val="24"/>
          <w:szCs w:val="24"/>
        </w:rPr>
        <w:t xml:space="preserve">ětlení a technického zajištění kulturních akcí od dodavatele na dobu určitou a to od podpisu smlouvy do konce roku 2024.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Dodavatel se touto smlouvou zavazuje </w:t>
      </w:r>
      <w:proofErr w:type="spellStart"/>
      <w:r>
        <w:rPr>
          <w:sz w:val="24"/>
          <w:szCs w:val="24"/>
        </w:rPr>
        <w:t>zajištovat</w:t>
      </w:r>
      <w:proofErr w:type="spellEnd"/>
      <w:r>
        <w:rPr>
          <w:sz w:val="24"/>
          <w:szCs w:val="24"/>
        </w:rPr>
        <w:t xml:space="preserve"> odběrateli ozvučení, osvětlení a technické zajištění kulturních akcí včetně pódií dle </w:t>
      </w:r>
      <w:r>
        <w:rPr>
          <w:sz w:val="24"/>
          <w:szCs w:val="24"/>
        </w:rPr>
        <w:t xml:space="preserve">objednávek.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Objednávky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1. Objednávky budou přímo zadány odběratelem v rámci pravidelného plánování.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2. Objednávky budou uskutečňovány v dostatečném časovém předstihu tak, aby je dodavatel měl možnost uskutečnit, tzn. nejméně 14 kalendářních (10 pra</w:t>
      </w:r>
      <w:r>
        <w:rPr>
          <w:sz w:val="24"/>
          <w:szCs w:val="24"/>
        </w:rPr>
        <w:t xml:space="preserve">covních dnů).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Smluvní strany se dohodly, že pro urychlení komunikace lze využít elektronickou poštu.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plnění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Místo konání akce bude vždy specifikováno v rámci objednávky.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Kvalita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Požadavky na velikost pódia, popř. kvalitu aparatury budou rovněž specifikovány v objednávce dle požadavků agentur (umělců).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Dodavatel ručí za to, že dodané služby budou mít dohodnuté parametry a kvalitu.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sz w:val="24"/>
          <w:szCs w:val="24"/>
        </w:rPr>
      </w:pPr>
      <w:r>
        <w:rPr>
          <w:b/>
          <w:sz w:val="24"/>
          <w:szCs w:val="24"/>
        </w:rPr>
        <w:t>Předpokládaný objem zakázek, fakturac</w:t>
      </w:r>
      <w:r>
        <w:rPr>
          <w:b/>
          <w:sz w:val="24"/>
          <w:szCs w:val="24"/>
        </w:rPr>
        <w:t xml:space="preserve">e a platební podmínky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color w:val="222222"/>
          <w:sz w:val="24"/>
          <w:szCs w:val="24"/>
        </w:rPr>
        <w:t>1. Předpokládaný objem prací pro rok 2024 je v objemu 200.000 Kč vč. DPH</w:t>
      </w:r>
      <w:r>
        <w:rPr>
          <w:sz w:val="24"/>
          <w:szCs w:val="24"/>
        </w:rPr>
        <w:t xml:space="preserve">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Faktury budou vystaveny v českém jazyce s náležitostmi daňového dokladu.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Faktury budou adresovány do sídla odběratele se splatností 14 dnů od jejich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odeslání.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Smluvní pokuty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Odběratel zaplatí dodavateli smluvní pokutu ve výši 0,5% z dlužné částky denně.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Dodavatel je povinen zaplatit odběrateli škodu vzniklou nedodržením smluvních podmínek.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Škoda bude vyčíslena dle sankcí agentur, popřípadě dle vráceného vstupného.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4. Nárok na smluvní pokutu dle tohoto odstavce nevzniká v případě, že prodlení smluvních stran je způsobeno okolnostmi nezávislými na jejich vůli, tzv. vyšší moci.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</w:t>
      </w:r>
      <w:r>
        <w:rPr>
          <w:b/>
          <w:sz w:val="24"/>
          <w:szCs w:val="24"/>
        </w:rPr>
        <w:t xml:space="preserve">rečná ustanovení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1. Tato smlouva je platná a účinná dnem jejího uzavření.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2. Veškeré písemnosti budou doručovány na adresu smluvních stran uvedenou v záhlaví této smlouvy, pokud některá ze smluvních stran písemně neoznámí jinou adresu.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3. Veškeré změny </w:t>
      </w:r>
      <w:r>
        <w:rPr>
          <w:sz w:val="24"/>
          <w:szCs w:val="24"/>
        </w:rPr>
        <w:t xml:space="preserve">a doplnění této smlouvy vyžadují písemnou formu.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4. Pokud některé z ustanovení této smlouvy je nebo se stane neplatným či neúčinným, neplatnost či neúčinnost tohoto ustanovení nebude mít za následek neplatnost smlouvy jako celku ani jiných ustanovení této</w:t>
      </w:r>
      <w:r>
        <w:rPr>
          <w:sz w:val="24"/>
          <w:szCs w:val="24"/>
        </w:rPr>
        <w:t xml:space="preserve"> smlouvy, pokud je takovéto neplatné či neúčinné ustanovení oddělitelné od zbytku smlouvy. Smluvní strany se zavazují takovéto neplatné či neúčinné ustanovení nahradit novým platným a účinným ustanovením, které svým obsahem bude co nejvěrněji odpovídat pod</w:t>
      </w:r>
      <w:r>
        <w:rPr>
          <w:sz w:val="24"/>
          <w:szCs w:val="24"/>
        </w:rPr>
        <w:t xml:space="preserve">statě a smyslu původního ustanovení.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 xml:space="preserve">České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proofErr w:type="gramStart"/>
      <w:r>
        <w:rPr>
          <w:sz w:val="24"/>
          <w:szCs w:val="24"/>
        </w:rPr>
        <w:t>5.Tato</w:t>
      </w:r>
      <w:proofErr w:type="gramEnd"/>
      <w:r>
        <w:rPr>
          <w:sz w:val="24"/>
          <w:szCs w:val="24"/>
        </w:rPr>
        <w:t xml:space="preserve"> smlouva a vztahy z této smlouvy vyplývající se řídi právním řádem republiky, zejména příslušnými ustanoveními občanského zákoníku. 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6. Tato smlouva je podepsána ve dvou vyhotoveních, přičemž každý účastní</w:t>
      </w:r>
      <w:r>
        <w:rPr>
          <w:sz w:val="24"/>
          <w:szCs w:val="24"/>
        </w:rPr>
        <w:t xml:space="preserve">k obdrží jedno vyhotovení této smlouvy.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V Moravské Třebové dne 20</w:t>
      </w:r>
      <w:r>
        <w:rPr>
          <w:sz w:val="24"/>
          <w:szCs w:val="24"/>
        </w:rPr>
        <w:t>.7</w:t>
      </w:r>
      <w:r>
        <w:rPr>
          <w:sz w:val="24"/>
          <w:szCs w:val="24"/>
        </w:rPr>
        <w:t>. 2024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</w:t>
      </w:r>
    </w:p>
    <w:p w:rsidR="00F15EC5" w:rsidRDefault="00D951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 w:firstLine="720"/>
        <w:rPr>
          <w:sz w:val="24"/>
          <w:szCs w:val="24"/>
        </w:rPr>
      </w:pPr>
      <w:r>
        <w:rPr>
          <w:sz w:val="24"/>
          <w:szCs w:val="24"/>
        </w:rPr>
        <w:t xml:space="preserve">odběratel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dodavatel </w:t>
      </w: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p w:rsidR="00F15EC5" w:rsidRDefault="00F15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"/>
        <w:rPr>
          <w:sz w:val="24"/>
          <w:szCs w:val="24"/>
        </w:rPr>
      </w:pPr>
    </w:p>
    <w:sectPr w:rsidR="00F15EC5" w:rsidSect="00F15EC5">
      <w:pgSz w:w="12240" w:h="15840"/>
      <w:pgMar w:top="1440" w:right="1440" w:bottom="1440" w:left="1275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15EC5"/>
    <w:rsid w:val="00D951A1"/>
    <w:rsid w:val="00F1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5EC5"/>
  </w:style>
  <w:style w:type="paragraph" w:styleId="Nadpis1">
    <w:name w:val="heading 1"/>
    <w:basedOn w:val="Normln"/>
    <w:next w:val="Normln"/>
    <w:rsid w:val="00F15E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F15E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15E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15E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15EC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F15E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F15EC5"/>
  </w:style>
  <w:style w:type="table" w:customStyle="1" w:styleId="TableNormal">
    <w:name w:val="Table Normal"/>
    <w:rsid w:val="00F15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15EC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15EC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15EC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15E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al"/>
    <w:next w:val="normal"/>
    <w:rsid w:val="00F15EC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TwHsTaxzQ/MrgN2Cb75R40WYg==">CgMxLjAyCWguMzBqMHpsbDIIaC5namRneHM4AHIhMTVhZkY2MEJrVWdaa0I5bWIxclU0bnMtaHJ4VlZuTUFa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Ucetni</cp:lastModifiedBy>
  <cp:revision>2</cp:revision>
  <dcterms:created xsi:type="dcterms:W3CDTF">2023-03-17T09:41:00Z</dcterms:created>
  <dcterms:modified xsi:type="dcterms:W3CDTF">2024-08-07T11:33:00Z</dcterms:modified>
</cp:coreProperties>
</file>