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D6DA" w14:textId="77777777" w:rsidR="00D8397B" w:rsidRDefault="0000000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bCs/>
          <w:sz w:val="28"/>
          <w:szCs w:val="28"/>
        </w:rPr>
        <w:t>Smlouva o dílo</w:t>
      </w:r>
    </w:p>
    <w:p w14:paraId="095E2391" w14:textId="77777777" w:rsidR="00D8397B" w:rsidRDefault="00000000">
      <w:pPr>
        <w:pStyle w:val="Bezmezer"/>
        <w:rPr>
          <w:rFonts w:asciiTheme="minorHAnsi" w:hAnsiTheme="minorHAnsi" w:cstheme="minorHAnsi"/>
        </w:rPr>
      </w:pPr>
      <w:r>
        <w:rPr>
          <w:rFonts w:cstheme="minorHAnsi"/>
        </w:rPr>
        <w:t>Níže uvedeného dne, měsíce a roku uzavřely</w:t>
      </w:r>
    </w:p>
    <w:p w14:paraId="7B873841" w14:textId="77777777" w:rsidR="00D8397B" w:rsidRDefault="00000000">
      <w:pPr>
        <w:shd w:val="clear" w:color="auto" w:fill="FFFFFF"/>
        <w:ind w:left="2127" w:hanging="2127"/>
        <w:rPr>
          <w:rFonts w:asciiTheme="minorHAnsi" w:hAnsiTheme="minorHAnsi" w:cstheme="minorHAnsi"/>
          <w:sz w:val="22"/>
          <w:szCs w:val="22"/>
        </w:rPr>
      </w:pPr>
      <w:r>
        <w:rPr>
          <w:rStyle w:val="Siln"/>
          <w:rFonts w:asciiTheme="minorHAnsi" w:hAnsiTheme="minorHAnsi" w:cstheme="minorHAnsi"/>
          <w:sz w:val="22"/>
          <w:szCs w:val="22"/>
        </w:rPr>
        <w:t>Turistické informační centrum Trutnov</w:t>
      </w:r>
    </w:p>
    <w:p w14:paraId="0D8619DD" w14:textId="77777777" w:rsidR="00D8397B" w:rsidRDefault="00000000">
      <w:pPr>
        <w:shd w:val="clear" w:color="auto" w:fill="FFFFFF"/>
        <w:ind w:left="2127" w:hanging="2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kern w:val="2"/>
          <w:sz w:val="22"/>
          <w:szCs w:val="22"/>
        </w:rPr>
        <w:t>se sídlem:</w:t>
      </w:r>
      <w:r>
        <w:rPr>
          <w:rFonts w:asciiTheme="minorHAnsi" w:hAnsiTheme="minorHAnsi" w:cstheme="minorHAnsi"/>
          <w:bCs/>
          <w:kern w:val="2"/>
          <w:sz w:val="22"/>
          <w:szCs w:val="22"/>
        </w:rPr>
        <w:tab/>
        <w:t>Krakonošovo nám.72, 541 01 Trutnov</w:t>
      </w:r>
    </w:p>
    <w:p w14:paraId="6C9AFDB0" w14:textId="77777777" w:rsidR="00D8397B" w:rsidRDefault="00000000">
      <w:pPr>
        <w:shd w:val="clear" w:color="auto" w:fill="FFFFFF"/>
        <w:ind w:left="2127" w:hanging="2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kern w:val="2"/>
          <w:sz w:val="22"/>
          <w:szCs w:val="22"/>
        </w:rPr>
        <w:t>IČ:</w:t>
      </w:r>
      <w:r>
        <w:rPr>
          <w:rFonts w:asciiTheme="minorHAnsi" w:hAnsiTheme="minorHAnsi" w:cstheme="minorHAnsi"/>
          <w:bCs/>
          <w:kern w:val="2"/>
          <w:sz w:val="22"/>
          <w:szCs w:val="22"/>
        </w:rPr>
        <w:tab/>
        <w:t>046 30 858</w:t>
      </w:r>
    </w:p>
    <w:p w14:paraId="110330F1" w14:textId="77777777" w:rsidR="00D8397B" w:rsidRDefault="00000000">
      <w:pPr>
        <w:shd w:val="clear" w:color="auto" w:fill="FFFFFF"/>
        <w:ind w:left="2127" w:hanging="2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kern w:val="2"/>
          <w:sz w:val="22"/>
          <w:szCs w:val="22"/>
        </w:rPr>
        <w:t>zastoupené:</w:t>
      </w:r>
      <w:r>
        <w:rPr>
          <w:rFonts w:asciiTheme="minorHAnsi" w:hAnsiTheme="minorHAnsi" w:cstheme="minorHAnsi"/>
          <w:bCs/>
          <w:kern w:val="2"/>
          <w:sz w:val="22"/>
          <w:szCs w:val="22"/>
        </w:rPr>
        <w:tab/>
        <w:t xml:space="preserve">Ing. Renátou </w:t>
      </w:r>
      <w:proofErr w:type="spellStart"/>
      <w:r>
        <w:rPr>
          <w:rFonts w:asciiTheme="minorHAnsi" w:hAnsiTheme="minorHAnsi" w:cstheme="minorHAnsi"/>
          <w:bCs/>
          <w:kern w:val="2"/>
          <w:sz w:val="22"/>
          <w:szCs w:val="22"/>
        </w:rPr>
        <w:t>Portlovou</w:t>
      </w:r>
      <w:proofErr w:type="spellEnd"/>
      <w:r>
        <w:rPr>
          <w:rFonts w:asciiTheme="minorHAnsi" w:hAnsiTheme="minorHAnsi" w:cstheme="minorHAnsi"/>
          <w:bCs/>
          <w:kern w:val="2"/>
          <w:sz w:val="22"/>
          <w:szCs w:val="22"/>
        </w:rPr>
        <w:t>, ředitelkou</w:t>
      </w:r>
      <w:bookmarkStart w:id="0" w:name="_Hlk77059733"/>
      <w:bookmarkEnd w:id="0"/>
    </w:p>
    <w:p w14:paraId="42794586" w14:textId="35CCFED9" w:rsidR="00D8397B" w:rsidRDefault="00000000">
      <w:pPr>
        <w:shd w:val="clear" w:color="auto" w:fill="FFFFFF"/>
        <w:ind w:left="2127" w:hanging="2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kern w:val="2"/>
          <w:sz w:val="22"/>
          <w:szCs w:val="22"/>
        </w:rPr>
        <w:t xml:space="preserve">číslo účtu                     </w:t>
      </w:r>
      <w:r w:rsidR="00DD5664">
        <w:rPr>
          <w:rFonts w:asciiTheme="minorHAnsi" w:hAnsiTheme="minorHAnsi" w:cstheme="minorHAnsi"/>
          <w:bCs/>
          <w:kern w:val="2"/>
          <w:sz w:val="22"/>
          <w:szCs w:val="22"/>
        </w:rPr>
        <w:t xml:space="preserve">    </w:t>
      </w:r>
      <w:r>
        <w:rPr>
          <w:rFonts w:asciiTheme="minorHAnsi" w:hAnsiTheme="minorHAnsi" w:cstheme="minorHAnsi"/>
          <w:bCs/>
          <w:kern w:val="2"/>
          <w:sz w:val="22"/>
          <w:szCs w:val="22"/>
        </w:rPr>
        <w:t xml:space="preserve"> 115-1791870217/0100 KB</w:t>
      </w:r>
    </w:p>
    <w:p w14:paraId="416CF375" w14:textId="77777777" w:rsidR="00D8397B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„</w:t>
      </w:r>
      <w:r>
        <w:rPr>
          <w:rFonts w:asciiTheme="minorHAnsi" w:hAnsiTheme="minorHAnsi" w:cstheme="minorHAnsi"/>
          <w:b/>
          <w:bCs/>
          <w:sz w:val="22"/>
          <w:szCs w:val="22"/>
        </w:rPr>
        <w:t>TIC</w:t>
      </w:r>
      <w:r>
        <w:rPr>
          <w:rFonts w:asciiTheme="minorHAnsi" w:hAnsiTheme="minorHAnsi" w:cstheme="minorHAnsi"/>
          <w:bCs/>
          <w:sz w:val="22"/>
          <w:szCs w:val="22"/>
        </w:rPr>
        <w:t>“ nebo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„objednatel“</w:t>
      </w:r>
      <w:r>
        <w:rPr>
          <w:rFonts w:asciiTheme="minorHAnsi" w:hAnsiTheme="minorHAnsi" w:cstheme="minorHAnsi"/>
          <w:bCs/>
          <w:sz w:val="22"/>
          <w:szCs w:val="22"/>
        </w:rPr>
        <w:t xml:space="preserve"> na straně jedné)</w:t>
      </w:r>
    </w:p>
    <w:p w14:paraId="0BC497D0" w14:textId="77777777" w:rsidR="00D8397B" w:rsidRDefault="00D8397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00C4E8" w14:textId="77777777" w:rsidR="00D8397B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</w:p>
    <w:p w14:paraId="088EB08E" w14:textId="77777777" w:rsidR="00D8397B" w:rsidRDefault="00D8397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7FADF" w14:textId="77777777" w:rsidR="00D8397B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Pavlína Teichmanová</w:t>
      </w:r>
    </w:p>
    <w:p w14:paraId="64001B32" w14:textId="77777777" w:rsidR="00D8397B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 sídlem: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Mladé Buky 170, 542 23 Mladé Buky</w:t>
      </w:r>
    </w:p>
    <w:p w14:paraId="7320335D" w14:textId="77777777" w:rsidR="00D8397B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IČ: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07485794</w:t>
      </w:r>
    </w:p>
    <w:p w14:paraId="355F6DB3" w14:textId="77777777" w:rsidR="00D8397B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DIČ: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neplátce</w:t>
      </w:r>
      <w:bookmarkStart w:id="1" w:name="_Hlk77059455"/>
      <w:bookmarkEnd w:id="1"/>
    </w:p>
    <w:p w14:paraId="290029B2" w14:textId="77777777" w:rsidR="00D8397B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2110900359/2700 UCB</w:t>
      </w:r>
    </w:p>
    <w:p w14:paraId="39D6C74A" w14:textId="77777777" w:rsidR="00D8397B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</w:t>
      </w:r>
      <w:r>
        <w:rPr>
          <w:rFonts w:asciiTheme="minorHAnsi" w:hAnsiTheme="minorHAnsi" w:cstheme="minorHAnsi"/>
          <w:b/>
          <w:bCs/>
          <w:sz w:val="22"/>
          <w:szCs w:val="22"/>
        </w:rPr>
        <w:t>dodavatel</w:t>
      </w:r>
      <w:r>
        <w:rPr>
          <w:rFonts w:asciiTheme="minorHAnsi" w:hAnsiTheme="minorHAnsi" w:cstheme="minorHAnsi"/>
          <w:bCs/>
          <w:sz w:val="22"/>
          <w:szCs w:val="22"/>
        </w:rPr>
        <w:t>“, na straně druhé)</w:t>
      </w:r>
    </w:p>
    <w:p w14:paraId="7FA83CB1" w14:textId="77777777" w:rsidR="00D8397B" w:rsidRDefault="00D8397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2D5832" w14:textId="77777777" w:rsidR="00D8397B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společně též jako „</w:t>
      </w:r>
      <w:r>
        <w:rPr>
          <w:rFonts w:asciiTheme="minorHAnsi" w:hAnsiTheme="minorHAnsi" w:cstheme="minorHAnsi"/>
          <w:b/>
          <w:sz w:val="22"/>
          <w:szCs w:val="22"/>
        </w:rPr>
        <w:t>smluvní strany</w:t>
      </w:r>
      <w:r>
        <w:rPr>
          <w:rFonts w:asciiTheme="minorHAnsi" w:hAnsiTheme="minorHAnsi" w:cstheme="minorHAnsi"/>
          <w:sz w:val="22"/>
          <w:szCs w:val="22"/>
        </w:rPr>
        <w:t>“ nebo samostatně jako „</w:t>
      </w:r>
      <w:r>
        <w:rPr>
          <w:rFonts w:asciiTheme="minorHAnsi" w:hAnsiTheme="minorHAnsi" w:cstheme="minorHAnsi"/>
          <w:b/>
          <w:sz w:val="22"/>
          <w:szCs w:val="22"/>
        </w:rPr>
        <w:t>smluvní strana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0A9D66C9" w14:textId="77777777" w:rsidR="00D8397B" w:rsidRDefault="00D839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CE0CB" w14:textId="77777777" w:rsidR="00D8397B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tuto</w:t>
      </w:r>
    </w:p>
    <w:p w14:paraId="78C8B94A" w14:textId="77777777" w:rsidR="00D8397B" w:rsidRDefault="00D839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793B27" w14:textId="77777777" w:rsidR="00D8397B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smlouvu o dílo </w:t>
      </w:r>
      <w:r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mlouva</w:t>
      </w:r>
      <w:r>
        <w:rPr>
          <w:rFonts w:asciiTheme="minorHAnsi" w:hAnsiTheme="minorHAnsi" w:cstheme="minorHAnsi"/>
          <w:sz w:val="22"/>
          <w:szCs w:val="22"/>
        </w:rPr>
        <w:t>“) dle ustanovení § 2586 a násl. zákona č. 89/2012 Sb., občanský zákoník, ve znění pozdějších předpisů (dále jen „</w:t>
      </w:r>
      <w:r>
        <w:rPr>
          <w:rFonts w:asciiTheme="minorHAnsi" w:hAnsiTheme="minorHAnsi" w:cstheme="minorHAnsi"/>
          <w:b/>
          <w:sz w:val="22"/>
          <w:szCs w:val="22"/>
        </w:rPr>
        <w:t>Občanský zákoník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14:paraId="10DF16F8" w14:textId="77777777" w:rsidR="00D8397B" w:rsidRDefault="00D8397B">
      <w:pPr>
        <w:tabs>
          <w:tab w:val="left" w:pos="2700"/>
        </w:tabs>
        <w:rPr>
          <w:rFonts w:asciiTheme="minorHAnsi" w:hAnsiTheme="minorHAnsi" w:cstheme="minorHAnsi"/>
          <w:sz w:val="22"/>
          <w:szCs w:val="22"/>
        </w:rPr>
      </w:pPr>
    </w:p>
    <w:p w14:paraId="5980ECBA" w14:textId="77777777" w:rsidR="00D8397B" w:rsidRDefault="00000000">
      <w:pPr>
        <w:tabs>
          <w:tab w:val="left" w:pos="2700"/>
        </w:tabs>
        <w:spacing w:after="1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42068418" w14:textId="77777777" w:rsidR="00D8397B" w:rsidRDefault="0000000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uzavírají tuto smlouvu jako výsledek výběrového řízení na veřejnou zakázku malého rozsahu (dále jen „zakázka“), zadávanou mimo režim zákona č. 134/2016 Sb., o zadávání veřejných zakázek, ve znění pozdějších předpisů.</w:t>
      </w:r>
    </w:p>
    <w:p w14:paraId="0F067579" w14:textId="77777777" w:rsidR="00D8397B" w:rsidRDefault="00000000">
      <w:pPr>
        <w:pStyle w:val="Nadpis1"/>
        <w:widowControl w:val="0"/>
        <w:tabs>
          <w:tab w:val="left" w:pos="0"/>
        </w:tabs>
        <w:spacing w:before="0" w:after="1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Předmět smlouvy</w:t>
      </w:r>
    </w:p>
    <w:p w14:paraId="05D553E4" w14:textId="3B8EE35C" w:rsidR="00D8397B" w:rsidRDefault="00655135">
      <w:pPr>
        <w:pStyle w:val="slovanseznam"/>
        <w:numPr>
          <w:ilvl w:val="0"/>
          <w:numId w:val="6"/>
        </w:numPr>
        <w:tabs>
          <w:tab w:val="left" w:pos="426"/>
        </w:tabs>
        <w:spacing w:after="120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Dodavatel</w:t>
      </w:r>
      <w:r w:rsidR="00000000">
        <w:rPr>
          <w:rFonts w:asciiTheme="minorHAnsi" w:hAnsiTheme="minorHAnsi" w:cstheme="minorHAnsi"/>
          <w:szCs w:val="22"/>
        </w:rPr>
        <w:t xml:space="preserve"> má záměr vydat knižní publikaci o městě Trutnov, která návštěvníkům přiblíží historii i současnost města. Jde převážně o obrázkovou vysekávanou knížku velikosti A5 </w:t>
      </w:r>
      <w:proofErr w:type="spellStart"/>
      <w:r w:rsidR="00000000">
        <w:rPr>
          <w:rFonts w:asciiTheme="minorHAnsi" w:hAnsiTheme="minorHAnsi" w:cstheme="minorHAnsi"/>
          <w:szCs w:val="22"/>
        </w:rPr>
        <w:t>landscape</w:t>
      </w:r>
      <w:proofErr w:type="spellEnd"/>
      <w:r w:rsidR="00000000">
        <w:rPr>
          <w:rFonts w:asciiTheme="minorHAnsi" w:hAnsiTheme="minorHAnsi" w:cstheme="minorHAnsi"/>
          <w:szCs w:val="22"/>
        </w:rPr>
        <w:t>, ilustrovanou, s fotografiemi, vyrobenou z lepeného kartonu.</w:t>
      </w:r>
    </w:p>
    <w:p w14:paraId="63FFF664" w14:textId="77777777" w:rsidR="00D8397B" w:rsidRDefault="00000000">
      <w:pPr>
        <w:pStyle w:val="slovanseznam"/>
        <w:numPr>
          <w:ilvl w:val="0"/>
          <w:numId w:val="6"/>
        </w:numPr>
        <w:tabs>
          <w:tab w:val="left" w:pos="426"/>
        </w:tabs>
        <w:spacing w:after="120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Dodavatel zpracuje ilustrace a grafickou podobu knižní publikace dle odstavce 1 v rozsahu 14 vysekávaných stran s grafikou, fotografiemi a textem a obálkou.</w:t>
      </w:r>
    </w:p>
    <w:p w14:paraId="6D9C4CBE" w14:textId="77777777" w:rsidR="00D8397B" w:rsidRDefault="00000000">
      <w:pPr>
        <w:pStyle w:val="slovanseznam"/>
        <w:numPr>
          <w:ilvl w:val="0"/>
          <w:numId w:val="6"/>
        </w:numPr>
        <w:tabs>
          <w:tab w:val="left" w:pos="426"/>
        </w:tabs>
        <w:spacing w:after="120"/>
        <w:ind w:left="397" w:hanging="3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Publikace bude ve třech jazykových mutacích. Zhotovitel se zavazuje upravit ilustrace a grafiku základní české verze pro jazykové mutace (angličtina a němčina) po provedení překladů, které zajistí dodavatel.</w:t>
      </w:r>
    </w:p>
    <w:p w14:paraId="2038FCE0" w14:textId="73B51EC1" w:rsidR="00D8397B" w:rsidRDefault="00000000">
      <w:pPr>
        <w:pStyle w:val="slovanseznam"/>
        <w:numPr>
          <w:ilvl w:val="0"/>
          <w:numId w:val="6"/>
        </w:numPr>
        <w:tabs>
          <w:tab w:val="left" w:pos="426"/>
        </w:tabs>
        <w:spacing w:after="120"/>
        <w:ind w:left="397" w:hanging="3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Dokončení díla je vázáno na vznik nové identity města, kterou ve finální verzi musí kniha akceptovat</w:t>
      </w:r>
      <w:r w:rsidR="00655135">
        <w:rPr>
          <w:rFonts w:asciiTheme="minorHAnsi" w:hAnsiTheme="minorHAnsi" w:cstheme="minorHAnsi"/>
          <w:szCs w:val="22"/>
        </w:rPr>
        <w:t>.</w:t>
      </w:r>
    </w:p>
    <w:p w14:paraId="4549EDEC" w14:textId="77777777" w:rsidR="00D8397B" w:rsidRDefault="00000000">
      <w:pPr>
        <w:pStyle w:val="slovanseznam"/>
        <w:numPr>
          <w:ilvl w:val="0"/>
          <w:numId w:val="6"/>
        </w:numPr>
        <w:tabs>
          <w:tab w:val="left" w:pos="426"/>
        </w:tabs>
        <w:spacing w:after="120"/>
        <w:ind w:left="397" w:hanging="3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TIC si vyhrazuje právo na případnou změnu rozsahu (množství jednotlivých položek) dodávek specifikovaných v zadávací dokumentaci, a to bez jakékoli sankce ze strany dodavatele. Při změně závazku bude postupováno analogicky podle § 222 ZZVZ.</w:t>
      </w:r>
    </w:p>
    <w:p w14:paraId="40395AB0" w14:textId="77777777" w:rsidR="00D8397B" w:rsidRDefault="00000000">
      <w:pPr>
        <w:pStyle w:val="slovanseznam"/>
        <w:numPr>
          <w:ilvl w:val="0"/>
          <w:numId w:val="6"/>
        </w:numPr>
        <w:spacing w:after="120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Zobrazovaná témata, texty včetně překladů, fotografie a manuál jednotného vizuálního stylu města dodá objednatel.</w:t>
      </w:r>
    </w:p>
    <w:p w14:paraId="7358F79D" w14:textId="77777777" w:rsidR="00D8397B" w:rsidRDefault="00000000">
      <w:pPr>
        <w:pStyle w:val="slovanseznam"/>
        <w:numPr>
          <w:ilvl w:val="0"/>
          <w:numId w:val="6"/>
        </w:numPr>
        <w:spacing w:after="120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Dodavatel se zavazuje na TIC převést vlastnické právo k dodávce za podmínek této smlouvy a TIC se zavazuje dodávku za podmínek této smlouvy převzít a zaplatit za ni sjednanou cenu.</w:t>
      </w:r>
    </w:p>
    <w:p w14:paraId="37202E88" w14:textId="77777777" w:rsidR="00D8397B" w:rsidRDefault="00000000">
      <w:pPr>
        <w:pStyle w:val="slovanseznam"/>
        <w:numPr>
          <w:ilvl w:val="0"/>
          <w:numId w:val="6"/>
        </w:numPr>
        <w:spacing w:after="120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Dodavatel prohlašuje, že je výlučným vlastníkem dodávky a že dodávka nemá žádné právní vady.</w:t>
      </w:r>
    </w:p>
    <w:p w14:paraId="68A5F1D8" w14:textId="77777777" w:rsidR="00D8397B" w:rsidRDefault="00000000">
      <w:pPr>
        <w:pStyle w:val="slovanseznam"/>
        <w:numPr>
          <w:ilvl w:val="0"/>
          <w:numId w:val="6"/>
        </w:numPr>
        <w:spacing w:after="120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Dále se zhotovitel zavazuje po předání dokončení knihy do tisku provést korekturu.</w:t>
      </w:r>
    </w:p>
    <w:p w14:paraId="413BCE86" w14:textId="77777777" w:rsidR="00D8397B" w:rsidRDefault="00000000">
      <w:pPr>
        <w:pStyle w:val="slovanseznam"/>
        <w:numPr>
          <w:ilvl w:val="0"/>
          <w:numId w:val="6"/>
        </w:numPr>
        <w:spacing w:after="120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Předmětem této smlouvy není prototypování.</w:t>
      </w:r>
    </w:p>
    <w:p w14:paraId="2E6EC977" w14:textId="77777777" w:rsidR="00D8397B" w:rsidRDefault="00000000">
      <w:pPr>
        <w:pStyle w:val="Nadpis1"/>
        <w:widowControl w:val="0"/>
        <w:tabs>
          <w:tab w:val="left" w:pos="0"/>
        </w:tabs>
        <w:spacing w:before="0" w:after="1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Doba plnění</w:t>
      </w:r>
    </w:p>
    <w:p w14:paraId="6B33AB73" w14:textId="12E8A414" w:rsidR="00D8397B" w:rsidRDefault="00000000">
      <w:pPr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 plnění veřejné zakázky bude realizován v termínu </w:t>
      </w:r>
      <w:r w:rsidR="00F4547F">
        <w:rPr>
          <w:rFonts w:asciiTheme="minorHAnsi" w:hAnsiTheme="minorHAnsi" w:cstheme="minorHAnsi"/>
          <w:sz w:val="22"/>
          <w:szCs w:val="22"/>
        </w:rPr>
        <w:t>prosinec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547F">
        <w:rPr>
          <w:rFonts w:asciiTheme="minorHAnsi" w:hAnsiTheme="minorHAnsi" w:cstheme="minorHAnsi"/>
          <w:sz w:val="22"/>
          <w:szCs w:val="22"/>
        </w:rPr>
        <w:t>2023–prosinec</w:t>
      </w:r>
      <w:r>
        <w:rPr>
          <w:rFonts w:asciiTheme="minorHAnsi" w:hAnsiTheme="minorHAnsi" w:cstheme="minorHAnsi"/>
          <w:sz w:val="22"/>
          <w:szCs w:val="22"/>
        </w:rPr>
        <w:t xml:space="preserve"> 2024.</w:t>
      </w:r>
    </w:p>
    <w:p w14:paraId="38455716" w14:textId="77777777" w:rsidR="00D8397B" w:rsidRDefault="00000000">
      <w:pPr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Dokončená kniha v rozsahu dle této smlouvy musí vyjít tiskem nejpozději do konce roku 2025.</w:t>
      </w:r>
    </w:p>
    <w:p w14:paraId="572AA7A7" w14:textId="77777777" w:rsidR="00D8397B" w:rsidRDefault="00000000">
      <w:pPr>
        <w:pStyle w:val="Nadpis1"/>
        <w:widowControl w:val="0"/>
        <w:tabs>
          <w:tab w:val="left" w:pos="0"/>
        </w:tabs>
        <w:spacing w:before="0" w:after="1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Místo a předání plnění</w:t>
      </w:r>
    </w:p>
    <w:p w14:paraId="1A6EA882" w14:textId="77777777" w:rsidR="00D8397B" w:rsidRDefault="00000000">
      <w:pPr>
        <w:numPr>
          <w:ilvl w:val="0"/>
          <w:numId w:val="9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dodá předmět této smlouvy do sídla TIC ve lhůtách dle čl. 2. této smlouvy </w:t>
      </w:r>
    </w:p>
    <w:p w14:paraId="224339DA" w14:textId="77777777" w:rsidR="00D8397B" w:rsidRDefault="00000000">
      <w:pPr>
        <w:numPr>
          <w:ilvl w:val="0"/>
          <w:numId w:val="9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Obě strany se zavazují postupovat při realizaci díla bez zbytečných prodlev tak, aby nebylo druhé straně bráněno v řádném plnění smluvních závazků.</w:t>
      </w:r>
    </w:p>
    <w:p w14:paraId="080F23A2" w14:textId="77777777" w:rsidR="00D8397B" w:rsidRDefault="00000000">
      <w:pPr>
        <w:numPr>
          <w:ilvl w:val="0"/>
          <w:numId w:val="9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Při předání dodávky bude po úspěšné kontrole úplnosti a funkčnosti dodávky podepsán předávací protokol, jímž TIC dodávku převezme.</w:t>
      </w:r>
    </w:p>
    <w:p w14:paraId="47D6C39C" w14:textId="77777777" w:rsidR="00D8397B" w:rsidRDefault="00000000">
      <w:pPr>
        <w:numPr>
          <w:ilvl w:val="0"/>
          <w:numId w:val="9"/>
        </w:numPr>
        <w:spacing w:after="120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TIC není povinno převzít dodávku, pokud bude vykazovat vady nebo nedodělky. </w:t>
      </w:r>
    </w:p>
    <w:p w14:paraId="151B15A3" w14:textId="77777777" w:rsidR="00D8397B" w:rsidRDefault="00000000">
      <w:pPr>
        <w:ind w:left="28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4. Cena díla</w:t>
      </w:r>
    </w:p>
    <w:p w14:paraId="4B19B926" w14:textId="77777777" w:rsidR="00D8397B" w:rsidRDefault="00D8397B">
      <w:pPr>
        <w:ind w:left="283"/>
        <w:rPr>
          <w:rFonts w:asciiTheme="minorHAnsi" w:hAnsiTheme="minorHAnsi" w:cstheme="minorHAnsi"/>
          <w:sz w:val="22"/>
          <w:szCs w:val="22"/>
        </w:rPr>
      </w:pPr>
    </w:p>
    <w:p w14:paraId="34E0C3B7" w14:textId="77777777" w:rsidR="00D8397B" w:rsidRDefault="00000000">
      <w:pPr>
        <w:widowControl w:val="0"/>
        <w:numPr>
          <w:ilvl w:val="1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Sjednaná cena dodávky včetně všech souvisejících činností (ilustrace, grafické zpracování a DTP) je pevná a činí 75 000 Kč. Dodavatel ani objednatel nejsou v době podpisu této smlouvy plátcem DPH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                                        </w:t>
      </w:r>
    </w:p>
    <w:p w14:paraId="2DC12650" w14:textId="77777777" w:rsidR="00D8397B" w:rsidRDefault="00000000">
      <w:pPr>
        <w:pStyle w:val="slovanseznam"/>
        <w:numPr>
          <w:ilvl w:val="0"/>
          <w:numId w:val="4"/>
        </w:numPr>
        <w:spacing w:after="120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Součástí ceny dodávky je rovněž cena za dopravu dodávky do určeného místa, výrobní dokumentace, veškerá rizika, zisk, poplatky a další nezbytné náklady v souladu s nabídkou dodavatele, přičemž je stanovena jako cena nejvyšší přípustná. Součástí ceny jsou i práce a dodávky, které v zadávací dokumentaci nebo smlouvě uvedeny nejsou, ale dodavatel jako odborná osoba o nich vědět musel nebo měl.</w:t>
      </w:r>
    </w:p>
    <w:p w14:paraId="65E794F1" w14:textId="77777777" w:rsidR="00D8397B" w:rsidRDefault="00000000">
      <w:pPr>
        <w:pStyle w:val="Nadpis1"/>
        <w:widowControl w:val="0"/>
        <w:tabs>
          <w:tab w:val="left" w:pos="0"/>
        </w:tabs>
        <w:spacing w:before="0" w:after="1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Platební podmínky</w:t>
      </w:r>
    </w:p>
    <w:p w14:paraId="0049BF24" w14:textId="77777777" w:rsidR="00D8397B" w:rsidRDefault="00000000">
      <w:pPr>
        <w:widowControl w:val="0"/>
        <w:numPr>
          <w:ilvl w:val="1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dodávky dle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čl. IV. odst. 1 této smlouvy bude zaplacena na základě daňového dokladu vystaveného na základě potvrzeného předávacího protokolu.</w:t>
      </w:r>
    </w:p>
    <w:p w14:paraId="28367689" w14:textId="77777777" w:rsidR="00D8397B" w:rsidRDefault="00000000">
      <w:pPr>
        <w:widowControl w:val="0"/>
        <w:numPr>
          <w:ilvl w:val="1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Splatnost daňového dokladu se stanovuje na 21 dnů od data jejich doručení TIC.</w:t>
      </w:r>
    </w:p>
    <w:p w14:paraId="4C6E30EC" w14:textId="77777777" w:rsidR="00D8397B" w:rsidRDefault="00000000">
      <w:pPr>
        <w:widowControl w:val="0"/>
        <w:numPr>
          <w:ilvl w:val="1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je povinen na faktuře uvést, že je projekt financován ze Státního fondu životního prostředí, název zakázky „SFŽP 1220900067 – Zvýšení úrovně kvality komunikace – turistický průvodce městem</w:t>
      </w:r>
      <w:r>
        <w:rPr>
          <w:rFonts w:asciiTheme="minorHAnsi" w:hAnsiTheme="minorHAnsi" w:cstheme="minorHAnsi"/>
          <w:bCs/>
          <w:sz w:val="22"/>
          <w:szCs w:val="22"/>
        </w:rPr>
        <w:t>“. F</w:t>
      </w:r>
      <w:r>
        <w:rPr>
          <w:rFonts w:asciiTheme="minorHAnsi" w:hAnsiTheme="minorHAnsi" w:cstheme="minorHAnsi"/>
          <w:sz w:val="22"/>
          <w:szCs w:val="22"/>
        </w:rPr>
        <w:t xml:space="preserve">aktura – daňový doklad musí splňovat náležitosti stanovené platnými právními předpisy. </w:t>
      </w:r>
    </w:p>
    <w:p w14:paraId="3A57BD14" w14:textId="77777777" w:rsidR="00D8397B" w:rsidRDefault="00000000">
      <w:pPr>
        <w:numPr>
          <w:ilvl w:val="1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Faktura – daňový doklad bude doručen v tištěné podobě nebo e-mailem na adresu </w:t>
      </w:r>
      <w:hyperlink r:id="rId8">
        <w:r>
          <w:rPr>
            <w:rStyle w:val="Internetovodkaz"/>
            <w:rFonts w:asciiTheme="minorHAnsi" w:hAnsiTheme="minorHAnsi" w:cstheme="minorHAnsi"/>
            <w:sz w:val="22"/>
            <w:szCs w:val="22"/>
          </w:rPr>
          <w:t>portlova@trutnov.cz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FD7EF5" w14:textId="77777777" w:rsidR="00D8397B" w:rsidRDefault="00000000">
      <w:pPr>
        <w:numPr>
          <w:ilvl w:val="1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je oprávněn po dohodě s objednatelem vystavit v průběhu realizace díla zálohové faktury na jednotlivé ucelené části díla.</w:t>
      </w:r>
    </w:p>
    <w:p w14:paraId="61FC5CE9" w14:textId="77777777" w:rsidR="00D8397B" w:rsidRDefault="00000000">
      <w:pPr>
        <w:numPr>
          <w:ilvl w:val="1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Veškeré uhrazené zálohy budou zúčtovány v závěrečné faktuře.</w:t>
      </w:r>
    </w:p>
    <w:p w14:paraId="298543AB" w14:textId="77777777" w:rsidR="00D8397B" w:rsidRDefault="00000000">
      <w:pPr>
        <w:numPr>
          <w:ilvl w:val="1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oprávněn uplatnit pozastávku 5 % z celkové ceny díla do doby dokončení tiskových korektur.</w:t>
      </w:r>
    </w:p>
    <w:p w14:paraId="7881B59C" w14:textId="77777777" w:rsidR="00D8397B" w:rsidRDefault="00000000">
      <w:pPr>
        <w:pStyle w:val="Nadpis1"/>
        <w:widowControl w:val="0"/>
        <w:tabs>
          <w:tab w:val="left" w:pos="0"/>
        </w:tabs>
        <w:spacing w:before="0" w:after="1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 Přechod vlastnického práva a nebezpečí škody</w:t>
      </w:r>
    </w:p>
    <w:p w14:paraId="23210E3F" w14:textId="77777777" w:rsidR="00D8397B" w:rsidRDefault="00000000">
      <w:pPr>
        <w:pStyle w:val="Textkomente1"/>
        <w:numPr>
          <w:ilvl w:val="1"/>
          <w:numId w:val="2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Vlastnické právo k dodávce přechází na TIC dnem podpisu předávacího protokolu.</w:t>
      </w:r>
    </w:p>
    <w:p w14:paraId="6A8F44B4" w14:textId="77777777" w:rsidR="00D679DF" w:rsidRPr="00D679DF" w:rsidRDefault="00D679DF" w:rsidP="00D679DF">
      <w:pPr>
        <w:pStyle w:val="Textkomente1"/>
        <w:tabs>
          <w:tab w:val="left" w:pos="426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AED0644" w14:textId="17311C8C" w:rsidR="00D8397B" w:rsidRPr="00D679DF" w:rsidRDefault="00000000">
      <w:pPr>
        <w:pStyle w:val="slovanseznam"/>
        <w:numPr>
          <w:ilvl w:val="1"/>
          <w:numId w:val="2"/>
        </w:numPr>
        <w:spacing w:after="120"/>
        <w:rPr>
          <w:rFonts w:ascii="Calibri" w:hAnsi="Calibri"/>
          <w:szCs w:val="22"/>
        </w:rPr>
      </w:pPr>
      <w:r w:rsidRPr="00D679DF">
        <w:rPr>
          <w:rFonts w:asciiTheme="minorHAnsi" w:hAnsiTheme="minorHAnsi" w:cstheme="minorHAnsi"/>
          <w:szCs w:val="22"/>
        </w:rPr>
        <w:t>Dodavatel poskytuje k dílu a ke každé jeho jednotlivé části objednateli licenci (právo dílo užít) za účelem vyplývající z této smlouvy. Smluvní strany se dohodly, že objednavatel je zejména oprávněn dílo (tj. předmět této smlouvy)</w:t>
      </w:r>
      <w:r w:rsidR="00D679DF">
        <w:rPr>
          <w:rFonts w:asciiTheme="minorHAnsi" w:hAnsiTheme="minorHAnsi" w:cstheme="minorHAnsi"/>
          <w:szCs w:val="22"/>
        </w:rPr>
        <w:t xml:space="preserve"> </w:t>
      </w:r>
      <w:r w:rsidRPr="00D679DF">
        <w:rPr>
          <w:rFonts w:asciiTheme="minorHAnsi" w:hAnsiTheme="minorHAnsi" w:cstheme="minorHAnsi"/>
          <w:szCs w:val="22"/>
        </w:rPr>
        <w:t xml:space="preserve">užít za účelem tisku a elektronické prezentace graficky zpracovaných materiálů, a to i třetími osobami, vše zejména za účelem propagace a prezentace města Trutnova. </w:t>
      </w:r>
    </w:p>
    <w:p w14:paraId="621639BD" w14:textId="77777777" w:rsidR="00D8397B" w:rsidRPr="00D679DF" w:rsidRDefault="00000000">
      <w:pPr>
        <w:numPr>
          <w:ilvl w:val="1"/>
          <w:numId w:val="2"/>
        </w:numPr>
        <w:spacing w:after="120"/>
        <w:rPr>
          <w:rFonts w:ascii="Calibri" w:eastAsia="Tahoma" w:hAnsi="Calibri" w:cs="Calibri"/>
          <w:sz w:val="22"/>
          <w:szCs w:val="22"/>
        </w:rPr>
      </w:pPr>
      <w:r w:rsidRPr="00D679DF">
        <w:rPr>
          <w:rFonts w:ascii="Calibri" w:eastAsia="Tahoma" w:hAnsi="Calibri" w:cs="Calibri"/>
          <w:sz w:val="22"/>
          <w:szCs w:val="22"/>
        </w:rPr>
        <w:t xml:space="preserve">Užití díla se nesmí stát způsobem snižujícím jeho hodnotu (ustanovení </w:t>
      </w:r>
      <w:r w:rsidRPr="00D679DF">
        <w:rPr>
          <w:rFonts w:asciiTheme="minorHAnsi" w:eastAsia="Tahoma" w:hAnsiTheme="minorHAnsi" w:cstheme="minorHAnsi"/>
          <w:sz w:val="22"/>
          <w:szCs w:val="22"/>
        </w:rPr>
        <w:t>§ 11, odst. 3 autorského zákona).</w:t>
      </w:r>
    </w:p>
    <w:p w14:paraId="09B1FC1A" w14:textId="77777777" w:rsidR="00D8397B" w:rsidRPr="00D679DF" w:rsidRDefault="00000000">
      <w:pPr>
        <w:pStyle w:val="slovanseznam"/>
        <w:numPr>
          <w:ilvl w:val="1"/>
          <w:numId w:val="2"/>
        </w:numPr>
        <w:spacing w:after="120"/>
        <w:rPr>
          <w:rFonts w:ascii="Calibri" w:hAnsi="Calibri"/>
          <w:szCs w:val="22"/>
        </w:rPr>
      </w:pPr>
      <w:r w:rsidRPr="00D679DF">
        <w:rPr>
          <w:rFonts w:asciiTheme="minorHAnsi" w:hAnsiTheme="minorHAnsi" w:cstheme="minorHAnsi"/>
          <w:szCs w:val="22"/>
        </w:rPr>
        <w:t>Licence se poskytuje bezúplatně po celou dobu autorskoprávní ochrany díla pro území České republiky i mimo území České republiky.</w:t>
      </w:r>
    </w:p>
    <w:p w14:paraId="0C212F44" w14:textId="77777777" w:rsidR="00D8397B" w:rsidRDefault="00D8397B">
      <w:pPr>
        <w:pStyle w:val="Textkomente1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701EF18E" w14:textId="77777777" w:rsidR="00D8397B" w:rsidRDefault="00000000">
      <w:pPr>
        <w:pStyle w:val="Nadpis1"/>
        <w:widowControl w:val="0"/>
        <w:tabs>
          <w:tab w:val="left" w:pos="0"/>
        </w:tabs>
        <w:spacing w:before="0" w:after="1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>
        <w:rPr>
          <w:rFonts w:asciiTheme="minorHAnsi" w:hAnsiTheme="minorHAnsi" w:cstheme="minorHAnsi"/>
          <w:sz w:val="22"/>
          <w:szCs w:val="22"/>
        </w:rPr>
        <w:t>. Smluvní pokuty</w:t>
      </w:r>
    </w:p>
    <w:p w14:paraId="6E25DB14" w14:textId="77777777" w:rsidR="00D8397B" w:rsidRDefault="00000000">
      <w:pPr>
        <w:pStyle w:val="slovanseznam"/>
        <w:numPr>
          <w:ilvl w:val="0"/>
          <w:numId w:val="8"/>
        </w:numPr>
        <w:spacing w:after="120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 případě prodlení dodavatele s dodáním dodávky dle čl. 3 této smlouvy je TIC oprávněno vyúčtovat dodavateli smluvní pokutu ve výši 1 % z celkové ceny díla bez DPH za každý započatý den prodlení.</w:t>
      </w:r>
    </w:p>
    <w:p w14:paraId="3D529044" w14:textId="77777777" w:rsidR="00D8397B" w:rsidRDefault="00000000">
      <w:pPr>
        <w:pStyle w:val="slovanseznam"/>
        <w:numPr>
          <w:ilvl w:val="0"/>
          <w:numId w:val="8"/>
        </w:numPr>
        <w:spacing w:after="120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 případě prodlení TIC se zaplacením faktury je dodavatel oprávněn vyúčtovat TIC zákonný úrok. Úrok z prodlení je splatný do 30 dnů ode dne doručení vyúčtování úroku z prodlení TIC.</w:t>
      </w:r>
    </w:p>
    <w:p w14:paraId="2375603D" w14:textId="77777777" w:rsidR="00D8397B" w:rsidRDefault="00000000">
      <w:pPr>
        <w:pStyle w:val="slovanseznam"/>
        <w:numPr>
          <w:ilvl w:val="0"/>
          <w:numId w:val="8"/>
        </w:numPr>
        <w:spacing w:after="120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 případě, že v důsledku porušení této smlouvy ze strany dodavatele dojde k nedodržení dotačních podmínek SFŽP, které bude mít za následek krácení či neproplacení dotace na financování díla, je TIC oprávněno uplatnit a dodavatel povinen uhradit smluvní pokutu ve výši částky, o kterou bude dotace snížena. </w:t>
      </w:r>
    </w:p>
    <w:p w14:paraId="68F9CE56" w14:textId="77777777" w:rsidR="00D8397B" w:rsidRDefault="00000000">
      <w:pPr>
        <w:pStyle w:val="slovanseznam"/>
        <w:numPr>
          <w:ilvl w:val="0"/>
          <w:numId w:val="8"/>
        </w:numPr>
        <w:tabs>
          <w:tab w:val="left" w:pos="397"/>
          <w:tab w:val="left" w:pos="426"/>
        </w:tabs>
        <w:spacing w:after="120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pokuta je splatná do 30 dnů od doručení jejího vyúčtování.</w:t>
      </w:r>
    </w:p>
    <w:p w14:paraId="526DB2B3" w14:textId="77777777" w:rsidR="00D8397B" w:rsidRDefault="00000000">
      <w:pPr>
        <w:pStyle w:val="Nadpis1"/>
        <w:widowControl w:val="0"/>
        <w:tabs>
          <w:tab w:val="left" w:pos="0"/>
        </w:tabs>
        <w:spacing w:before="0" w:after="1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 Odstoupení od Smlouvy</w:t>
      </w:r>
    </w:p>
    <w:p w14:paraId="556D67B9" w14:textId="77777777" w:rsidR="00D8397B" w:rsidRDefault="00000000">
      <w:pPr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TIC je oprávněno od této smlouvy odstoupit, pokud dodavatel naplní některý z následujících důvodů tím, že:</w:t>
      </w:r>
    </w:p>
    <w:p w14:paraId="61311738" w14:textId="77777777" w:rsidR="00D8397B" w:rsidRDefault="00000000">
      <w:pPr>
        <w:numPr>
          <w:ilvl w:val="1"/>
          <w:numId w:val="7"/>
        </w:numPr>
        <w:tabs>
          <w:tab w:val="left" w:pos="993"/>
        </w:tabs>
        <w:spacing w:after="12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proti němu zahájeno insolvenční řízení;</w:t>
      </w:r>
    </w:p>
    <w:p w14:paraId="3354B894" w14:textId="77777777" w:rsidR="00D8397B" w:rsidRDefault="00000000">
      <w:pPr>
        <w:numPr>
          <w:ilvl w:val="1"/>
          <w:numId w:val="7"/>
        </w:numPr>
        <w:tabs>
          <w:tab w:val="left" w:pos="993"/>
        </w:tabs>
        <w:spacing w:after="12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vstoupí do likvidace;</w:t>
      </w:r>
    </w:p>
    <w:p w14:paraId="5439DB8F" w14:textId="77777777" w:rsidR="00D8397B" w:rsidRDefault="00000000">
      <w:pPr>
        <w:numPr>
          <w:ilvl w:val="1"/>
          <w:numId w:val="7"/>
        </w:numPr>
        <w:tabs>
          <w:tab w:val="left" w:pos="993"/>
        </w:tabs>
        <w:spacing w:after="12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své nabídce podané v rámci výběrového řízení na zakázku uvedl nepravdivé, mylné či zkreslené informace;</w:t>
      </w:r>
    </w:p>
    <w:p w14:paraId="4AA8D5F7" w14:textId="77777777" w:rsidR="00D8397B" w:rsidRDefault="00000000">
      <w:pPr>
        <w:numPr>
          <w:ilvl w:val="1"/>
          <w:numId w:val="7"/>
        </w:numPr>
        <w:tabs>
          <w:tab w:val="left" w:pos="993"/>
        </w:tabs>
        <w:spacing w:after="12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nedodá a/nebo dodávku dle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čl. 3. této smlouvy ani v TIC dodatečně poskytnuté lhůtě v délce alespoň 15 dnů;</w:t>
      </w:r>
    </w:p>
    <w:p w14:paraId="4A25367A" w14:textId="77777777" w:rsidR="00D8397B" w:rsidRDefault="00000000">
      <w:pPr>
        <w:numPr>
          <w:ilvl w:val="1"/>
          <w:numId w:val="7"/>
        </w:numPr>
        <w:tabs>
          <w:tab w:val="left" w:pos="993"/>
        </w:tabs>
        <w:spacing w:after="12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přes písemnou výzvu k nápravě s poskytnutím dodatečné lhůty, která činí nejméně 5 pracovních dnů, opakovaně neplní nebo porušuje povinnost danou mu touto smlouvou.</w:t>
      </w:r>
    </w:p>
    <w:p w14:paraId="10A7C6AE" w14:textId="77777777" w:rsidR="00D8397B" w:rsidRDefault="00000000">
      <w:pPr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je oprávněn od této smlouvy odstoupit, pokud objednatel:</w:t>
      </w:r>
    </w:p>
    <w:p w14:paraId="0F7DCB51" w14:textId="77777777" w:rsidR="00D8397B" w:rsidRDefault="00000000">
      <w:pPr>
        <w:pStyle w:val="Odstavecseseznamem"/>
        <w:numPr>
          <w:ilvl w:val="1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je v prodlení s úhradou některé z plateb dle této smlouvy o více než 60 kalendářních dnů;</w:t>
      </w:r>
    </w:p>
    <w:p w14:paraId="67EDAE8D" w14:textId="77777777" w:rsidR="00D8397B" w:rsidRDefault="00000000">
      <w:pPr>
        <w:pStyle w:val="Odstavecseseznamem"/>
        <w:numPr>
          <w:ilvl w:val="1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přes písemnou výzvu neposkytne dodavateli součinnost dle této smlouvy a nedodá sjednané podklady tak, aby dodavatel mohl na jejich základě dílo řádně dokončit.</w:t>
      </w:r>
    </w:p>
    <w:p w14:paraId="244E460B" w14:textId="77777777" w:rsidR="00D8397B" w:rsidRDefault="00000000">
      <w:pPr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Účinky odstoupení od smlouvy nastanou ex </w:t>
      </w:r>
      <w:proofErr w:type="spellStart"/>
      <w:r>
        <w:rPr>
          <w:rFonts w:asciiTheme="minorHAnsi" w:hAnsiTheme="minorHAnsi" w:cstheme="minorHAnsi"/>
          <w:sz w:val="22"/>
          <w:szCs w:val="22"/>
        </w:rPr>
        <w:t>tunc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tj. smlouva se ruší od počátku. </w:t>
      </w:r>
    </w:p>
    <w:p w14:paraId="69E1E045" w14:textId="77777777" w:rsidR="00D8397B" w:rsidRDefault="00000000">
      <w:pPr>
        <w:pStyle w:val="Nadpis1"/>
        <w:widowControl w:val="0"/>
        <w:tabs>
          <w:tab w:val="left" w:pos="0"/>
        </w:tabs>
        <w:spacing w:before="0" w:after="1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 Další a závěrečná ustanovení</w:t>
      </w:r>
    </w:p>
    <w:p w14:paraId="1965B3D3" w14:textId="77777777" w:rsidR="00D8397B" w:rsidRDefault="00000000">
      <w:pPr>
        <w:pStyle w:val="slovanseznam"/>
        <w:tabs>
          <w:tab w:val="left" w:pos="397"/>
        </w:tabs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Práva a povinnosti smluvních stran, neupravená touto smlouvou, se řídí občanským zákoníkem, v platném znění.</w:t>
      </w:r>
    </w:p>
    <w:p w14:paraId="6DB069AF" w14:textId="77777777" w:rsidR="00D8397B" w:rsidRDefault="00000000">
      <w:pPr>
        <w:pStyle w:val="slovanseznam"/>
        <w:tabs>
          <w:tab w:val="left" w:pos="397"/>
        </w:tabs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Tato smlouva nabývá platnosti podepsáním odpovědných zástupců obou smluvních stran.</w:t>
      </w:r>
    </w:p>
    <w:p w14:paraId="23D35C15" w14:textId="77777777" w:rsidR="00D8397B" w:rsidRDefault="00000000">
      <w:pPr>
        <w:pStyle w:val="slovanseznam"/>
        <w:tabs>
          <w:tab w:val="left" w:pos="397"/>
        </w:tabs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Tato smlouva nabývá účinnosti nejdříve dnem uveřejnění v registru smluv dle Zákona č. 340/2015 Sb., o zvláštních podmínkách účinnosti některých smluv (zákon o registru smluv) v platném znění. Smlouvu zašle správci registru k uveřejnění TIC bez zbytečného odkladu, nejpozději však do 30 dnů od uzavření smlouvy. Smluvní strany prohlašují, že smlouva neobsahuje obchodní tajemství.</w:t>
      </w:r>
    </w:p>
    <w:p w14:paraId="7E804EB1" w14:textId="77777777" w:rsidR="00D8397B" w:rsidRDefault="00000000">
      <w:pPr>
        <w:pStyle w:val="slovanseznam"/>
        <w:tabs>
          <w:tab w:val="left" w:pos="397"/>
        </w:tabs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Veškeré změny nebo doplnění této smlouvy lze provádět písemnými dodatky odsouhlasenými a podepsanými oběma smluvními stranami.</w:t>
      </w:r>
    </w:p>
    <w:p w14:paraId="1B57DDEE" w14:textId="77777777" w:rsidR="00D8397B" w:rsidRDefault="00000000">
      <w:pPr>
        <w:pStyle w:val="slovanseznam"/>
        <w:tabs>
          <w:tab w:val="left" w:pos="397"/>
        </w:tabs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Smlouva je vyhotovena ve dvou stejnopisech v českém jazyce, přičemž každá smluvní strana obdrží po jednom vyhotovení. </w:t>
      </w:r>
    </w:p>
    <w:p w14:paraId="14E9B03B" w14:textId="77777777" w:rsidR="00D8397B" w:rsidRDefault="00000000">
      <w:pPr>
        <w:pStyle w:val="slovanseznam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Obě smluvní strany shodně prohlašují, že jsou způsobilé k právním úkonům, že úkony spojené s uzavřením této smlouvy učinily svobodně a vážně, že tuto smlouvu neuzavřely v tísni či za nápadně nevýhodných podmínek a že jim nejsou známy žádné právní překážky jejího uzavření. Obě smluvní strany dále shodně prohlašují, že se před podpisem této smlouvy řádně seznámily s jejím obsahem, souhlasí s ní a na důkaz toho níže připojují vlastnoruční podpisy osoby oprávněné jednat jejich jménem.</w:t>
      </w:r>
    </w:p>
    <w:p w14:paraId="641A86D2" w14:textId="77777777" w:rsidR="00D8397B" w:rsidRDefault="00D8397B">
      <w:pPr>
        <w:pStyle w:val="slovanseznam"/>
        <w:numPr>
          <w:ilvl w:val="0"/>
          <w:numId w:val="0"/>
        </w:numPr>
        <w:spacing w:after="113"/>
        <w:ind w:left="397"/>
        <w:rPr>
          <w:rFonts w:asciiTheme="minorHAnsi" w:hAnsiTheme="minorHAnsi" w:cstheme="minorHAnsi"/>
          <w:szCs w:val="22"/>
        </w:rPr>
      </w:pPr>
    </w:p>
    <w:p w14:paraId="68B319C0" w14:textId="77777777" w:rsidR="00D8397B" w:rsidRDefault="00D8397B">
      <w:pPr>
        <w:pStyle w:val="slovanseznam"/>
        <w:numPr>
          <w:ilvl w:val="0"/>
          <w:numId w:val="0"/>
        </w:numPr>
        <w:spacing w:after="113"/>
        <w:ind w:left="397"/>
        <w:rPr>
          <w:rFonts w:asciiTheme="minorHAnsi" w:hAnsiTheme="minorHAnsi" w:cstheme="minorHAnsi"/>
          <w:szCs w:val="22"/>
        </w:rPr>
      </w:pPr>
    </w:p>
    <w:p w14:paraId="39EFD76E" w14:textId="77777777" w:rsidR="00D8397B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TIC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Za dodavatele</w:t>
      </w:r>
    </w:p>
    <w:p w14:paraId="41287A64" w14:textId="77777777" w:rsidR="00D8397B" w:rsidRDefault="00D8397B">
      <w:pPr>
        <w:rPr>
          <w:rFonts w:asciiTheme="minorHAnsi" w:hAnsiTheme="minorHAnsi" w:cstheme="minorHAnsi"/>
          <w:sz w:val="22"/>
          <w:szCs w:val="22"/>
        </w:rPr>
      </w:pPr>
    </w:p>
    <w:p w14:paraId="48EC2997" w14:textId="49577202" w:rsidR="00D8397B" w:rsidRDefault="00000000">
      <w:pPr>
        <w:ind w:left="4950" w:hanging="49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Trutnově dne </w:t>
      </w:r>
      <w:r w:rsidR="00655135">
        <w:rPr>
          <w:rFonts w:asciiTheme="minorHAnsi" w:hAnsiTheme="minorHAnsi" w:cstheme="minorHAnsi"/>
          <w:sz w:val="22"/>
          <w:szCs w:val="22"/>
        </w:rPr>
        <w:t>18.12.2023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55135">
        <w:rPr>
          <w:rFonts w:asciiTheme="minorHAnsi" w:hAnsiTheme="minorHAnsi" w:cstheme="minorHAnsi"/>
          <w:sz w:val="22"/>
          <w:szCs w:val="22"/>
        </w:rPr>
        <w:t>V Trutnově dne 18.12.2023</w:t>
      </w:r>
    </w:p>
    <w:p w14:paraId="270468D6" w14:textId="77777777" w:rsidR="00D8397B" w:rsidRDefault="00D8397B">
      <w:pPr>
        <w:rPr>
          <w:rFonts w:asciiTheme="minorHAnsi" w:hAnsiTheme="minorHAnsi" w:cstheme="minorHAnsi"/>
          <w:sz w:val="22"/>
          <w:szCs w:val="22"/>
        </w:rPr>
      </w:pPr>
    </w:p>
    <w:p w14:paraId="6F36B18E" w14:textId="77777777" w:rsidR="00D8397B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</w:p>
    <w:p w14:paraId="2046904B" w14:textId="3ABD9151" w:rsidR="00D8397B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Renáta </w:t>
      </w:r>
      <w:proofErr w:type="spellStart"/>
      <w:r>
        <w:rPr>
          <w:rFonts w:asciiTheme="minorHAnsi" w:hAnsiTheme="minorHAnsi" w:cstheme="minorHAnsi"/>
          <w:sz w:val="22"/>
          <w:szCs w:val="22"/>
        </w:rPr>
        <w:t>Portlová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65513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Pavlína Teichmanová  </w:t>
      </w:r>
    </w:p>
    <w:p w14:paraId="4E1A62E3" w14:textId="77777777" w:rsidR="00D8397B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 TIC</w:t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D8397B">
      <w:headerReference w:type="default" r:id="rId9"/>
      <w:footerReference w:type="default" r:id="rId10"/>
      <w:pgSz w:w="11906" w:h="16838"/>
      <w:pgMar w:top="1276" w:right="1417" w:bottom="1276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A283C" w14:textId="77777777" w:rsidR="00843AC7" w:rsidRDefault="00843AC7">
      <w:r>
        <w:separator/>
      </w:r>
    </w:p>
  </w:endnote>
  <w:endnote w:type="continuationSeparator" w:id="0">
    <w:p w14:paraId="5BA6EC5C" w14:textId="77777777" w:rsidR="00843AC7" w:rsidRDefault="0084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4005C" w14:textId="77777777" w:rsidR="00D8397B" w:rsidRDefault="00D8397B">
    <w:pPr>
      <w:pStyle w:val="Zpat"/>
      <w:rPr>
        <w:rFonts w:ascii="Calibri" w:hAnsi="Calibri" w:cs="Calibri"/>
      </w:rPr>
    </w:pPr>
  </w:p>
  <w:p w14:paraId="355EA5BC" w14:textId="77777777" w:rsidR="00D8397B" w:rsidRDefault="00000000">
    <w:pPr>
      <w:pStyle w:val="Zpat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Stránka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</w:rPr>
      <w:t>4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z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</w:rPr>
      <w:t>4</w:t>
    </w:r>
    <w:r>
      <w:rPr>
        <w:rFonts w:ascii="Calibri" w:hAnsi="Calibri" w:cs="Calibri"/>
        <w:b/>
        <w:bCs/>
      </w:rPr>
      <w:fldChar w:fldCharType="end"/>
    </w:r>
  </w:p>
  <w:p w14:paraId="0B08EEBF" w14:textId="77777777" w:rsidR="00D8397B" w:rsidRDefault="00D8397B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2A8B7" w14:textId="77777777" w:rsidR="00843AC7" w:rsidRDefault="00843AC7">
      <w:r>
        <w:separator/>
      </w:r>
    </w:p>
  </w:footnote>
  <w:footnote w:type="continuationSeparator" w:id="0">
    <w:p w14:paraId="06BE22AA" w14:textId="77777777" w:rsidR="00843AC7" w:rsidRDefault="0084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4FFCB" w14:textId="77777777" w:rsidR="00D8397B" w:rsidRDefault="00D8397B"/>
  <w:p w14:paraId="5125FCAA" w14:textId="77777777" w:rsidR="00D8397B" w:rsidRDefault="00D8397B"/>
  <w:tbl>
    <w:tblPr>
      <w:tblW w:w="15442" w:type="dxa"/>
      <w:tblInd w:w="108" w:type="dxa"/>
      <w:tblLayout w:type="fixed"/>
      <w:tblLook w:val="0000" w:firstRow="0" w:lastRow="0" w:firstColumn="0" w:lastColumn="0" w:noHBand="0" w:noVBand="0"/>
    </w:tblPr>
    <w:tblGrid>
      <w:gridCol w:w="9322"/>
      <w:gridCol w:w="2699"/>
      <w:gridCol w:w="3421"/>
    </w:tblGrid>
    <w:tr w:rsidR="00D8397B" w14:paraId="4B447ACC" w14:textId="77777777">
      <w:trPr>
        <w:trHeight w:val="593"/>
      </w:trPr>
      <w:tc>
        <w:tcPr>
          <w:tcW w:w="9322" w:type="dxa"/>
          <w:shd w:val="clear" w:color="auto" w:fill="auto"/>
        </w:tcPr>
        <w:p w14:paraId="395AF181" w14:textId="77777777" w:rsidR="00D8397B" w:rsidRDefault="00000000">
          <w:pPr>
            <w:pStyle w:val="Zhlav"/>
            <w:widowControl w:val="0"/>
            <w:tabs>
              <w:tab w:val="clear" w:pos="4536"/>
              <w:tab w:val="clear" w:pos="9072"/>
              <w:tab w:val="center" w:pos="3780"/>
              <w:tab w:val="right" w:pos="9000"/>
            </w:tabs>
            <w:ind w:right="49"/>
          </w:pPr>
          <w:r>
            <w:rPr>
              <w:rFonts w:ascii="Arial" w:eastAsia="Arial" w:hAnsi="Arial" w:cs="Arial"/>
              <w:color w:val="000000"/>
              <w:sz w:val="22"/>
              <w:szCs w:val="22"/>
              <w:lang w:val="cs-CZ" w:eastAsia="cs-CZ"/>
            </w:rPr>
            <w:t xml:space="preserve"> SFŽP 1220900067 - Zvýšení úrovně kvality komunikace – Turistický průvodce městem</w:t>
          </w:r>
        </w:p>
        <w:p w14:paraId="70EFC358" w14:textId="77777777" w:rsidR="00D8397B" w:rsidRDefault="00000000">
          <w:pPr>
            <w:pStyle w:val="Zhlav"/>
            <w:widowControl w:val="0"/>
            <w:tabs>
              <w:tab w:val="clear" w:pos="4536"/>
              <w:tab w:val="clear" w:pos="9072"/>
              <w:tab w:val="center" w:pos="3780"/>
              <w:tab w:val="right" w:pos="9000"/>
            </w:tabs>
            <w:ind w:right="49"/>
          </w:pPr>
          <w:r>
            <w:rPr>
              <w:rFonts w:ascii="Arial" w:hAnsi="Arial" w:cs="Arial"/>
              <w:color w:val="000000"/>
              <w:sz w:val="22"/>
              <w:szCs w:val="22"/>
              <w:lang w:val="cs-CZ" w:eastAsia="cs-CZ"/>
            </w:rPr>
            <w:t>---------------------------------------------------------------------------------------------------------------------------</w:t>
          </w:r>
        </w:p>
      </w:tc>
      <w:tc>
        <w:tcPr>
          <w:tcW w:w="2699" w:type="dxa"/>
          <w:shd w:val="clear" w:color="auto" w:fill="auto"/>
        </w:tcPr>
        <w:p w14:paraId="3925ECDF" w14:textId="77777777" w:rsidR="00D8397B" w:rsidRDefault="00D8397B">
          <w:pPr>
            <w:pStyle w:val="Zhlav"/>
            <w:widowControl w:val="0"/>
            <w:tabs>
              <w:tab w:val="clear" w:pos="4536"/>
              <w:tab w:val="clear" w:pos="9072"/>
              <w:tab w:val="center" w:pos="3780"/>
              <w:tab w:val="right" w:pos="9000"/>
            </w:tabs>
            <w:snapToGrid w:val="0"/>
            <w:ind w:right="49"/>
            <w:rPr>
              <w:rFonts w:ascii="Arial" w:hAnsi="Arial" w:cs="Arial"/>
              <w:b/>
              <w:color w:val="000000"/>
              <w:sz w:val="16"/>
              <w:szCs w:val="16"/>
              <w:lang w:val="cs-CZ" w:eastAsia="cs-CZ"/>
            </w:rPr>
          </w:pPr>
        </w:p>
      </w:tc>
      <w:tc>
        <w:tcPr>
          <w:tcW w:w="3421" w:type="dxa"/>
          <w:shd w:val="clear" w:color="auto" w:fill="auto"/>
        </w:tcPr>
        <w:p w14:paraId="7EFD020C" w14:textId="77777777" w:rsidR="00D8397B" w:rsidRDefault="00D8397B">
          <w:pPr>
            <w:pStyle w:val="Zhlav"/>
            <w:widowControl w:val="0"/>
            <w:tabs>
              <w:tab w:val="clear" w:pos="4536"/>
              <w:tab w:val="clear" w:pos="9072"/>
              <w:tab w:val="center" w:pos="3780"/>
              <w:tab w:val="right" w:pos="9000"/>
            </w:tabs>
            <w:snapToGrid w:val="0"/>
            <w:ind w:right="49"/>
            <w:rPr>
              <w:rFonts w:ascii="Arial" w:hAnsi="Arial" w:cs="Arial"/>
              <w:b/>
              <w:color w:val="000000"/>
              <w:sz w:val="16"/>
              <w:szCs w:val="16"/>
              <w:lang w:val="cs-CZ" w:eastAsia="cs-CZ"/>
            </w:rPr>
          </w:pPr>
        </w:p>
      </w:tc>
    </w:tr>
  </w:tbl>
  <w:p w14:paraId="1D27C871" w14:textId="77777777" w:rsidR="00D8397B" w:rsidRDefault="00D839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A0F22"/>
    <w:multiLevelType w:val="multilevel"/>
    <w:tmpl w:val="83AE3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B8399C"/>
    <w:multiLevelType w:val="multilevel"/>
    <w:tmpl w:val="49222130"/>
    <w:lvl w:ilvl="0">
      <w:start w:val="1"/>
      <w:numFmt w:val="upperRoman"/>
      <w:suff w:val="nothing"/>
      <w:lvlText w:val="%1. 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863D32"/>
    <w:multiLevelType w:val="multilevel"/>
    <w:tmpl w:val="D46E319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5E6E44"/>
    <w:multiLevelType w:val="multilevel"/>
    <w:tmpl w:val="D174F0B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420E5C"/>
    <w:multiLevelType w:val="multilevel"/>
    <w:tmpl w:val="061CD2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FA5EE2"/>
    <w:multiLevelType w:val="multilevel"/>
    <w:tmpl w:val="B306933C"/>
    <w:lvl w:ilvl="0">
      <w:start w:val="1"/>
      <w:numFmt w:val="decimal"/>
      <w:pStyle w:val="slovansezna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6" w15:restartNumberingAfterBreak="0">
    <w:nsid w:val="5AB068F6"/>
    <w:multiLevelType w:val="multilevel"/>
    <w:tmpl w:val="F3DCF6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308012D"/>
    <w:multiLevelType w:val="multilevel"/>
    <w:tmpl w:val="75A235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F8E4ADE"/>
    <w:multiLevelType w:val="multilevel"/>
    <w:tmpl w:val="CDC234A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43273562">
    <w:abstractNumId w:val="3"/>
  </w:num>
  <w:num w:numId="2" w16cid:durableId="1922064253">
    <w:abstractNumId w:val="1"/>
  </w:num>
  <w:num w:numId="3" w16cid:durableId="1622884472">
    <w:abstractNumId w:val="5"/>
  </w:num>
  <w:num w:numId="4" w16cid:durableId="2031367538">
    <w:abstractNumId w:val="2"/>
  </w:num>
  <w:num w:numId="5" w16cid:durableId="484122962">
    <w:abstractNumId w:val="7"/>
  </w:num>
  <w:num w:numId="6" w16cid:durableId="382560503">
    <w:abstractNumId w:val="6"/>
  </w:num>
  <w:num w:numId="7" w16cid:durableId="1277715555">
    <w:abstractNumId w:val="0"/>
  </w:num>
  <w:num w:numId="8" w16cid:durableId="1941140765">
    <w:abstractNumId w:val="8"/>
  </w:num>
  <w:num w:numId="9" w16cid:durableId="66506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7B"/>
    <w:rsid w:val="000037F3"/>
    <w:rsid w:val="000D6CD9"/>
    <w:rsid w:val="00201452"/>
    <w:rsid w:val="005110BE"/>
    <w:rsid w:val="00655135"/>
    <w:rsid w:val="00843AC7"/>
    <w:rsid w:val="00951DDC"/>
    <w:rsid w:val="00993A46"/>
    <w:rsid w:val="00D679DF"/>
    <w:rsid w:val="00D8397B"/>
    <w:rsid w:val="00DD5664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CDE5"/>
  <w15:docId w15:val="{A938FF44-5138-4249-979C-8B486AB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sz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  <w:strike w:val="0"/>
      <w:dstrike w:val="0"/>
      <w:sz w:val="24"/>
    </w:rPr>
  </w:style>
  <w:style w:type="character" w:customStyle="1" w:styleId="WW8Num5z1">
    <w:name w:val="WW8Num5z1"/>
    <w:qFormat/>
    <w:rPr>
      <w:rFonts w:ascii="Calibri" w:hAnsi="Calibri" w:cs="Calibri"/>
      <w:b w:val="0"/>
      <w:color w:val="auto"/>
      <w:sz w:val="24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hAnsi="Calibri" w:cs="Calibri"/>
    </w:rPr>
  </w:style>
  <w:style w:type="character" w:customStyle="1" w:styleId="WW8Num7z0">
    <w:name w:val="WW8Num7z0"/>
    <w:qFormat/>
    <w:rPr>
      <w:rFonts w:ascii="Symbol" w:hAnsi="Symbol" w:cs="Symbol"/>
      <w:color w:val="FF0000"/>
      <w:sz w:val="24"/>
      <w:szCs w:val="24"/>
    </w:rPr>
  </w:style>
  <w:style w:type="character" w:customStyle="1" w:styleId="WW8Num8z0">
    <w:name w:val="WW8Num8z0"/>
    <w:qFormat/>
    <w:rPr>
      <w:rFonts w:ascii="Calibri" w:hAnsi="Calibri" w:cs="Calibri"/>
      <w:sz w:val="24"/>
    </w:rPr>
  </w:style>
  <w:style w:type="character" w:customStyle="1" w:styleId="WW8Num9z0">
    <w:name w:val="WW8Num9z0"/>
    <w:qFormat/>
    <w:rPr>
      <w:rFonts w:ascii="Calibri" w:hAnsi="Calibri" w:cs="Calibri"/>
    </w:rPr>
  </w:style>
  <w:style w:type="character" w:customStyle="1" w:styleId="WW8Num9z1">
    <w:name w:val="WW8Num9z1"/>
    <w:qFormat/>
    <w:rPr>
      <w:rFonts w:ascii="Calibri" w:hAnsi="Calibri" w:cs="Calibri"/>
      <w:b w:val="0"/>
      <w:sz w:val="24"/>
      <w:szCs w:val="24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Calibri" w:hAnsi="Calibri" w:cs="Calibri"/>
      <w:strike w:val="0"/>
      <w:dstrike w:val="0"/>
      <w:sz w:val="24"/>
    </w:rPr>
  </w:style>
  <w:style w:type="character" w:customStyle="1" w:styleId="WW8Num11z0">
    <w:name w:val="WW8Num11z0"/>
    <w:qFormat/>
    <w:rPr>
      <w:rFonts w:ascii="Calibri" w:hAnsi="Calibri" w:cs="Calibri"/>
    </w:rPr>
  </w:style>
  <w:style w:type="character" w:customStyle="1" w:styleId="WW8Num10z1">
    <w:name w:val="WW8Num10z1"/>
    <w:qFormat/>
    <w:rPr>
      <w:rFonts w:ascii="Calibri" w:hAnsi="Calibri" w:cs="Calibri"/>
      <w:b w:val="0"/>
      <w:sz w:val="24"/>
      <w:szCs w:val="24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alibri" w:hAnsi="Calibri" w:cs="Calibri"/>
      <w:b w:val="0"/>
      <w:color w:val="auto"/>
      <w:sz w:val="24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  <w:sz w:val="24"/>
      <w:szCs w:val="24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Calibri" w:hAnsi="Calibri" w:cs="Calibri"/>
      <w:sz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Arial" w:eastAsia="Times New Roman" w:hAnsi="Arial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Arial" w:eastAsia="Times New Roman" w:hAnsi="Arial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Calibri" w:hAnsi="Calibri" w:cs="Calibri"/>
    </w:rPr>
  </w:style>
  <w:style w:type="character" w:customStyle="1" w:styleId="WW8Num19z1">
    <w:name w:val="WW8Num19z1"/>
    <w:qFormat/>
    <w:rPr>
      <w:rFonts w:ascii="Calibri" w:hAnsi="Calibri" w:cs="Calibri"/>
      <w:b w:val="0"/>
      <w:sz w:val="24"/>
      <w:szCs w:val="24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hAnsi="Arial" w:cs="Arial"/>
      <w:b/>
      <w:i w:val="0"/>
      <w:sz w:val="22"/>
    </w:rPr>
  </w:style>
  <w:style w:type="character" w:customStyle="1" w:styleId="WW8Num24z1">
    <w:name w:val="WW8Num24z1"/>
    <w:qFormat/>
    <w:rPr>
      <w:rFonts w:ascii="Arial" w:hAnsi="Arial" w:cs="Arial"/>
      <w:b w:val="0"/>
      <w:sz w:val="20"/>
    </w:rPr>
  </w:style>
  <w:style w:type="character" w:customStyle="1" w:styleId="WW8Num24z2">
    <w:name w:val="WW8Num24z2"/>
    <w:qFormat/>
  </w:style>
  <w:style w:type="character" w:customStyle="1" w:styleId="WW8Num25z0">
    <w:name w:val="WW8Num25z0"/>
    <w:qFormat/>
    <w:rPr>
      <w:rFonts w:ascii="Calibri" w:hAnsi="Calibri" w:cs="Calibri"/>
      <w:strike w:val="0"/>
      <w:dstrike w:val="0"/>
      <w:sz w:val="24"/>
    </w:rPr>
  </w:style>
  <w:style w:type="character" w:customStyle="1" w:styleId="WW8Num25z1">
    <w:name w:val="WW8Num25z1"/>
    <w:qFormat/>
    <w:rPr>
      <w:rFonts w:ascii="Calibri" w:hAnsi="Calibri" w:cs="Calibri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dpis2Char">
    <w:name w:val="Nadpis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Zkladntext2Char">
    <w:name w:val="Základní text 2 Char"/>
    <w:qFormat/>
    <w:rPr>
      <w:rFonts w:eastAsia="Calibri"/>
      <w:sz w:val="24"/>
    </w:rPr>
  </w:style>
  <w:style w:type="character" w:customStyle="1" w:styleId="ZkladntextChar">
    <w:name w:val="Základní text Char"/>
    <w:qFormat/>
    <w:rPr>
      <w:rFonts w:eastAsia="Calibri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komenteChar">
    <w:name w:val="Text komentáře Char"/>
    <w:basedOn w:val="Standardnpsmoodstavce1"/>
    <w:qFormat/>
  </w:style>
  <w:style w:type="character" w:customStyle="1" w:styleId="PedmtkomenteChar">
    <w:name w:val="Předmět komentáře Char"/>
    <w:qFormat/>
    <w:rPr>
      <w:b/>
      <w:bCs/>
    </w:rPr>
  </w:style>
  <w:style w:type="character" w:styleId="slostrnky">
    <w:name w:val="page number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  <w:qFormat/>
  </w:style>
  <w:style w:type="character" w:styleId="Nevyeenzmnka">
    <w:name w:val="Unresolved Mention"/>
    <w:basedOn w:val="Standardnpsmoodstavce"/>
    <w:uiPriority w:val="99"/>
    <w:semiHidden/>
    <w:unhideWhenUsed/>
    <w:qFormat/>
    <w:rsid w:val="0090606F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eastAsia="Calibri"/>
      <w:sz w:val="20"/>
      <w:szCs w:val="20"/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pPr>
      <w:tabs>
        <w:tab w:val="left" w:pos="709"/>
      </w:tabs>
      <w:spacing w:after="200" w:line="100" w:lineRule="atLeast"/>
    </w:pPr>
    <w:rPr>
      <w:rFonts w:ascii="Georgia" w:hAnsi="Georgia" w:cs="Georgia"/>
      <w:color w:val="000000"/>
      <w:sz w:val="24"/>
      <w:szCs w:val="24"/>
      <w:lang w:eastAsia="zh-CN"/>
    </w:rPr>
  </w:style>
  <w:style w:type="paragraph" w:styleId="Bezmezer">
    <w:name w:val="No Spacing"/>
    <w:qFormat/>
    <w:pPr>
      <w:widowControl w:val="0"/>
      <w:tabs>
        <w:tab w:val="left" w:pos="709"/>
      </w:tabs>
      <w:spacing w:after="200" w:line="276" w:lineRule="atLeast"/>
      <w:jc w:val="both"/>
    </w:pPr>
    <w:rPr>
      <w:rFonts w:ascii="Calibri" w:hAnsi="Calibri" w:cs="Calibri"/>
      <w:sz w:val="22"/>
      <w:szCs w:val="22"/>
      <w:lang w:eastAsia="zh-CN"/>
    </w:rPr>
  </w:style>
  <w:style w:type="paragraph" w:styleId="slovanseznam">
    <w:name w:val="List Number"/>
    <w:basedOn w:val="Normln"/>
    <w:qFormat/>
    <w:pPr>
      <w:widowControl w:val="0"/>
      <w:numPr>
        <w:numId w:val="3"/>
      </w:numPr>
      <w:spacing w:after="170"/>
      <w:jc w:val="both"/>
    </w:pPr>
    <w:rPr>
      <w:rFonts w:ascii="Arial" w:eastAsia="Tahoma" w:hAnsi="Arial" w:cs="Arial"/>
      <w:sz w:val="22"/>
    </w:rPr>
  </w:style>
  <w:style w:type="paragraph" w:customStyle="1" w:styleId="nadpissmlouvy">
    <w:name w:val="nadpis smlouvy"/>
    <w:basedOn w:val="Normln"/>
    <w:qFormat/>
    <w:pPr>
      <w:keepNext/>
      <w:widowControl w:val="0"/>
      <w:spacing w:before="240" w:after="120"/>
      <w:jc w:val="center"/>
    </w:pPr>
    <w:rPr>
      <w:rFonts w:ascii="Arial" w:eastAsia="Tahoma" w:hAnsi="Arial" w:cs="Tahoma"/>
      <w:b/>
      <w:sz w:val="28"/>
      <w:szCs w:val="28"/>
    </w:rPr>
  </w:style>
  <w:style w:type="paragraph" w:customStyle="1" w:styleId="Zkladntext21">
    <w:name w:val="Základní text 21"/>
    <w:basedOn w:val="Normln"/>
    <w:qFormat/>
    <w:pPr>
      <w:jc w:val="both"/>
    </w:pPr>
    <w:rPr>
      <w:rFonts w:eastAsia="Calibri"/>
      <w:szCs w:val="20"/>
      <w:lang w:val="x-none"/>
    </w:rPr>
  </w:style>
  <w:style w:type="paragraph" w:styleId="Odstavecseseznamem">
    <w:name w:val="List Paragraph"/>
    <w:basedOn w:val="Normln"/>
    <w:qFormat/>
    <w:pPr>
      <w:ind w:left="708"/>
    </w:pPr>
    <w:rPr>
      <w:sz w:val="20"/>
      <w:szCs w:val="20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  <w:lang w:val="x-non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  <w:lang w:val="x-none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lova@trut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8F8B-C386-45B0-B9E2-041FF0A9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1287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dc:description/>
  <cp:lastModifiedBy>Hana Nýdrlová</cp:lastModifiedBy>
  <cp:revision>4</cp:revision>
  <cp:lastPrinted>1899-12-31T23:00:00Z</cp:lastPrinted>
  <dcterms:created xsi:type="dcterms:W3CDTF">2024-08-05T07:13:00Z</dcterms:created>
  <dcterms:modified xsi:type="dcterms:W3CDTF">2024-08-06T15:57:00Z</dcterms:modified>
  <dc:language>cs-CZ</dc:language>
</cp:coreProperties>
</file>