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ABD1B" w14:textId="3EAA05E5" w:rsidR="00C13946" w:rsidRPr="005A18F8" w:rsidRDefault="00C13946" w:rsidP="00C13946">
      <w:pPr>
        <w:pStyle w:val="Zhlav"/>
        <w:rPr>
          <w:rFonts w:ascii="Calibri" w:hAnsi="Calibri"/>
          <w:sz w:val="22"/>
        </w:rPr>
      </w:pPr>
      <w:r w:rsidRPr="005A18F8">
        <w:rPr>
          <w:rFonts w:ascii="Calibri" w:hAnsi="Calibri"/>
          <w:sz w:val="22"/>
        </w:rPr>
        <w:t>číslo jednací: NPU-440/3</w:t>
      </w:r>
      <w:r>
        <w:rPr>
          <w:rFonts w:ascii="Calibri" w:hAnsi="Calibri"/>
          <w:sz w:val="22"/>
        </w:rPr>
        <w:t>951</w:t>
      </w:r>
      <w:r w:rsidRPr="005A18F8">
        <w:rPr>
          <w:rFonts w:ascii="Calibri" w:hAnsi="Calibri"/>
          <w:sz w:val="22"/>
        </w:rPr>
        <w:t>/202</w:t>
      </w:r>
      <w:r>
        <w:rPr>
          <w:rFonts w:ascii="Calibri" w:hAnsi="Calibri"/>
          <w:sz w:val="22"/>
        </w:rPr>
        <w:t>4</w:t>
      </w:r>
      <w:r w:rsidRPr="005A18F8">
        <w:rPr>
          <w:rFonts w:ascii="Calibri" w:hAnsi="Calibri"/>
          <w:sz w:val="22"/>
        </w:rPr>
        <w:t xml:space="preserve">                                                        </w:t>
      </w:r>
      <w:r>
        <w:rPr>
          <w:rFonts w:ascii="Calibri" w:hAnsi="Calibri"/>
          <w:sz w:val="22"/>
        </w:rPr>
        <w:t xml:space="preserve">        </w:t>
      </w:r>
      <w:r w:rsidRPr="005A18F8">
        <w:rPr>
          <w:rFonts w:ascii="Calibri" w:hAnsi="Calibri"/>
          <w:sz w:val="22"/>
        </w:rPr>
        <w:t xml:space="preserve">   číslo </w:t>
      </w:r>
      <w:r w:rsidRPr="009C681C">
        <w:rPr>
          <w:rFonts w:ascii="Calibri" w:hAnsi="Calibri"/>
          <w:sz w:val="22"/>
        </w:rPr>
        <w:t>smlouvy: 4014J1240</w:t>
      </w:r>
      <w:r w:rsidR="009C681C" w:rsidRPr="009C681C">
        <w:rPr>
          <w:rFonts w:ascii="Calibri" w:hAnsi="Calibri"/>
          <w:sz w:val="22"/>
        </w:rPr>
        <w:t>29</w:t>
      </w:r>
      <w:r w:rsidRPr="005A18F8">
        <w:rPr>
          <w:rFonts w:ascii="Calibri" w:hAnsi="Calibri"/>
          <w:sz w:val="22"/>
        </w:rPr>
        <w:t xml:space="preserve">   </w:t>
      </w:r>
    </w:p>
    <w:p w14:paraId="4F549B9D" w14:textId="7C829251" w:rsidR="004C3CF8" w:rsidRDefault="000A13A9" w:rsidP="000A13A9">
      <w:pPr>
        <w:pBdr>
          <w:top w:val="nil"/>
          <w:left w:val="nil"/>
          <w:bottom w:val="nil"/>
          <w:right w:val="nil"/>
          <w:between w:val="nil"/>
        </w:pBdr>
        <w:ind w:left="862" w:hanging="86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23ADDF1E" w14:textId="77777777" w:rsidR="000A13A9" w:rsidRDefault="000A13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1E0FD4A" w14:textId="5009D143" w:rsidR="004C3CF8" w:rsidRDefault="00BA73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Národní památkový ústav,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státní příspěvková organizace</w:t>
      </w:r>
    </w:p>
    <w:p w14:paraId="6F61DA05" w14:textId="77777777" w:rsidR="004C3CF8" w:rsidRDefault="00BA73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IČO: 75032333, DIČ: CZ75032333,</w:t>
      </w:r>
    </w:p>
    <w:p w14:paraId="17F5DF5D" w14:textId="77777777" w:rsidR="004C3CF8" w:rsidRDefault="00BA73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 sídlem: Valdštejnské nám. 162/3, PSČ 118 01 Praha 1 – Malá Strana,</w:t>
      </w:r>
    </w:p>
    <w:p w14:paraId="4E86BBD7" w14:textId="2277CD3E" w:rsidR="004C3CF8" w:rsidRPr="00123C86" w:rsidRDefault="00BA73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23C86">
        <w:rPr>
          <w:rFonts w:ascii="Calibri" w:eastAsia="Calibri" w:hAnsi="Calibri" w:cs="Calibri"/>
          <w:color w:val="000000"/>
          <w:sz w:val="22"/>
          <w:szCs w:val="22"/>
        </w:rPr>
        <w:t xml:space="preserve">zastoupen: </w:t>
      </w:r>
      <w:r w:rsidR="00DE5493">
        <w:rPr>
          <w:rFonts w:ascii="Calibri" w:hAnsi="Calibri"/>
          <w:sz w:val="22"/>
          <w:szCs w:val="22"/>
        </w:rPr>
        <w:t>xxx</w:t>
      </w:r>
      <w:r w:rsidR="00123C86" w:rsidRPr="00123C86">
        <w:rPr>
          <w:rFonts w:ascii="Calibri" w:hAnsi="Calibri"/>
          <w:sz w:val="22"/>
          <w:szCs w:val="22"/>
        </w:rPr>
        <w:t xml:space="preserve">, </w:t>
      </w:r>
      <w:r w:rsidR="00123C86" w:rsidRPr="00123C86">
        <w:rPr>
          <w:rFonts w:ascii="Calibri" w:hAnsi="Calibri"/>
          <w:sz w:val="22"/>
          <w:szCs w:val="22"/>
        </w:rPr>
        <w:fldChar w:fldCharType="begin"/>
      </w:r>
      <w:r w:rsidR="00123C86" w:rsidRPr="00123C86">
        <w:rPr>
          <w:rFonts w:ascii="Calibri" w:hAnsi="Calibri"/>
          <w:sz w:val="22"/>
          <w:szCs w:val="22"/>
        </w:rPr>
        <w:instrText xml:space="preserve"> AUTOTEXTLIST  \s 1  \* MERGEFORMAT </w:instrText>
      </w:r>
      <w:r w:rsidR="00123C86" w:rsidRPr="00123C86">
        <w:rPr>
          <w:rFonts w:ascii="Calibri" w:hAnsi="Calibri"/>
          <w:sz w:val="22"/>
          <w:szCs w:val="22"/>
        </w:rPr>
        <w:fldChar w:fldCharType="end"/>
      </w:r>
      <w:r w:rsidR="00123C86" w:rsidRPr="00123C86">
        <w:rPr>
          <w:rFonts w:ascii="Calibri" w:hAnsi="Calibri"/>
          <w:sz w:val="22"/>
          <w:szCs w:val="22"/>
        </w:rPr>
        <w:fldChar w:fldCharType="begin"/>
      </w:r>
      <w:r w:rsidR="00123C86" w:rsidRPr="00123C86">
        <w:rPr>
          <w:rFonts w:ascii="Calibri" w:hAnsi="Calibri"/>
          <w:sz w:val="22"/>
          <w:szCs w:val="22"/>
        </w:rPr>
        <w:instrText xml:space="preserve"> AUTOTEXTLIST   \* MERGEFORMAT </w:instrText>
      </w:r>
      <w:r w:rsidR="00123C86" w:rsidRPr="00123C86">
        <w:rPr>
          <w:rFonts w:ascii="Calibri" w:hAnsi="Calibri"/>
          <w:sz w:val="22"/>
          <w:szCs w:val="22"/>
        </w:rPr>
        <w:fldChar w:fldCharType="end"/>
      </w:r>
      <w:r w:rsidR="00123C86" w:rsidRPr="00123C86">
        <w:rPr>
          <w:rFonts w:ascii="Calibri" w:hAnsi="Calibri"/>
          <w:sz w:val="22"/>
          <w:szCs w:val="22"/>
        </w:rPr>
        <w:t>vedoucím správy státního hradu Kunětická hora</w:t>
      </w:r>
    </w:p>
    <w:p w14:paraId="6AADE2C3" w14:textId="208FD2CC" w:rsidR="00123C86" w:rsidRDefault="00BA73BF" w:rsidP="00123C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23C86">
        <w:rPr>
          <w:rFonts w:ascii="Calibri" w:eastAsia="Calibri" w:hAnsi="Calibri" w:cs="Calibri"/>
          <w:color w:val="000000"/>
          <w:sz w:val="22"/>
          <w:szCs w:val="22"/>
        </w:rPr>
        <w:t xml:space="preserve">tel.: +420 </w:t>
      </w:r>
      <w:r w:rsidR="00443765">
        <w:rPr>
          <w:rFonts w:ascii="Calibri" w:eastAsia="Calibri" w:hAnsi="Calibri" w:cs="Calibri"/>
          <w:color w:val="000000"/>
          <w:sz w:val="22"/>
          <w:szCs w:val="22"/>
        </w:rPr>
        <w:t>xxx</w:t>
      </w:r>
      <w:r w:rsidRPr="00123C86">
        <w:rPr>
          <w:rFonts w:ascii="Calibri" w:eastAsia="Calibri" w:hAnsi="Calibri" w:cs="Calibri"/>
          <w:color w:val="000000"/>
          <w:sz w:val="22"/>
          <w:szCs w:val="22"/>
        </w:rPr>
        <w:t xml:space="preserve">, e-mail: </w:t>
      </w:r>
      <w:r w:rsidR="00443765">
        <w:rPr>
          <w:rFonts w:ascii="Calibri" w:eastAsia="Calibri" w:hAnsi="Calibri" w:cs="Calibri"/>
          <w:color w:val="000000"/>
          <w:sz w:val="22"/>
          <w:szCs w:val="22"/>
        </w:rPr>
        <w:t>xxx</w:t>
      </w:r>
    </w:p>
    <w:p w14:paraId="7E837F61" w14:textId="339B5F90" w:rsidR="00123C86" w:rsidRPr="00123C86" w:rsidRDefault="00123C86" w:rsidP="00123C86">
      <w:pPr>
        <w:pBdr>
          <w:top w:val="nil"/>
          <w:left w:val="nil"/>
          <w:bottom w:val="nil"/>
          <w:right w:val="nil"/>
          <w:between w:val="nil"/>
        </w:pBdr>
        <w:jc w:val="both"/>
        <w:rPr>
          <w:rStyle w:val="Zkladntext30"/>
          <w:rFonts w:asciiTheme="majorHAnsi" w:hAnsiTheme="majorHAnsi" w:cstheme="majorHAnsi"/>
          <w:color w:val="000000"/>
          <w:sz w:val="22"/>
          <w:szCs w:val="22"/>
        </w:rPr>
      </w:pPr>
      <w:r w:rsidRPr="00123C86">
        <w:rPr>
          <w:rStyle w:val="Zkladntext30"/>
          <w:rFonts w:asciiTheme="majorHAnsi" w:hAnsiTheme="majorHAnsi" w:cstheme="majorHAnsi"/>
          <w:b/>
          <w:bCs/>
          <w:color w:val="000000"/>
          <w:sz w:val="22"/>
          <w:szCs w:val="22"/>
        </w:rPr>
        <w:t>Doručovací adresa:</w:t>
      </w:r>
    </w:p>
    <w:p w14:paraId="15BAAACC" w14:textId="77777777" w:rsidR="00123C86" w:rsidRPr="00123C86" w:rsidRDefault="00123C86" w:rsidP="00123C86">
      <w:pPr>
        <w:pStyle w:val="Zkladntext31"/>
        <w:shd w:val="clear" w:color="auto" w:fill="auto"/>
        <w:spacing w:before="0" w:line="240" w:lineRule="auto"/>
        <w:ind w:firstLine="0"/>
        <w:rPr>
          <w:rStyle w:val="Zkladntext30"/>
          <w:rFonts w:asciiTheme="majorHAnsi" w:hAnsiTheme="majorHAnsi" w:cstheme="majorHAnsi"/>
          <w:b w:val="0"/>
          <w:bCs w:val="0"/>
          <w:color w:val="000000"/>
          <w:sz w:val="22"/>
          <w:szCs w:val="22"/>
        </w:rPr>
      </w:pPr>
      <w:r w:rsidRPr="00123C86">
        <w:rPr>
          <w:rStyle w:val="Zkladntext30"/>
          <w:rFonts w:asciiTheme="majorHAnsi" w:hAnsiTheme="majorHAnsi" w:cstheme="majorHAnsi"/>
          <w:bCs w:val="0"/>
          <w:color w:val="000000"/>
          <w:sz w:val="22"/>
          <w:szCs w:val="22"/>
        </w:rPr>
        <w:t>Národní památkový ústav,</w:t>
      </w:r>
    </w:p>
    <w:p w14:paraId="3536FFA5" w14:textId="77777777" w:rsidR="00123C86" w:rsidRPr="00123C86" w:rsidRDefault="00123C86" w:rsidP="00123C86">
      <w:pPr>
        <w:pStyle w:val="Zkladntext31"/>
        <w:shd w:val="clear" w:color="auto" w:fill="auto"/>
        <w:spacing w:before="0" w:line="240" w:lineRule="auto"/>
        <w:ind w:firstLine="0"/>
        <w:rPr>
          <w:rStyle w:val="Zkladntext30"/>
          <w:rFonts w:asciiTheme="majorHAnsi" w:hAnsiTheme="majorHAnsi" w:cstheme="majorHAnsi"/>
          <w:color w:val="000000"/>
          <w:sz w:val="22"/>
          <w:szCs w:val="22"/>
        </w:rPr>
      </w:pPr>
      <w:r w:rsidRPr="00123C86">
        <w:rPr>
          <w:rStyle w:val="Zkladntext30"/>
          <w:rFonts w:asciiTheme="majorHAnsi" w:hAnsiTheme="majorHAnsi" w:cstheme="majorHAnsi"/>
          <w:bCs w:val="0"/>
          <w:color w:val="000000"/>
          <w:sz w:val="22"/>
          <w:szCs w:val="22"/>
        </w:rPr>
        <w:t>územní památková správa na Sychrově</w:t>
      </w:r>
    </w:p>
    <w:p w14:paraId="19FA24E0" w14:textId="77777777" w:rsidR="00123C86" w:rsidRPr="00123C86" w:rsidRDefault="00123C86" w:rsidP="00123C86">
      <w:pPr>
        <w:pStyle w:val="Zkladntext31"/>
        <w:shd w:val="clear" w:color="auto" w:fill="auto"/>
        <w:spacing w:before="0" w:line="240" w:lineRule="auto"/>
        <w:ind w:firstLine="0"/>
        <w:rPr>
          <w:rStyle w:val="Zkladntext30"/>
          <w:rFonts w:asciiTheme="majorHAnsi" w:hAnsiTheme="majorHAnsi" w:cstheme="majorHAnsi"/>
          <w:bCs w:val="0"/>
          <w:color w:val="000000"/>
          <w:sz w:val="22"/>
          <w:szCs w:val="22"/>
        </w:rPr>
      </w:pPr>
      <w:r w:rsidRPr="00123C86">
        <w:rPr>
          <w:rStyle w:val="Zkladntext30"/>
          <w:rFonts w:asciiTheme="majorHAnsi" w:hAnsiTheme="majorHAnsi" w:cstheme="majorHAnsi"/>
          <w:bCs w:val="0"/>
          <w:color w:val="000000"/>
          <w:sz w:val="22"/>
          <w:szCs w:val="22"/>
        </w:rPr>
        <w:t xml:space="preserve">Zámek Sychrov 3, 463 44 Sychrov </w:t>
      </w:r>
    </w:p>
    <w:p w14:paraId="35DEE56C" w14:textId="2C65673D" w:rsidR="00123C86" w:rsidRPr="00123C86" w:rsidRDefault="00123C86" w:rsidP="00123C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123C86">
        <w:rPr>
          <w:rFonts w:asciiTheme="majorHAnsi" w:hAnsiTheme="majorHAnsi" w:cstheme="majorHAnsi"/>
          <w:sz w:val="22"/>
          <w:szCs w:val="22"/>
        </w:rPr>
        <w:t>bankovní spojení: ČNB, č. ú.: 400004 – 60039011/0710</w:t>
      </w:r>
    </w:p>
    <w:p w14:paraId="14B371A6" w14:textId="77777777" w:rsidR="004C3CF8" w:rsidRDefault="00BA73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pronajímatel</w:t>
      </w:r>
      <w:r>
        <w:rPr>
          <w:rFonts w:ascii="Calibri" w:eastAsia="Calibri" w:hAnsi="Calibri" w:cs="Calibri"/>
          <w:color w:val="000000"/>
          <w:sz w:val="22"/>
          <w:szCs w:val="22"/>
        </w:rPr>
        <w:t>“)</w:t>
      </w:r>
    </w:p>
    <w:p w14:paraId="431BB29D" w14:textId="77777777" w:rsidR="004C3CF8" w:rsidRDefault="004C3C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8A00B8D" w14:textId="77777777" w:rsidR="004C3CF8" w:rsidRDefault="00BA73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</w:t>
      </w:r>
    </w:p>
    <w:p w14:paraId="4EE7E3E2" w14:textId="77777777" w:rsidR="004C3CF8" w:rsidRDefault="004C3C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BB6084E" w14:textId="16AF8EA6" w:rsidR="00123C86" w:rsidRPr="00123C86" w:rsidRDefault="008B3DD3" w:rsidP="00123C8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FILM MAKERS</w:t>
      </w:r>
      <w:r w:rsidR="00123C86" w:rsidRPr="00123C86">
        <w:rPr>
          <w:rFonts w:ascii="Calibri" w:hAnsi="Calibri"/>
          <w:b/>
          <w:sz w:val="22"/>
          <w:szCs w:val="22"/>
        </w:rPr>
        <w:t xml:space="preserve"> s.r.o.</w:t>
      </w:r>
    </w:p>
    <w:p w14:paraId="11699566" w14:textId="750E4D04" w:rsidR="00123C86" w:rsidRPr="00123C86" w:rsidRDefault="00123C86" w:rsidP="00123C86">
      <w:pPr>
        <w:rPr>
          <w:rFonts w:ascii="Calibri" w:hAnsi="Calibri"/>
          <w:sz w:val="22"/>
          <w:szCs w:val="22"/>
        </w:rPr>
      </w:pPr>
      <w:r w:rsidRPr="00123C86">
        <w:rPr>
          <w:rFonts w:ascii="Calibri" w:hAnsi="Calibri"/>
          <w:sz w:val="22"/>
          <w:szCs w:val="22"/>
        </w:rPr>
        <w:t>zapsaná v obchodním rejstříku vedeném Městským soudem v Praze, sp. zn. C 6</w:t>
      </w:r>
      <w:r w:rsidR="008B3DD3">
        <w:rPr>
          <w:rFonts w:ascii="Calibri" w:hAnsi="Calibri"/>
          <w:sz w:val="22"/>
          <w:szCs w:val="22"/>
        </w:rPr>
        <w:t>5768</w:t>
      </w:r>
    </w:p>
    <w:p w14:paraId="1A95143E" w14:textId="6AD6E1B9" w:rsidR="00123C86" w:rsidRPr="00123C86" w:rsidRDefault="00123C86" w:rsidP="00123C86">
      <w:pPr>
        <w:rPr>
          <w:rFonts w:ascii="Calibri" w:hAnsi="Calibri"/>
          <w:sz w:val="22"/>
          <w:szCs w:val="22"/>
        </w:rPr>
      </w:pPr>
      <w:r w:rsidRPr="00154F36">
        <w:rPr>
          <w:rFonts w:ascii="Calibri" w:hAnsi="Calibri"/>
          <w:b/>
          <w:sz w:val="22"/>
          <w:szCs w:val="22"/>
        </w:rPr>
        <w:t>se sídlem:</w:t>
      </w:r>
      <w:r w:rsidRPr="00123C86">
        <w:rPr>
          <w:rFonts w:ascii="Calibri" w:hAnsi="Calibri"/>
          <w:sz w:val="22"/>
          <w:szCs w:val="22"/>
        </w:rPr>
        <w:t xml:space="preserve"> </w:t>
      </w:r>
      <w:r w:rsidR="008B3DD3">
        <w:rPr>
          <w:rFonts w:ascii="Calibri" w:hAnsi="Calibri"/>
          <w:sz w:val="22"/>
          <w:szCs w:val="22"/>
        </w:rPr>
        <w:t>Šlikova 38/408</w:t>
      </w:r>
      <w:r w:rsidRPr="00123C86">
        <w:rPr>
          <w:rFonts w:ascii="Calibri" w:hAnsi="Calibri"/>
          <w:sz w:val="22"/>
          <w:szCs w:val="22"/>
        </w:rPr>
        <w:t>, 16</w:t>
      </w:r>
      <w:r w:rsidR="008B3DD3">
        <w:rPr>
          <w:rFonts w:ascii="Calibri" w:hAnsi="Calibri"/>
          <w:sz w:val="22"/>
          <w:szCs w:val="22"/>
        </w:rPr>
        <w:t>0</w:t>
      </w:r>
      <w:r w:rsidRPr="00123C86">
        <w:rPr>
          <w:rFonts w:ascii="Calibri" w:hAnsi="Calibri"/>
          <w:sz w:val="22"/>
          <w:szCs w:val="22"/>
        </w:rPr>
        <w:t xml:space="preserve"> </w:t>
      </w:r>
      <w:r w:rsidR="008B3DD3">
        <w:rPr>
          <w:rFonts w:ascii="Calibri" w:hAnsi="Calibri"/>
          <w:sz w:val="22"/>
          <w:szCs w:val="22"/>
        </w:rPr>
        <w:t>17</w:t>
      </w:r>
      <w:r w:rsidRPr="00123C86">
        <w:rPr>
          <w:rFonts w:ascii="Calibri" w:hAnsi="Calibri"/>
          <w:sz w:val="22"/>
          <w:szCs w:val="22"/>
        </w:rPr>
        <w:t xml:space="preserve"> Praha </w:t>
      </w:r>
      <w:r w:rsidR="008B3DD3">
        <w:rPr>
          <w:rFonts w:ascii="Calibri" w:hAnsi="Calibri"/>
          <w:sz w:val="22"/>
          <w:szCs w:val="22"/>
        </w:rPr>
        <w:t>6</w:t>
      </w:r>
    </w:p>
    <w:p w14:paraId="64364C1D" w14:textId="3D1A2E65" w:rsidR="00123C86" w:rsidRPr="00123C86" w:rsidRDefault="00123C86" w:rsidP="00123C86">
      <w:pPr>
        <w:rPr>
          <w:rFonts w:ascii="Calibri" w:hAnsi="Calibri"/>
          <w:sz w:val="22"/>
          <w:szCs w:val="22"/>
        </w:rPr>
      </w:pPr>
      <w:r w:rsidRPr="00123C86">
        <w:rPr>
          <w:rFonts w:ascii="Calibri" w:hAnsi="Calibri"/>
          <w:sz w:val="22"/>
          <w:szCs w:val="22"/>
        </w:rPr>
        <w:t xml:space="preserve">IČO: </w:t>
      </w:r>
      <w:r w:rsidR="008B3DD3">
        <w:rPr>
          <w:rFonts w:ascii="Calibri" w:hAnsi="Calibri"/>
          <w:sz w:val="22"/>
          <w:szCs w:val="22"/>
        </w:rPr>
        <w:t>257 38 429</w:t>
      </w:r>
    </w:p>
    <w:p w14:paraId="0694470F" w14:textId="734BD0CF" w:rsidR="00123C86" w:rsidRDefault="00123C86" w:rsidP="00123C86">
      <w:pPr>
        <w:rPr>
          <w:rFonts w:ascii="Calibri" w:hAnsi="Calibri"/>
          <w:sz w:val="22"/>
          <w:szCs w:val="22"/>
        </w:rPr>
      </w:pPr>
      <w:r w:rsidRPr="00154F36">
        <w:rPr>
          <w:rFonts w:ascii="Calibri" w:hAnsi="Calibri"/>
          <w:b/>
          <w:sz w:val="22"/>
          <w:szCs w:val="22"/>
        </w:rPr>
        <w:t>zastoupen</w:t>
      </w:r>
      <w:r w:rsidR="00154F36">
        <w:rPr>
          <w:rFonts w:ascii="Calibri" w:hAnsi="Calibri"/>
          <w:b/>
          <w:sz w:val="22"/>
          <w:szCs w:val="22"/>
        </w:rPr>
        <w:t>á</w:t>
      </w:r>
      <w:r w:rsidRPr="00123C86">
        <w:rPr>
          <w:rFonts w:ascii="Calibri" w:hAnsi="Calibri"/>
          <w:sz w:val="22"/>
          <w:szCs w:val="22"/>
        </w:rPr>
        <w:t xml:space="preserve"> </w:t>
      </w:r>
      <w:r w:rsidR="00154F36">
        <w:rPr>
          <w:rFonts w:ascii="Calibri" w:hAnsi="Calibri"/>
          <w:sz w:val="22"/>
          <w:szCs w:val="22"/>
        </w:rPr>
        <w:t xml:space="preserve">na základě plné moci udělené jednatelem </w:t>
      </w:r>
      <w:r w:rsidRPr="00123C86">
        <w:rPr>
          <w:rFonts w:ascii="Calibri" w:hAnsi="Calibri"/>
          <w:sz w:val="22"/>
          <w:szCs w:val="22"/>
        </w:rPr>
        <w:t>společnosti</w:t>
      </w:r>
      <w:r w:rsidR="00154F36">
        <w:rPr>
          <w:rFonts w:ascii="Calibri" w:hAnsi="Calibri"/>
          <w:sz w:val="22"/>
          <w:szCs w:val="22"/>
        </w:rPr>
        <w:t xml:space="preserve"> </w:t>
      </w:r>
      <w:r w:rsidR="00443765">
        <w:rPr>
          <w:rFonts w:ascii="Calibri" w:hAnsi="Calibri"/>
          <w:sz w:val="22"/>
          <w:szCs w:val="22"/>
        </w:rPr>
        <w:t>xxx</w:t>
      </w:r>
      <w:r w:rsidR="00154F36">
        <w:rPr>
          <w:rFonts w:ascii="Calibri" w:hAnsi="Calibri"/>
          <w:sz w:val="22"/>
          <w:szCs w:val="22"/>
        </w:rPr>
        <w:t xml:space="preserve"> ze dne 12. 1. 2024 panem </w:t>
      </w:r>
      <w:r w:rsidR="00443765">
        <w:rPr>
          <w:rFonts w:ascii="Calibri" w:hAnsi="Calibri"/>
          <w:b/>
          <w:sz w:val="22"/>
          <w:szCs w:val="22"/>
        </w:rPr>
        <w:t>xxx</w:t>
      </w:r>
    </w:p>
    <w:p w14:paraId="1212DA37" w14:textId="5D8EBD41" w:rsidR="00123C86" w:rsidRPr="00123C86" w:rsidRDefault="00123C86" w:rsidP="00123C86">
      <w:pPr>
        <w:rPr>
          <w:rFonts w:ascii="Calibri" w:hAnsi="Calibri"/>
          <w:sz w:val="22"/>
          <w:szCs w:val="22"/>
        </w:rPr>
      </w:pPr>
      <w:r w:rsidRPr="00123C86">
        <w:rPr>
          <w:rFonts w:ascii="Calibri" w:hAnsi="Calibri"/>
          <w:sz w:val="22"/>
          <w:szCs w:val="22"/>
        </w:rPr>
        <w:t xml:space="preserve">tel.: </w:t>
      </w:r>
      <w:r w:rsidR="00443765">
        <w:rPr>
          <w:rFonts w:ascii="Calibri" w:hAnsi="Calibri" w:cs="Calibri"/>
          <w:sz w:val="22"/>
          <w:szCs w:val="22"/>
        </w:rPr>
        <w:t>xxx</w:t>
      </w:r>
      <w:r w:rsidRPr="00123C86">
        <w:rPr>
          <w:rFonts w:ascii="Calibri" w:hAnsi="Calibri"/>
          <w:sz w:val="22"/>
          <w:szCs w:val="22"/>
        </w:rPr>
        <w:t xml:space="preserve">, e-mail: </w:t>
      </w:r>
      <w:r w:rsidR="00443765">
        <w:rPr>
          <w:rStyle w:val="object"/>
          <w:rFonts w:ascii="Calibri" w:hAnsi="Calibri" w:cs="Calibri"/>
          <w:bCs/>
          <w:sz w:val="22"/>
          <w:szCs w:val="22"/>
        </w:rPr>
        <w:t>xxx</w:t>
      </w:r>
    </w:p>
    <w:p w14:paraId="35F94617" w14:textId="0629CCEC" w:rsidR="004C3CF8" w:rsidRPr="00123C86" w:rsidRDefault="00123C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23C8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BA73BF" w:rsidRPr="00123C86"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r w:rsidR="00BA73BF" w:rsidRPr="00123C86">
        <w:rPr>
          <w:rFonts w:ascii="Calibri" w:eastAsia="Calibri" w:hAnsi="Calibri" w:cs="Calibri"/>
          <w:b/>
          <w:color w:val="000000"/>
          <w:sz w:val="22"/>
          <w:szCs w:val="22"/>
        </w:rPr>
        <w:t>nájemce</w:t>
      </w:r>
      <w:r w:rsidR="00BA73BF" w:rsidRPr="00123C86">
        <w:rPr>
          <w:rFonts w:ascii="Calibri" w:eastAsia="Calibri" w:hAnsi="Calibri" w:cs="Calibri"/>
          <w:color w:val="000000"/>
          <w:sz w:val="22"/>
          <w:szCs w:val="22"/>
        </w:rPr>
        <w:t>“)</w:t>
      </w:r>
    </w:p>
    <w:p w14:paraId="3702BAFB" w14:textId="77777777" w:rsidR="004C3CF8" w:rsidRDefault="004C3C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ECC1070" w14:textId="77777777" w:rsidR="004C3CF8" w:rsidRDefault="00BA73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jako smluvní strany uzavřely níže uvedeného dne, měsíce a roku tuto</w:t>
      </w:r>
    </w:p>
    <w:p w14:paraId="759F900C" w14:textId="681524E0" w:rsidR="004C3CF8" w:rsidRPr="00797796" w:rsidRDefault="00BA73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797796">
        <w:rPr>
          <w:rFonts w:ascii="Calibri" w:eastAsia="Calibri" w:hAnsi="Calibri" w:cs="Calibri"/>
          <w:b/>
          <w:color w:val="000000"/>
          <w:sz w:val="24"/>
          <w:szCs w:val="24"/>
        </w:rPr>
        <w:t xml:space="preserve">smlouvu o nájmu nemovité věci za </w:t>
      </w:r>
      <w:r w:rsidRPr="00123C86">
        <w:rPr>
          <w:rFonts w:ascii="Calibri" w:eastAsia="Calibri" w:hAnsi="Calibri" w:cs="Calibri"/>
          <w:b/>
          <w:color w:val="000000"/>
          <w:sz w:val="24"/>
          <w:szCs w:val="24"/>
        </w:rPr>
        <w:t>účelem natáčení:</w:t>
      </w:r>
    </w:p>
    <w:p w14:paraId="056603D7" w14:textId="77777777" w:rsidR="004C3CF8" w:rsidRDefault="00BA73BF">
      <w:pPr>
        <w:keepNext/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I.</w:t>
      </w:r>
    </w:p>
    <w:p w14:paraId="35ADFCBD" w14:textId="77777777" w:rsidR="004C3CF8" w:rsidRDefault="00BA73B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Úvodní ustanovení</w:t>
      </w:r>
    </w:p>
    <w:p w14:paraId="6EC5A9E3" w14:textId="1096E7DB" w:rsidR="004C3CF8" w:rsidRDefault="00BA73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30j0zll" w:colFirst="0" w:colLast="0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 xml:space="preserve">Pronajímatel je příslušný hospodařit s nemovitostí ve vlastnictví státu </w:t>
      </w:r>
      <w:r w:rsidR="00123C86">
        <w:rPr>
          <w:rFonts w:ascii="Calibri" w:eastAsia="Calibri" w:hAnsi="Calibri" w:cs="Calibri"/>
          <w:color w:val="000000"/>
          <w:sz w:val="22"/>
          <w:szCs w:val="22"/>
        </w:rPr>
        <w:t xml:space="preserve">státního hradu Kunětická hora, 533 52 Staré Hradiště, katastrální území obce Ráby. </w:t>
      </w:r>
      <w:bookmarkStart w:id="1" w:name="1fob9te" w:colFirst="0" w:colLast="0"/>
      <w:bookmarkStart w:id="2" w:name="3znysh7" w:colFirst="0" w:colLast="0"/>
      <w:bookmarkEnd w:id="1"/>
      <w:bookmarkEnd w:id="2"/>
      <w:r w:rsidRPr="00123C86">
        <w:rPr>
          <w:rFonts w:ascii="Calibri" w:eastAsia="Calibri" w:hAnsi="Calibri" w:cs="Calibri"/>
          <w:color w:val="000000"/>
          <w:sz w:val="22"/>
          <w:szCs w:val="22"/>
        </w:rPr>
        <w:t xml:space="preserve">K nemovitosti náleží </w:t>
      </w:r>
      <w:r w:rsidR="00123C86">
        <w:rPr>
          <w:rFonts w:ascii="Calibri" w:eastAsia="Calibri" w:hAnsi="Calibri" w:cs="Calibri"/>
          <w:color w:val="000000"/>
          <w:sz w:val="22"/>
          <w:szCs w:val="22"/>
        </w:rPr>
        <w:t>objekty tvořící areál státního hradu Kunětická hora a pozemkové parcely zapsané na listu vlastnictví číslo 162.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(dále též jen „nemovitost“ nebo „objekt“)</w:t>
      </w:r>
    </w:p>
    <w:p w14:paraId="30135164" w14:textId="77777777" w:rsidR="004C3CF8" w:rsidRDefault="00BA73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Pronájmem nemovitosti bude dosaženo účelnějšího nebo hospodárnějšího využití věci při zachování hlavního účelu, ke kterému pronajímateli slouží. S ohledem na povahu nemovitosti nebyla nemovitost nabízena organizačním složkám a ostatním státním organizacím.</w:t>
      </w:r>
    </w:p>
    <w:p w14:paraId="068F9E6F" w14:textId="77777777" w:rsidR="004C3CF8" w:rsidRDefault="00BA73BF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II.</w:t>
      </w:r>
    </w:p>
    <w:p w14:paraId="4EBDCC49" w14:textId="77777777" w:rsidR="004C3CF8" w:rsidRDefault="00BA73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Předmět smlouvy</w:t>
      </w:r>
    </w:p>
    <w:p w14:paraId="6252DCB1" w14:textId="13CB73F3" w:rsidR="004C3CF8" w:rsidRDefault="00BA73B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Pronajímatel přenechává nájemci v souladu s touto smlouvou a obecně závaznými právními předpisy k dočasnému užívání</w:t>
      </w:r>
      <w:r w:rsidR="008306C8">
        <w:rPr>
          <w:rFonts w:ascii="Calibri" w:eastAsia="Calibri" w:hAnsi="Calibri" w:cs="Calibri"/>
          <w:color w:val="000000"/>
          <w:sz w:val="22"/>
          <w:szCs w:val="22"/>
        </w:rPr>
        <w:t xml:space="preserve"> – poskytnutí prostor pro natáčení</w:t>
      </w:r>
      <w:r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14:paraId="1FE959C7" w14:textId="6E099A3A" w:rsidR="004C3CF8" w:rsidRDefault="00BA73B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část nemovitosti, a to</w:t>
      </w:r>
      <w:r w:rsidR="008306C8">
        <w:rPr>
          <w:rFonts w:ascii="Calibri" w:eastAsia="Calibri" w:hAnsi="Calibri" w:cs="Calibri"/>
          <w:color w:val="000000"/>
          <w:sz w:val="22"/>
          <w:szCs w:val="22"/>
        </w:rPr>
        <w:t xml:space="preserve"> prostor přírodního amfiteátru pod hradem – sad s loukou, prostor zpevněné plochy parkoviště, zpevněné plochy za parkovištěm u objektu sociálních zařízení, objekt sociálních zařízení s vybavením v přírodním amfiteátru, vymezenou část přístupové cesty na hrad, prostor s 5. a 6. bránou, venkovní hradní nádvoří, palácové nádvoří, prostory jižního křídla paláce v 1.</w:t>
      </w:r>
      <w:r w:rsidR="00AA782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8306C8">
        <w:rPr>
          <w:rFonts w:ascii="Calibri" w:eastAsia="Calibri" w:hAnsi="Calibri" w:cs="Calibri"/>
          <w:color w:val="000000"/>
          <w:sz w:val="22"/>
          <w:szCs w:val="22"/>
        </w:rPr>
        <w:t xml:space="preserve">patře – chodba s kruhovou místností ve věži a sklepní prostory jižního křídla nádvoří. Vše dle rozpisu, který je přílohou číslo </w:t>
      </w:r>
      <w:r w:rsidR="000A7CEC">
        <w:rPr>
          <w:rFonts w:ascii="Calibri" w:eastAsia="Calibri" w:hAnsi="Calibri" w:cs="Calibri"/>
          <w:color w:val="000000"/>
          <w:sz w:val="22"/>
          <w:szCs w:val="22"/>
        </w:rPr>
        <w:t>2</w:t>
      </w:r>
      <w:r w:rsidR="008306C8">
        <w:rPr>
          <w:rFonts w:ascii="Calibri" w:eastAsia="Calibri" w:hAnsi="Calibri" w:cs="Calibri"/>
          <w:color w:val="000000"/>
          <w:sz w:val="22"/>
          <w:szCs w:val="22"/>
        </w:rPr>
        <w:t xml:space="preserve"> této smlouvy.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0324DD36" w14:textId="07F2E439" w:rsidR="004C3CF8" w:rsidRDefault="00BA73BF">
      <w:pPr>
        <w:pBdr>
          <w:top w:val="nil"/>
          <w:left w:val="nil"/>
          <w:bottom w:val="nil"/>
          <w:right w:val="nil"/>
          <w:between w:val="nil"/>
        </w:pBdr>
        <w:ind w:left="148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(dále jen „předmět nájmu“)</w:t>
      </w:r>
    </w:p>
    <w:p w14:paraId="3847113F" w14:textId="1F6349B6" w:rsidR="004C3CF8" w:rsidRDefault="00BA73BF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a nájemce předmět nájmu přijímá do užívání a zavazuje se za to pronajímateli zaplatit nájemné</w:t>
      </w:r>
      <w:r w:rsidR="008306C8">
        <w:rPr>
          <w:rFonts w:ascii="Calibri" w:eastAsia="Calibri" w:hAnsi="Calibri" w:cs="Calibri"/>
          <w:color w:val="000000"/>
          <w:sz w:val="22"/>
          <w:szCs w:val="22"/>
        </w:rPr>
        <w:t xml:space="preserve"> a úhradu za poskytnuté služby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196D734F" w14:textId="3DFFF433" w:rsidR="004C3CF8" w:rsidRDefault="00BA73B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O předání předmětu nájmu nájemcem je nutno sepsat zápis, ve kterém se uvede stav předávaného předmětu nájmu a další rozhodné skutečnosti. V zápise budou také uvedeny bližší podmínky pro výkon činností nájemce a zajištění BOZP a PO a stane se součástí této smlouvy.</w:t>
      </w:r>
    </w:p>
    <w:p w14:paraId="684B8151" w14:textId="77777777" w:rsidR="00C71FEB" w:rsidRDefault="00C71F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D29F0AA" w14:textId="77777777" w:rsidR="004C3CF8" w:rsidRDefault="00BA73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III.</w:t>
      </w:r>
    </w:p>
    <w:p w14:paraId="3D0262B4" w14:textId="77777777" w:rsidR="004C3CF8" w:rsidRDefault="00BA73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Účel nájmu</w:t>
      </w:r>
    </w:p>
    <w:p w14:paraId="1F916F08" w14:textId="461BEE7B" w:rsidR="004C3CF8" w:rsidRDefault="00BA73B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Předmět nájmu bude nájemcem</w:t>
      </w:r>
      <w:bookmarkStart w:id="3" w:name="2et92p0" w:colFirst="0" w:colLast="0"/>
      <w:bookmarkEnd w:id="3"/>
      <w:r>
        <w:rPr>
          <w:rFonts w:ascii="Calibri" w:eastAsia="Calibri" w:hAnsi="Calibri" w:cs="Calibri"/>
          <w:color w:val="000000"/>
          <w:sz w:val="22"/>
          <w:szCs w:val="22"/>
        </w:rPr>
        <w:t xml:space="preserve"> užíván výlučně k následujícímu účelu a činnostem:</w:t>
      </w:r>
      <w:r>
        <w:rPr>
          <w:rFonts w:ascii="Calibri" w:eastAsia="Calibri" w:hAnsi="Calibri" w:cs="Calibri"/>
          <w:color w:val="000000"/>
          <w:sz w:val="22"/>
          <w:szCs w:val="22"/>
        </w:rPr>
        <w:br/>
      </w:r>
      <w:r w:rsidRPr="002D499C">
        <w:rPr>
          <w:rFonts w:ascii="Calibri" w:eastAsia="Calibri" w:hAnsi="Calibri" w:cs="Calibri"/>
          <w:i/>
          <w:color w:val="000000"/>
          <w:sz w:val="22"/>
          <w:szCs w:val="22"/>
        </w:rPr>
        <w:t xml:space="preserve">- filmování, natáčení, stavba dekorací za účelem vytvoření </w:t>
      </w:r>
      <w:r w:rsidR="002D499C" w:rsidRPr="002D499C">
        <w:rPr>
          <w:rFonts w:ascii="Calibri" w:eastAsia="Calibri" w:hAnsi="Calibri" w:cs="Calibri"/>
          <w:i/>
          <w:color w:val="000000"/>
          <w:sz w:val="22"/>
          <w:szCs w:val="22"/>
        </w:rPr>
        <w:t>českého filmu</w:t>
      </w:r>
      <w:r w:rsidR="00CF0E17"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r w:rsidRPr="002D499C">
        <w:rPr>
          <w:rFonts w:ascii="Calibri" w:eastAsia="Calibri" w:hAnsi="Calibri" w:cs="Calibri"/>
          <w:i/>
          <w:color w:val="000000"/>
          <w:sz w:val="22"/>
          <w:szCs w:val="22"/>
        </w:rPr>
        <w:t xml:space="preserve">s názvem </w:t>
      </w:r>
      <w:r w:rsidR="002D499C" w:rsidRPr="002D499C">
        <w:rPr>
          <w:rFonts w:ascii="Calibri" w:eastAsia="Calibri" w:hAnsi="Calibri" w:cs="Calibri"/>
          <w:i/>
          <w:color w:val="000000"/>
          <w:sz w:val="22"/>
          <w:szCs w:val="22"/>
        </w:rPr>
        <w:t>„Léto s Evženem“</w:t>
      </w:r>
      <w:r w:rsidRPr="002D499C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295D3F01" w14:textId="77777777" w:rsidR="004C3CF8" w:rsidRPr="002D499C" w:rsidRDefault="00BA73B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 porušení povinnosti užívat předmět nájmu ke stanovenému účelu je nájemce povinen zaplatit smluvní </w:t>
      </w:r>
      <w:r w:rsidRPr="002D499C">
        <w:rPr>
          <w:rFonts w:ascii="Calibri" w:eastAsia="Calibri" w:hAnsi="Calibri" w:cs="Calibri"/>
          <w:color w:val="000000"/>
          <w:sz w:val="22"/>
          <w:szCs w:val="22"/>
        </w:rPr>
        <w:t xml:space="preserve">pokutu ve výši </w:t>
      </w:r>
      <w:r w:rsidRPr="002D499C">
        <w:rPr>
          <w:rFonts w:ascii="Calibri" w:eastAsia="Calibri" w:hAnsi="Calibri" w:cs="Calibri"/>
          <w:b/>
          <w:color w:val="000000"/>
          <w:sz w:val="22"/>
          <w:szCs w:val="22"/>
        </w:rPr>
        <w:t>10 000 Kč</w:t>
      </w:r>
      <w:r w:rsidRPr="002D499C">
        <w:rPr>
          <w:rFonts w:ascii="Calibri" w:eastAsia="Calibri" w:hAnsi="Calibri" w:cs="Calibri"/>
          <w:color w:val="000000"/>
          <w:sz w:val="22"/>
          <w:szCs w:val="22"/>
        </w:rPr>
        <w:t xml:space="preserve"> za každý takovýto případ.</w:t>
      </w:r>
    </w:p>
    <w:p w14:paraId="7946CC92" w14:textId="0BF19C37" w:rsidR="004C3CF8" w:rsidRPr="002D499C" w:rsidRDefault="002D499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D499C">
        <w:rPr>
          <w:rFonts w:ascii="Calibri" w:eastAsia="Calibri" w:hAnsi="Calibri" w:cs="Calibri"/>
          <w:color w:val="000000"/>
          <w:sz w:val="22"/>
          <w:szCs w:val="22"/>
        </w:rPr>
        <w:t>Záběry a případně f</w:t>
      </w:r>
      <w:r w:rsidR="00BA73BF" w:rsidRPr="002D499C">
        <w:rPr>
          <w:rFonts w:ascii="Calibri" w:eastAsia="Calibri" w:hAnsi="Calibri" w:cs="Calibri"/>
          <w:color w:val="000000"/>
          <w:sz w:val="22"/>
          <w:szCs w:val="22"/>
        </w:rPr>
        <w:t xml:space="preserve">otografie pořízené dle této smlouvy budou využity výhradně k účelu </w:t>
      </w:r>
      <w:r w:rsidRPr="002D499C">
        <w:rPr>
          <w:rFonts w:ascii="Calibri" w:eastAsia="Calibri" w:hAnsi="Calibri" w:cs="Calibri"/>
          <w:color w:val="000000"/>
          <w:sz w:val="22"/>
          <w:szCs w:val="22"/>
        </w:rPr>
        <w:t xml:space="preserve">vytvoření uvedeného filmu. </w:t>
      </w:r>
      <w:r w:rsidR="00BA73BF" w:rsidRPr="002D499C">
        <w:rPr>
          <w:rFonts w:ascii="Calibri" w:eastAsia="Calibri" w:hAnsi="Calibri" w:cs="Calibri"/>
          <w:color w:val="000000"/>
          <w:sz w:val="22"/>
          <w:szCs w:val="22"/>
        </w:rPr>
        <w:t xml:space="preserve">K jinému účelu mohou být </w:t>
      </w:r>
      <w:r w:rsidRPr="002D499C">
        <w:rPr>
          <w:rFonts w:ascii="Calibri" w:eastAsia="Calibri" w:hAnsi="Calibri" w:cs="Calibri"/>
          <w:color w:val="000000"/>
          <w:sz w:val="22"/>
          <w:szCs w:val="22"/>
        </w:rPr>
        <w:t xml:space="preserve">záběry a </w:t>
      </w:r>
      <w:r w:rsidR="00BA73BF" w:rsidRPr="002D499C">
        <w:rPr>
          <w:rFonts w:ascii="Calibri" w:eastAsia="Calibri" w:hAnsi="Calibri" w:cs="Calibri"/>
          <w:color w:val="000000"/>
          <w:sz w:val="22"/>
          <w:szCs w:val="22"/>
        </w:rPr>
        <w:t xml:space="preserve">fotografie využity výhradně na základě předchozího písemného souhlasu NPÚ a na základě samostatné smlouvy uzavřené smluvními stranami, které upraví podmínky jejich využití pro dohodnutý účel. Pro případ porušení tohoto smluvního ujednání si účastníci této smlouvy sjednávají pokutu ve výši </w:t>
      </w:r>
      <w:r w:rsidRPr="002D499C">
        <w:rPr>
          <w:rFonts w:ascii="Calibri" w:eastAsia="Calibri" w:hAnsi="Calibri" w:cs="Calibri"/>
          <w:color w:val="000000"/>
          <w:sz w:val="22"/>
          <w:szCs w:val="22"/>
        </w:rPr>
        <w:t>2</w:t>
      </w:r>
      <w:r w:rsidR="00BA73BF" w:rsidRPr="002D499C">
        <w:rPr>
          <w:rFonts w:ascii="Calibri" w:eastAsia="Calibri" w:hAnsi="Calibri" w:cs="Calibri"/>
          <w:color w:val="000000"/>
          <w:sz w:val="22"/>
          <w:szCs w:val="22"/>
        </w:rPr>
        <w:t>0 000 Kč za každé jednotlivé porušení</w:t>
      </w:r>
      <w:r w:rsidR="00BA73BF" w:rsidRPr="002D499C"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</w:p>
    <w:p w14:paraId="2C22FA9F" w14:textId="77777777" w:rsidR="004C3CF8" w:rsidRDefault="00BA73B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prohlašuje, že je mu stav předmětu nájmu znám, pro účel této smlouvy je vhodný a v takovémto stavu jej k dočasnému užívání přijímá.</w:t>
      </w:r>
    </w:p>
    <w:p w14:paraId="54F569B9" w14:textId="77777777" w:rsidR="004C3CF8" w:rsidRDefault="004C3C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5E5AE61" w14:textId="77777777" w:rsidR="004C3CF8" w:rsidRDefault="00BA73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IV.</w:t>
      </w:r>
    </w:p>
    <w:p w14:paraId="375FA6B7" w14:textId="77777777" w:rsidR="004C3CF8" w:rsidRDefault="00BA73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Nájemné, jeho splatnost a způsob úhrady</w:t>
      </w:r>
    </w:p>
    <w:p w14:paraId="6B8B8E66" w14:textId="77777777" w:rsidR="004C3CF8" w:rsidRDefault="00BA73B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 je stanoven ve výši v místě a v čase pro daný účel obvyklé.</w:t>
      </w:r>
    </w:p>
    <w:p w14:paraId="63E2C9AD" w14:textId="5628F079" w:rsidR="004C3CF8" w:rsidRDefault="00BA73B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Nájemné za </w:t>
      </w:r>
      <w:r w:rsidRPr="00BF251E">
        <w:rPr>
          <w:rFonts w:ascii="Calibri" w:eastAsia="Calibri" w:hAnsi="Calibri" w:cs="Calibri"/>
          <w:color w:val="000000"/>
          <w:sz w:val="22"/>
          <w:szCs w:val="22"/>
        </w:rPr>
        <w:t xml:space="preserve">sjednanou dobu nájmu </w:t>
      </w:r>
      <w:r w:rsidR="000A13A9" w:rsidRPr="00BF251E">
        <w:rPr>
          <w:rFonts w:ascii="Calibri" w:eastAsia="Calibri" w:hAnsi="Calibri" w:cs="Calibri"/>
          <w:color w:val="000000"/>
          <w:sz w:val="22"/>
          <w:szCs w:val="22"/>
        </w:rPr>
        <w:t xml:space="preserve">včetně poskytnutých služeb a paušální úhrady za spotřebu el. energie a vodné </w:t>
      </w:r>
      <w:r w:rsidRPr="00BF251E">
        <w:rPr>
          <w:rFonts w:ascii="Calibri" w:eastAsia="Calibri" w:hAnsi="Calibri" w:cs="Calibri"/>
          <w:color w:val="000000"/>
          <w:sz w:val="22"/>
          <w:szCs w:val="22"/>
        </w:rPr>
        <w:t>činí  </w:t>
      </w:r>
      <w:r w:rsidR="00BE6BD9" w:rsidRPr="00BF251E">
        <w:rPr>
          <w:rFonts w:ascii="Calibri" w:eastAsia="Calibri" w:hAnsi="Calibri" w:cs="Calibri"/>
          <w:color w:val="000000"/>
          <w:sz w:val="22"/>
          <w:szCs w:val="22"/>
        </w:rPr>
        <w:t>440.000,-Kč</w:t>
      </w:r>
      <w:r w:rsidRPr="00BF251E">
        <w:rPr>
          <w:rFonts w:ascii="Calibri" w:eastAsia="Calibri" w:hAnsi="Calibri" w:cs="Calibri"/>
          <w:color w:val="000000"/>
          <w:sz w:val="22"/>
          <w:szCs w:val="22"/>
        </w:rPr>
        <w:t xml:space="preserve"> bez DPH, DPH </w:t>
      </w:r>
      <w:r w:rsidR="00BE6BD9" w:rsidRPr="00BF251E">
        <w:rPr>
          <w:rFonts w:ascii="Calibri" w:eastAsia="Calibri" w:hAnsi="Calibri" w:cs="Calibri"/>
          <w:color w:val="000000"/>
          <w:sz w:val="22"/>
          <w:szCs w:val="22"/>
        </w:rPr>
        <w:t>21</w:t>
      </w:r>
      <w:r w:rsidRPr="00BF251E">
        <w:rPr>
          <w:rFonts w:ascii="Calibri" w:eastAsia="Calibri" w:hAnsi="Calibri" w:cs="Calibri"/>
          <w:color w:val="000000"/>
          <w:sz w:val="22"/>
          <w:szCs w:val="22"/>
        </w:rPr>
        <w:t> %</w:t>
      </w:r>
      <w:r w:rsidR="00BE6BD9" w:rsidRPr="00BF251E">
        <w:rPr>
          <w:rFonts w:ascii="Calibri" w:eastAsia="Calibri" w:hAnsi="Calibri" w:cs="Calibri"/>
          <w:color w:val="000000"/>
          <w:sz w:val="22"/>
          <w:szCs w:val="22"/>
        </w:rPr>
        <w:t xml:space="preserve"> = 25.200,-Kč</w:t>
      </w:r>
      <w:r w:rsidRPr="00BF251E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Pr="00BF251E">
        <w:rPr>
          <w:rFonts w:ascii="Calibri" w:eastAsia="Calibri" w:hAnsi="Calibri" w:cs="Calibri"/>
          <w:b/>
          <w:color w:val="000000"/>
          <w:sz w:val="22"/>
          <w:szCs w:val="22"/>
        </w:rPr>
        <w:t xml:space="preserve">celkem </w:t>
      </w:r>
      <w:r w:rsidR="00135093" w:rsidRPr="00BF251E">
        <w:rPr>
          <w:rFonts w:ascii="Calibri" w:eastAsia="Calibri" w:hAnsi="Calibri" w:cs="Calibri"/>
          <w:b/>
          <w:color w:val="000000"/>
          <w:sz w:val="22"/>
          <w:szCs w:val="22"/>
        </w:rPr>
        <w:t>465.200,-Kč</w:t>
      </w:r>
      <w:r w:rsidRPr="00BF251E">
        <w:rPr>
          <w:rFonts w:ascii="Calibri" w:eastAsia="Calibri" w:hAnsi="Calibri" w:cs="Calibri"/>
          <w:b/>
          <w:color w:val="000000"/>
          <w:sz w:val="22"/>
          <w:szCs w:val="22"/>
        </w:rPr>
        <w:t xml:space="preserve"> včetně DPH</w:t>
      </w:r>
      <w:r w:rsidRPr="00BF251E"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r>
        <w:rPr>
          <w:rFonts w:ascii="Calibri" w:eastAsia="Calibri" w:hAnsi="Calibri" w:cs="Calibri"/>
          <w:color w:val="000000"/>
          <w:sz w:val="22"/>
          <w:szCs w:val="22"/>
        </w:rPr>
        <w:t>dále jen „nájemné“).</w:t>
      </w:r>
      <w:r w:rsidR="002D499C">
        <w:rPr>
          <w:rFonts w:ascii="Calibri" w:eastAsia="Calibri" w:hAnsi="Calibri" w:cs="Calibri"/>
          <w:color w:val="000000"/>
          <w:sz w:val="22"/>
          <w:szCs w:val="22"/>
        </w:rPr>
        <w:t xml:space="preserve"> Rozpis nájemného a úhrad za služby k nájmu je uveden v tabulce, která je přílohou č.</w:t>
      </w:r>
      <w:r w:rsidR="00BF251E">
        <w:rPr>
          <w:rFonts w:ascii="Calibri" w:eastAsia="Calibri" w:hAnsi="Calibri" w:cs="Calibri"/>
          <w:color w:val="000000"/>
          <w:sz w:val="22"/>
          <w:szCs w:val="22"/>
        </w:rPr>
        <w:t xml:space="preserve"> 3</w:t>
      </w:r>
      <w:r w:rsidR="002D499C">
        <w:rPr>
          <w:rFonts w:ascii="Calibri" w:eastAsia="Calibri" w:hAnsi="Calibri" w:cs="Calibri"/>
          <w:color w:val="000000"/>
          <w:sz w:val="22"/>
          <w:szCs w:val="22"/>
        </w:rPr>
        <w:t xml:space="preserve"> této smlouvy.</w:t>
      </w:r>
    </w:p>
    <w:p w14:paraId="0ED3510F" w14:textId="4F0F457A" w:rsidR="004C3CF8" w:rsidRPr="002D499C" w:rsidRDefault="00BA73B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D499C">
        <w:rPr>
          <w:rFonts w:ascii="Calibri" w:eastAsia="Calibri" w:hAnsi="Calibri" w:cs="Calibri"/>
          <w:color w:val="000000"/>
          <w:sz w:val="22"/>
          <w:szCs w:val="22"/>
        </w:rPr>
        <w:t>Nájemné je splatné na účet pronajímatele uvedený v záhlaví této smlouvy nejpozději do započetí doby nájmu. Nájemné je splatné na základě daňového dokladu-faktury vystavené pronajímatelem se splatností nejpozději do započetí doby nájmu; Faktura může být vyhotovena v elektronické podobě a zaslána elektronicky. Nájemné se považuje za uhrazené dnem připsání částky nájemného na účet pronajímatele. V případě prodlení s platbami nájemného či služeb je nájemce povinen uhradit smluvní pokutu ve výši 0,</w:t>
      </w:r>
      <w:r w:rsidR="00F43C0D" w:rsidRPr="002D499C">
        <w:rPr>
          <w:rFonts w:ascii="Calibri" w:eastAsia="Calibri" w:hAnsi="Calibri" w:cs="Calibri"/>
          <w:color w:val="000000"/>
          <w:sz w:val="22"/>
          <w:szCs w:val="22"/>
        </w:rPr>
        <w:t>25</w:t>
      </w:r>
      <w:r w:rsidRPr="002D499C">
        <w:rPr>
          <w:rFonts w:ascii="Calibri" w:eastAsia="Calibri" w:hAnsi="Calibri" w:cs="Calibri"/>
          <w:color w:val="000000"/>
          <w:sz w:val="22"/>
          <w:szCs w:val="22"/>
        </w:rPr>
        <w:t xml:space="preserve"> % z dlužné částky včetně DPH za každý započatý den prodlení. </w:t>
      </w:r>
    </w:p>
    <w:p w14:paraId="5BD95762" w14:textId="77777777" w:rsidR="004C3CF8" w:rsidRPr="002D499C" w:rsidRDefault="00BA73B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D499C">
        <w:rPr>
          <w:rFonts w:ascii="Calibri" w:eastAsia="Calibri" w:hAnsi="Calibri" w:cs="Calibri"/>
          <w:color w:val="000000"/>
          <w:sz w:val="22"/>
          <w:szCs w:val="22"/>
        </w:rPr>
        <w:t>V případě ukončení nájmu je nájemce povinen hradit nájemné až do okamžiku vyklizení a předání předmětu nájmu pronajímateli.</w:t>
      </w:r>
    </w:p>
    <w:p w14:paraId="06CAAF6D" w14:textId="77777777" w:rsidR="004C3CF8" w:rsidRDefault="004C3CF8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AE4121F" w14:textId="77777777" w:rsidR="004C3CF8" w:rsidRDefault="00BA73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V.</w:t>
      </w:r>
    </w:p>
    <w:p w14:paraId="2A980415" w14:textId="77777777" w:rsidR="004C3CF8" w:rsidRDefault="00BA73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Služby související s nájemním vztahem, jejich cena a splatnost</w:t>
      </w:r>
    </w:p>
    <w:p w14:paraId="24E164C9" w14:textId="77777777" w:rsidR="004C3CF8" w:rsidRDefault="00BA73B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 souvislosti s pronájmem poskytuje pronajímatel nájemci tyto služby (dále jen „služby“)</w:t>
      </w:r>
      <w:bookmarkStart w:id="4" w:name="tyjcwt" w:colFirst="0" w:colLast="0"/>
      <w:bookmarkEnd w:id="4"/>
      <w:r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14:paraId="75E42D9C" w14:textId="77777777" w:rsidR="004C3CF8" w:rsidRDefault="00BA73B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- el. energie, </w:t>
      </w:r>
    </w:p>
    <w:p w14:paraId="4DB6BB86" w14:textId="77777777" w:rsidR="004C3CF8" w:rsidRDefault="00BA73B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voda</w:t>
      </w:r>
    </w:p>
    <w:p w14:paraId="7644D546" w14:textId="77777777" w:rsidR="004C3CF8" w:rsidRDefault="00BA73B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Způsob vyúčtování těchto služeb:</w:t>
      </w:r>
    </w:p>
    <w:p w14:paraId="49B6D737" w14:textId="1FC4A979" w:rsidR="004C3CF8" w:rsidRDefault="00BA73B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el. energie - paušál </w:t>
      </w:r>
    </w:p>
    <w:p w14:paraId="066B2B55" w14:textId="29B9004A" w:rsidR="004C3CF8" w:rsidRDefault="00BA73B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voda - paušál </w:t>
      </w:r>
    </w:p>
    <w:p w14:paraId="273FF56D" w14:textId="2D5BB21A" w:rsidR="004C3CF8" w:rsidRPr="009F245F" w:rsidRDefault="00BA73BF" w:rsidP="009F245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F245F">
        <w:rPr>
          <w:rFonts w:ascii="Calibri" w:eastAsia="Calibri" w:hAnsi="Calibri" w:cs="Calibri"/>
          <w:color w:val="000000"/>
          <w:sz w:val="22"/>
          <w:szCs w:val="22"/>
        </w:rPr>
        <w:t>Cena služeb</w:t>
      </w:r>
      <w:r w:rsidR="009F245F" w:rsidRPr="009F245F">
        <w:rPr>
          <w:rFonts w:ascii="Calibri" w:eastAsia="Calibri" w:hAnsi="Calibri" w:cs="Calibri"/>
          <w:color w:val="000000"/>
          <w:sz w:val="22"/>
          <w:szCs w:val="22"/>
        </w:rPr>
        <w:t xml:space="preserve"> k nájmu včetně el. energie a vodného byla stanovena na 10.000,-Kč/den.</w:t>
      </w:r>
      <w:r w:rsidR="009F245F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5BB7293E" w14:textId="6092002E" w:rsidR="004C3CF8" w:rsidRPr="009F245F" w:rsidRDefault="00BA73B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F245F">
        <w:rPr>
          <w:rFonts w:ascii="Calibri" w:eastAsia="Calibri" w:hAnsi="Calibri" w:cs="Calibri"/>
          <w:color w:val="000000"/>
          <w:sz w:val="22"/>
          <w:szCs w:val="22"/>
        </w:rPr>
        <w:t>Úhrada za služby je splatná na základě faktury vystavené pronajímatelem</w:t>
      </w:r>
      <w:r w:rsidR="009F245F" w:rsidRPr="009F245F">
        <w:rPr>
          <w:rFonts w:ascii="Calibri" w:eastAsia="Calibri" w:hAnsi="Calibri" w:cs="Calibri"/>
          <w:color w:val="000000"/>
          <w:sz w:val="22"/>
          <w:szCs w:val="22"/>
        </w:rPr>
        <w:t xml:space="preserve"> a je </w:t>
      </w:r>
      <w:r w:rsidRPr="009F245F">
        <w:rPr>
          <w:rFonts w:ascii="Calibri" w:eastAsia="Calibri" w:hAnsi="Calibri" w:cs="Calibri"/>
          <w:color w:val="000000"/>
          <w:sz w:val="22"/>
          <w:szCs w:val="22"/>
        </w:rPr>
        <w:t xml:space="preserve">součástí nájemného dle čl. IV. odst. 2 této smlouvy. </w:t>
      </w:r>
    </w:p>
    <w:p w14:paraId="10948F50" w14:textId="33FB21C1" w:rsidR="004C3CF8" w:rsidRPr="009F245F" w:rsidRDefault="00BA73B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F245F">
        <w:rPr>
          <w:rFonts w:ascii="Calibri" w:eastAsia="Calibri" w:hAnsi="Calibri" w:cs="Calibri"/>
          <w:color w:val="000000"/>
          <w:sz w:val="22"/>
          <w:szCs w:val="22"/>
        </w:rPr>
        <w:t xml:space="preserve">Dojde-li v souvislosti s realizací nájemního vztahu dle této smlouvy k výkonu práce zaměstnanců pronajímatele nad jejich stanovenou pracovní dobu anebo nad rámec jejich běžné pracovní činnosti (např. při dozoru, úklidu apod.) a pronajímatel jim jako jejich zaměstnavatel poskytne za tuto práci </w:t>
      </w:r>
      <w:r w:rsidR="006B2237" w:rsidRPr="009F245F">
        <w:rPr>
          <w:rFonts w:ascii="Calibri" w:eastAsia="Calibri" w:hAnsi="Calibri" w:cs="Calibri"/>
          <w:color w:val="000000"/>
          <w:sz w:val="22"/>
          <w:szCs w:val="22"/>
        </w:rPr>
        <w:t>plat,</w:t>
      </w:r>
      <w:r w:rsidRPr="009F245F">
        <w:rPr>
          <w:rFonts w:ascii="Calibri" w:eastAsia="Calibri" w:hAnsi="Calibri" w:cs="Calibri"/>
          <w:color w:val="000000"/>
          <w:sz w:val="22"/>
          <w:szCs w:val="22"/>
        </w:rPr>
        <w:t xml:space="preserve"> zavazuje se nájemce takto vynaložené náklady (tzn. mzdové a ostatní s tím související náklady) pronajímateli uhradit, a to na základě vyúčtování předloženého pronajímatelem, které bude obsahovat specifikaci zaměstnance, jeho činnosti pro nájemce a výši nákladů. Splatnost těchto nákladů se sjednává </w:t>
      </w:r>
      <w:r w:rsidRPr="009F245F">
        <w:rPr>
          <w:rFonts w:ascii="Calibri" w:eastAsia="Calibri" w:hAnsi="Calibri" w:cs="Calibri"/>
          <w:color w:val="000000"/>
          <w:sz w:val="22"/>
          <w:szCs w:val="22"/>
        </w:rPr>
        <w:lastRenderedPageBreak/>
        <w:t>do 10 dnů od doručení vyúčtování. Po dohodě s pronajímatelem může nájemce uzavřít se zaměstnanci pronajímatele samostatné dohody, podle kterých těmto zaměstnancům uhradí jejich odměnu přímo.</w:t>
      </w:r>
    </w:p>
    <w:p w14:paraId="2E4A9A53" w14:textId="77777777" w:rsidR="004C3CF8" w:rsidRDefault="004C3C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7F0F26B5" w14:textId="77777777" w:rsidR="004C3CF8" w:rsidRPr="000A13A9" w:rsidRDefault="00BA73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0A13A9">
        <w:rPr>
          <w:rFonts w:ascii="Calibri" w:eastAsia="Calibri" w:hAnsi="Calibri" w:cs="Calibri"/>
          <w:b/>
          <w:color w:val="000000"/>
          <w:sz w:val="22"/>
          <w:szCs w:val="22"/>
        </w:rPr>
        <w:t>Článek VI.</w:t>
      </w:r>
    </w:p>
    <w:p w14:paraId="034CF5AE" w14:textId="77777777" w:rsidR="004C3CF8" w:rsidRPr="000A13A9" w:rsidRDefault="00BA73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0A13A9">
        <w:rPr>
          <w:rFonts w:ascii="Calibri" w:eastAsia="Calibri" w:hAnsi="Calibri" w:cs="Calibri"/>
          <w:b/>
          <w:color w:val="000000"/>
          <w:sz w:val="22"/>
          <w:szCs w:val="22"/>
        </w:rPr>
        <w:t>Podmínky pro užívání mobiliáře</w:t>
      </w:r>
    </w:p>
    <w:p w14:paraId="3A79B481" w14:textId="23D36B8D" w:rsidR="004C3CF8" w:rsidRPr="00F47C81" w:rsidRDefault="00BA73B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47C81">
        <w:rPr>
          <w:rFonts w:ascii="Calibri" w:eastAsia="Calibri" w:hAnsi="Calibri" w:cs="Calibri"/>
          <w:color w:val="000000"/>
          <w:sz w:val="24"/>
          <w:szCs w:val="24"/>
        </w:rPr>
        <w:t xml:space="preserve">Nájemce bere na vědomí, že mobiliář </w:t>
      </w:r>
      <w:r w:rsidR="009F245F" w:rsidRPr="00F47C81">
        <w:rPr>
          <w:rFonts w:ascii="Calibri" w:eastAsia="Calibri" w:hAnsi="Calibri" w:cs="Calibri"/>
          <w:color w:val="000000"/>
          <w:sz w:val="24"/>
          <w:szCs w:val="24"/>
        </w:rPr>
        <w:t xml:space="preserve">v interiérech objektu </w:t>
      </w:r>
      <w:r w:rsidRPr="00F47C81">
        <w:rPr>
          <w:rFonts w:ascii="Calibri" w:eastAsia="Calibri" w:hAnsi="Calibri" w:cs="Calibri"/>
          <w:color w:val="000000"/>
          <w:sz w:val="24"/>
          <w:szCs w:val="24"/>
        </w:rPr>
        <w:t>je tzv. kulturním mobiliářem a vzhledem k tomu požívá zvýšené ochrany.</w:t>
      </w:r>
    </w:p>
    <w:p w14:paraId="6A0E9DB8" w14:textId="29FD9BA0" w:rsidR="004C3CF8" w:rsidRPr="00F47C81" w:rsidRDefault="00BA73B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47C81">
        <w:rPr>
          <w:rFonts w:ascii="Calibri" w:eastAsia="Calibri" w:hAnsi="Calibri" w:cs="Calibri"/>
          <w:color w:val="000000"/>
          <w:sz w:val="22"/>
          <w:szCs w:val="22"/>
        </w:rPr>
        <w:t xml:space="preserve">Nájemce se zavazuje, že mobiliář bude po celou dobu trvání nájmu umístěn </w:t>
      </w:r>
      <w:r w:rsidR="009F245F" w:rsidRPr="00F47C81">
        <w:rPr>
          <w:rFonts w:ascii="Calibri" w:eastAsia="Calibri" w:hAnsi="Calibri" w:cs="Calibri"/>
          <w:color w:val="000000"/>
          <w:sz w:val="22"/>
          <w:szCs w:val="22"/>
        </w:rPr>
        <w:t>na svém</w:t>
      </w:r>
      <w:r w:rsidRPr="00F47C81">
        <w:rPr>
          <w:rFonts w:ascii="Calibri" w:eastAsia="Calibri" w:hAnsi="Calibri" w:cs="Calibri"/>
          <w:color w:val="000000"/>
          <w:sz w:val="22"/>
          <w:szCs w:val="22"/>
        </w:rPr>
        <w:t> místě</w:t>
      </w:r>
      <w:r w:rsidR="009F245F" w:rsidRPr="00F47C81">
        <w:rPr>
          <w:rFonts w:ascii="Calibri" w:eastAsia="Calibri" w:hAnsi="Calibri" w:cs="Calibri"/>
          <w:color w:val="000000"/>
          <w:sz w:val="22"/>
          <w:szCs w:val="22"/>
        </w:rPr>
        <w:t xml:space="preserve">. Nájemce </w:t>
      </w:r>
      <w:r w:rsidRPr="00F47C81">
        <w:rPr>
          <w:rFonts w:ascii="Calibri" w:eastAsia="Calibri" w:hAnsi="Calibri" w:cs="Calibri"/>
          <w:color w:val="000000"/>
          <w:sz w:val="22"/>
          <w:szCs w:val="22"/>
        </w:rPr>
        <w:t xml:space="preserve">je oprávněn přemisťovat jej pouze </w:t>
      </w:r>
      <w:r w:rsidR="009F245F" w:rsidRPr="00F47C81">
        <w:rPr>
          <w:rFonts w:ascii="Calibri" w:eastAsia="Calibri" w:hAnsi="Calibri" w:cs="Calibri"/>
          <w:color w:val="000000"/>
          <w:sz w:val="22"/>
          <w:szCs w:val="22"/>
        </w:rPr>
        <w:t xml:space="preserve">se souhlasem </w:t>
      </w:r>
      <w:r w:rsidR="00F47C81">
        <w:rPr>
          <w:rFonts w:ascii="Calibri" w:eastAsia="Calibri" w:hAnsi="Calibri" w:cs="Calibri"/>
          <w:color w:val="000000"/>
          <w:sz w:val="22"/>
          <w:szCs w:val="22"/>
        </w:rPr>
        <w:t xml:space="preserve">pronajímatele - </w:t>
      </w:r>
      <w:r w:rsidR="009F245F" w:rsidRPr="00F47C81">
        <w:rPr>
          <w:rFonts w:ascii="Calibri" w:eastAsia="Calibri" w:hAnsi="Calibri" w:cs="Calibri"/>
          <w:color w:val="000000"/>
          <w:sz w:val="22"/>
          <w:szCs w:val="22"/>
        </w:rPr>
        <w:t xml:space="preserve">vedoucího správy objektu, případně jeho zástupce, kteří určí, kam může být mobiliář umístěn. Nájemce </w:t>
      </w:r>
      <w:r w:rsidR="00F47C81" w:rsidRPr="00F47C81">
        <w:rPr>
          <w:rFonts w:ascii="Calibri" w:eastAsia="Calibri" w:hAnsi="Calibri" w:cs="Calibri"/>
          <w:color w:val="000000"/>
          <w:sz w:val="22"/>
          <w:szCs w:val="22"/>
        </w:rPr>
        <w:t xml:space="preserve">zodpovídá, aby při případném přemísťování </w:t>
      </w:r>
      <w:r w:rsidRPr="00F47C81">
        <w:rPr>
          <w:rFonts w:ascii="Calibri" w:eastAsia="Calibri" w:hAnsi="Calibri" w:cs="Calibri"/>
          <w:color w:val="000000"/>
          <w:sz w:val="22"/>
          <w:szCs w:val="22"/>
        </w:rPr>
        <w:t xml:space="preserve">nedošlo k jeho poškození. </w:t>
      </w:r>
    </w:p>
    <w:p w14:paraId="4DC5790E" w14:textId="77777777" w:rsidR="004C3CF8" w:rsidRPr="00F47C81" w:rsidRDefault="00BA73B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47C81">
        <w:rPr>
          <w:rFonts w:ascii="Calibri" w:eastAsia="Calibri" w:hAnsi="Calibri" w:cs="Calibri"/>
          <w:color w:val="000000"/>
          <w:sz w:val="22"/>
          <w:szCs w:val="22"/>
        </w:rPr>
        <w:t>Nájemce se zavazuje, že mobiliář nebude využíván jiným způsobem, než jako exponát. V žádném případě není povoleno užívat jej ve své funkční podobě jako např. nábytek, nádoby, hudební nástroje apod.</w:t>
      </w:r>
    </w:p>
    <w:p w14:paraId="48B1C35B" w14:textId="77777777" w:rsidR="004C3CF8" w:rsidRPr="00F47C81" w:rsidRDefault="00BA73BF">
      <w:pPr>
        <w:keepNext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47C81">
        <w:rPr>
          <w:rFonts w:ascii="Calibri" w:eastAsia="Calibri" w:hAnsi="Calibri" w:cs="Calibri"/>
          <w:color w:val="000000"/>
          <w:sz w:val="22"/>
          <w:szCs w:val="22"/>
        </w:rPr>
        <w:t xml:space="preserve">Nájemce se zavazuje mobiliář chránit a pečovat o něj s veškerou potřebnou péčí a opatrností. Za tímto účelem se bude řídit pokyny a doporučeními pronajímatele a jím pověřených zaměstnanců. </w:t>
      </w:r>
    </w:p>
    <w:p w14:paraId="66A05924" w14:textId="77777777" w:rsidR="004C3CF8" w:rsidRPr="00F47C81" w:rsidRDefault="00BA73B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47C81">
        <w:rPr>
          <w:rFonts w:ascii="Calibri" w:eastAsia="Calibri" w:hAnsi="Calibri" w:cs="Calibri"/>
          <w:color w:val="000000"/>
          <w:sz w:val="22"/>
          <w:szCs w:val="22"/>
        </w:rPr>
        <w:t xml:space="preserve">Nájemce není oprávněn provádět na mobiliáři jakékoli změny a úpravy bez předchozího písemného souhlasu pronajímatele.  </w:t>
      </w:r>
    </w:p>
    <w:p w14:paraId="3088A72D" w14:textId="77777777" w:rsidR="004C3CF8" w:rsidRPr="00F47C81" w:rsidRDefault="00BA73B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47C81">
        <w:rPr>
          <w:rFonts w:ascii="Calibri" w:eastAsia="Calibri" w:hAnsi="Calibri" w:cs="Calibri"/>
          <w:color w:val="000000"/>
          <w:sz w:val="22"/>
          <w:szCs w:val="22"/>
        </w:rPr>
        <w:t xml:space="preserve">Došlo-li k poškození mobiliáře (jeho části) nebo k jeho nadměrnému opotřebení, je nájemce povinen toto bezodkladně oznámit pronajímateli a dále je nájemce povinen v souladu s pokyny pronajímatele věc uvést do původního stavu; není-li to možné, je nájemce povinen uhradit pronajímateli náklady na restaurování či opravy mobiliáře a jinou vzniklou škodu. </w:t>
      </w:r>
    </w:p>
    <w:p w14:paraId="05822ECF" w14:textId="0685BC16" w:rsidR="004C3CF8" w:rsidRPr="009C681C" w:rsidRDefault="00BA73B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C681C">
        <w:rPr>
          <w:rFonts w:ascii="Calibri" w:eastAsia="Calibri" w:hAnsi="Calibri" w:cs="Calibri"/>
          <w:color w:val="000000"/>
          <w:sz w:val="22"/>
          <w:szCs w:val="22"/>
        </w:rPr>
        <w:t>Nájemce je povinen pojistit se proti riziku poškození</w:t>
      </w:r>
      <w:r w:rsidR="009E15DC" w:rsidRPr="009C681C">
        <w:rPr>
          <w:rFonts w:ascii="Calibri" w:eastAsia="Calibri" w:hAnsi="Calibri" w:cs="Calibri"/>
          <w:color w:val="000000"/>
          <w:sz w:val="22"/>
          <w:szCs w:val="22"/>
        </w:rPr>
        <w:t>, či zničení</w:t>
      </w:r>
      <w:r w:rsidRPr="009C681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9E15DC" w:rsidRPr="009C681C">
        <w:rPr>
          <w:rFonts w:ascii="Calibri" w:eastAsia="Calibri" w:hAnsi="Calibri" w:cs="Calibri"/>
          <w:color w:val="000000"/>
          <w:sz w:val="22"/>
          <w:szCs w:val="22"/>
        </w:rPr>
        <w:t xml:space="preserve">majetku pronajímatele. </w:t>
      </w:r>
    </w:p>
    <w:p w14:paraId="6E4A7D49" w14:textId="01CC4A89" w:rsidR="004C3CF8" w:rsidRPr="009E15DC" w:rsidRDefault="00BA73BF">
      <w:pPr>
        <w:keepNext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E15DC">
        <w:rPr>
          <w:rFonts w:ascii="Calibri" w:eastAsia="Calibri" w:hAnsi="Calibri" w:cs="Calibri"/>
          <w:color w:val="000000"/>
          <w:sz w:val="22"/>
          <w:szCs w:val="22"/>
        </w:rPr>
        <w:t>Po skončení nájmu smluvní strany v protokolu o převzetí předmětu nájmu uvedou také stav</w:t>
      </w:r>
      <w:r w:rsidR="009E15DC" w:rsidRPr="009E15DC">
        <w:rPr>
          <w:rFonts w:ascii="Calibri" w:eastAsia="Calibri" w:hAnsi="Calibri" w:cs="Calibri"/>
          <w:color w:val="000000"/>
          <w:sz w:val="22"/>
          <w:szCs w:val="22"/>
        </w:rPr>
        <w:t xml:space="preserve"> prostor</w:t>
      </w:r>
      <w:r w:rsidRPr="009E15D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9E15DC" w:rsidRPr="009E15DC">
        <w:rPr>
          <w:rFonts w:ascii="Calibri" w:eastAsia="Calibri" w:hAnsi="Calibri" w:cs="Calibri"/>
          <w:color w:val="000000"/>
          <w:sz w:val="22"/>
          <w:szCs w:val="22"/>
        </w:rPr>
        <w:t xml:space="preserve">a </w:t>
      </w:r>
      <w:r w:rsidRPr="009E15DC">
        <w:rPr>
          <w:rFonts w:ascii="Calibri" w:eastAsia="Calibri" w:hAnsi="Calibri" w:cs="Calibri"/>
          <w:color w:val="000000"/>
          <w:sz w:val="22"/>
          <w:szCs w:val="22"/>
        </w:rPr>
        <w:t>mobiliáře ke dni skončení nájmu vč. jeho poškození a opotřebení a pořídí fotodokumentaci mobiliáře jako součást protokolu.</w:t>
      </w:r>
    </w:p>
    <w:p w14:paraId="3AB53B4D" w14:textId="77777777" w:rsidR="004C3CF8" w:rsidRPr="00F47C81" w:rsidRDefault="00BA73BF">
      <w:pPr>
        <w:keepNext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47C81">
        <w:rPr>
          <w:rFonts w:ascii="Calibri" w:eastAsia="Calibri" w:hAnsi="Calibri" w:cs="Calibri"/>
          <w:color w:val="000000"/>
          <w:sz w:val="22"/>
          <w:szCs w:val="22"/>
        </w:rPr>
        <w:t>Za porušení povinností uvedených v tomto článku je nájemce povinen zaplatit smluvní pokutu ve výši 30 000 Kč za každý takovýto případ.</w:t>
      </w:r>
    </w:p>
    <w:p w14:paraId="55B0D476" w14:textId="77777777" w:rsidR="004C3CF8" w:rsidRDefault="004C3CF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14:paraId="7BD38463" w14:textId="77777777" w:rsidR="004C3CF8" w:rsidRDefault="00BA73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VII.</w:t>
      </w:r>
    </w:p>
    <w:p w14:paraId="7C8ABBC7" w14:textId="77777777" w:rsidR="004C3CF8" w:rsidRDefault="00BA73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Podnájem</w:t>
      </w:r>
    </w:p>
    <w:p w14:paraId="7152BE32" w14:textId="77777777" w:rsidR="004C3CF8" w:rsidRPr="003475A2" w:rsidRDefault="00BA73B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Nájemce není oprávněn přenechat předmět nájmu ani jeho část do podnájmu další osobě, s výjimkou případu předchozího písemného </w:t>
      </w:r>
      <w:r w:rsidRPr="003475A2">
        <w:rPr>
          <w:rFonts w:ascii="Calibri" w:eastAsia="Calibri" w:hAnsi="Calibri" w:cs="Calibri"/>
          <w:color w:val="000000"/>
          <w:sz w:val="22"/>
          <w:szCs w:val="22"/>
        </w:rPr>
        <w:t>souhlasu pronajímatele a Ministerstva kultury.</w:t>
      </w:r>
    </w:p>
    <w:p w14:paraId="0E577C94" w14:textId="7786B264" w:rsidR="004C3CF8" w:rsidRDefault="00BA73B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75A2">
        <w:rPr>
          <w:rFonts w:ascii="Calibri" w:eastAsia="Calibri" w:hAnsi="Calibri" w:cs="Calibri"/>
          <w:color w:val="000000"/>
          <w:sz w:val="22"/>
          <w:szCs w:val="22"/>
        </w:rPr>
        <w:t xml:space="preserve">Za porušení povinnosti uvedené v odst. 1 tohoto článku, je nájemce povinen zaplatit smluvní pokutu ve výši </w:t>
      </w:r>
      <w:r w:rsidRPr="003475A2">
        <w:rPr>
          <w:rFonts w:ascii="Calibri" w:eastAsia="Calibri" w:hAnsi="Calibri" w:cs="Calibri"/>
          <w:b/>
          <w:color w:val="000000"/>
          <w:sz w:val="22"/>
          <w:szCs w:val="22"/>
        </w:rPr>
        <w:t>50 000 Kč</w:t>
      </w:r>
      <w:r w:rsidRPr="003475A2">
        <w:rPr>
          <w:rFonts w:ascii="Calibri" w:eastAsia="Calibri" w:hAnsi="Calibri" w:cs="Calibri"/>
          <w:color w:val="000000"/>
          <w:sz w:val="22"/>
          <w:szCs w:val="22"/>
        </w:rPr>
        <w:t xml:space="preserve"> za každý takovýto případ.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0576A5DC" w14:textId="77777777" w:rsidR="00C13946" w:rsidRDefault="00C13946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D52E958" w14:textId="77777777" w:rsidR="004C3CF8" w:rsidRDefault="00BA73B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VIII.</w:t>
      </w:r>
    </w:p>
    <w:p w14:paraId="00CEBBED" w14:textId="77777777" w:rsidR="004C3CF8" w:rsidRDefault="00BA73B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Stavební a jiné úpravy</w:t>
      </w:r>
    </w:p>
    <w:p w14:paraId="160C163E" w14:textId="7425797F" w:rsidR="004C3CF8" w:rsidRDefault="00BA73BF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je povinen veškeré stavební úpravy předmětu nájmu předem písemně oznámit pronajímateli a realizovat je pouze na základě jeho písemného souhlasu s jejich provedením</w:t>
      </w:r>
      <w:r w:rsidR="00F43C0D">
        <w:rPr>
          <w:rFonts w:ascii="Calibri" w:eastAsia="Calibri" w:hAnsi="Calibri" w:cs="Calibri"/>
          <w:color w:val="000000"/>
          <w:sz w:val="22"/>
          <w:szCs w:val="22"/>
        </w:rPr>
        <w:t xml:space="preserve"> a po splnění všech zákonných povinností</w:t>
      </w:r>
      <w:r>
        <w:rPr>
          <w:rFonts w:ascii="Calibri" w:eastAsia="Calibri" w:hAnsi="Calibri" w:cs="Calibri"/>
          <w:color w:val="000000"/>
          <w:sz w:val="22"/>
          <w:szCs w:val="22"/>
        </w:rPr>
        <w:t>. Předchozí písemný souhlas pronajímatele je nutný i v případě pevné instalace jakýchkoliv zařízení. Veškeré opravy a stavební úpravy prováděné na přání nájemce, které bude nájemce či pronajímatel v předmětu nájmu provádět, budou realizovány na jeho náklad.</w:t>
      </w:r>
    </w:p>
    <w:p w14:paraId="68BE0344" w14:textId="77777777" w:rsidR="004C3CF8" w:rsidRPr="003475A2" w:rsidRDefault="00BA73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75A2">
        <w:rPr>
          <w:rFonts w:ascii="Calibri" w:eastAsia="Calibri" w:hAnsi="Calibri" w:cs="Calibri"/>
          <w:color w:val="000000"/>
          <w:sz w:val="22"/>
          <w:szCs w:val="22"/>
        </w:rPr>
        <w:t>Předchozí písemný souhlas pronajímatele je zapotřebí pro umístění jakékoliv reklamy či informačního zařízení (informačního štítu, tabulky a podobně) na předmět nájmu. Nejpozději při předání předmětu nájmu zpět pronajímateli odstraní nájemce na svůj náklad umístěnou reklamu či informační zařízení.</w:t>
      </w:r>
    </w:p>
    <w:p w14:paraId="5C903CA1" w14:textId="77777777" w:rsidR="004C3CF8" w:rsidRPr="003475A2" w:rsidRDefault="00BA73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Nájemce se zavazuje neprovádět jakékoliv zásahy do omítek a zdiva (včetně opírání předmětů o zdivo a vzpírání mezi zdmi), nátěry mobiliáře a příslušenství předmětu nájmu bez předchozího písemného souhlasu pronajímatele. Rovněž nebude zasahovat do míst s potencionálním výskytem archeologických </w:t>
      </w:r>
      <w:r w:rsidRPr="003475A2">
        <w:rPr>
          <w:rFonts w:ascii="Calibri" w:eastAsia="Calibri" w:hAnsi="Calibri" w:cs="Calibri"/>
          <w:color w:val="000000"/>
          <w:sz w:val="22"/>
          <w:szCs w:val="22"/>
        </w:rPr>
        <w:t>nálezů, tj. do terénu, pod podlahy nebo zásypů kleneb.</w:t>
      </w:r>
    </w:p>
    <w:p w14:paraId="2472C475" w14:textId="77777777" w:rsidR="004C3CF8" w:rsidRPr="003475A2" w:rsidRDefault="00BA73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75A2">
        <w:rPr>
          <w:rFonts w:ascii="Calibri" w:eastAsia="Calibri" w:hAnsi="Calibri" w:cs="Calibri"/>
          <w:color w:val="000000"/>
          <w:sz w:val="22"/>
          <w:szCs w:val="22"/>
        </w:rPr>
        <w:lastRenderedPageBreak/>
        <w:t>Pronajímatel umožní nájemci umístit v předmětu nájmu zařízení, rekvizity a dekorační úpravy potřebná pro realizaci účelu této smlouvy. O rozsahu a potřebě umístění těchto věcí v předmětu nájmu informuje nájemce pronajímatele bez zbytečného odkladu, nejpozději však do začátku doby nájmu.</w:t>
      </w:r>
    </w:p>
    <w:p w14:paraId="61E7796B" w14:textId="77777777" w:rsidR="004C3CF8" w:rsidRDefault="00BA73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je povinen po skončení nájmu odevzdat předmět nájmu v takovém stavu, v jakém mu byl předán při zohlednění obvyklého opotřebení při řádném užívání a odstranit veškeré změny a úpravy a jím vnesené věci a provést konečný úklid předmětu nájmu. Dohodnou-li se smluvní strany, že změny a úpravy provedené na předmětu nájmu mohou být ponechány, nemá nájemce nárok na jakékoliv vypořádání z důvodů možného zhodnocení předmětu nájmu.</w:t>
      </w:r>
    </w:p>
    <w:p w14:paraId="0829F190" w14:textId="77777777" w:rsidR="004C3CF8" w:rsidRDefault="004C3C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4C24E62C" w14:textId="77777777" w:rsidR="004C3CF8" w:rsidRDefault="00BA73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IX.</w:t>
      </w:r>
    </w:p>
    <w:p w14:paraId="3E9EFD0D" w14:textId="77777777" w:rsidR="004C3CF8" w:rsidRDefault="00BA73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Práva a povinnosti pronajímatele</w:t>
      </w:r>
    </w:p>
    <w:p w14:paraId="745EB81B" w14:textId="2E5A848A" w:rsidR="004C3CF8" w:rsidRDefault="00BA73BF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Pronajímatel je povinen zajistit řádný a nerušený výkon nájemních práv nájemce po celou dobu nájemního vztahu, aby bylo možno dosáhnout účelu nájmu. </w:t>
      </w:r>
    </w:p>
    <w:p w14:paraId="70C9E296" w14:textId="77A771CB" w:rsidR="004C3CF8" w:rsidRDefault="00BA73BF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Pronajímatel a jím pověření zaměstnanci jsou oprávněni vstup</w:t>
      </w:r>
      <w:r w:rsidR="003475A2">
        <w:rPr>
          <w:rFonts w:ascii="Calibri" w:eastAsia="Calibri" w:hAnsi="Calibri" w:cs="Calibri"/>
          <w:color w:val="000000"/>
          <w:sz w:val="22"/>
          <w:szCs w:val="22"/>
        </w:rPr>
        <w:t>ovat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do předmětu nájmu </w:t>
      </w:r>
      <w:r w:rsidR="003475A2">
        <w:rPr>
          <w:rFonts w:ascii="Calibri" w:eastAsia="Calibri" w:hAnsi="Calibri" w:cs="Calibri"/>
          <w:color w:val="000000"/>
          <w:sz w:val="22"/>
          <w:szCs w:val="22"/>
        </w:rPr>
        <w:t xml:space="preserve">pro kontrolu stavu prostor, dodržování podmínek smlouvy a </w:t>
      </w:r>
      <w:r>
        <w:rPr>
          <w:rFonts w:ascii="Calibri" w:eastAsia="Calibri" w:hAnsi="Calibri" w:cs="Calibri"/>
          <w:color w:val="000000"/>
          <w:sz w:val="22"/>
          <w:szCs w:val="22"/>
        </w:rPr>
        <w:t>v případech, kdy to vyžaduje náhle vzniklý havarijní stav či jiná podobná skutečnost. O tomto musí pronajímatel nájemce neprodleně uvědomit ihned po takovémto vstupu do předmětu nájmu, jestliže nebylo možno nájemce informovat předem.</w:t>
      </w:r>
    </w:p>
    <w:p w14:paraId="0C067B39" w14:textId="77777777" w:rsidR="004C3CF8" w:rsidRDefault="00BA73BF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Pronajímatel má právo vyzvat nájemce a osoby, kterým nájemce umožnil vstup do předmětu nájmu, aby okamžitě zastavili jakoukoliv činnost, která by byla v rozporu s účelem nájmu, podmínkami této smlouvy nebo jakkoli ohrožovala majetek státu, životní prostředí nebo majetek a zdraví osob.</w:t>
      </w:r>
    </w:p>
    <w:p w14:paraId="6FB1EE61" w14:textId="77777777" w:rsidR="004C3CF8" w:rsidRDefault="00BA73BF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Pronajímatel nenese odpovědnost za případný úraz, který by v předmětu nájmu utrpěla některá z osob, která do něj vstoupila v době trvání nájmu. Pronajímatel neodpovídá za škody na majetku vneseném nájemcem do nemovitosti, které by nájemci způsobily třetí osoby, za bezpečnost, zdraví a majetek osob, které se zdržují v předmětu nájmu a ani za škody osobám vzniklé při provozování činnosti uvedené v čl. III této smlouvy. Pronajímatel neodpovídá za škody způsobené nájemci v důsledku živelní události.</w:t>
      </w:r>
    </w:p>
    <w:p w14:paraId="1812F3AE" w14:textId="77777777" w:rsidR="004C3CF8" w:rsidRDefault="00BA73BF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Pronajímatel má právo stanovit osoby podílející se na provozním, památkovém dozoru při realizaci účelu této smlouvy. Nájemce je povinen respektovat pokyny těchto osob v otázkách BOZP a PO a v otázkách ochrany nemovitosti jakožto kulturní památky.</w:t>
      </w:r>
    </w:p>
    <w:p w14:paraId="2A1B182E" w14:textId="3B84443E" w:rsidR="004C3CF8" w:rsidRDefault="00BA73BF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Pronajímatel je oprávněn provádět kontroly předmětu nájmu, zda je předmět nájmu užíván k účelu sjednanému podle této smlouvy a v souladu s dalšími podmínkami dle této smlouvy. Nájemce musí umožnit pronajímateli provádět tyto kontrolní činnosti, účinně s ním spolupracovat při výkonu kontroly a umožnit mu přístup ke všem věcem včetně pořizování jejich obrazové dokumentace. </w:t>
      </w:r>
    </w:p>
    <w:p w14:paraId="5C3ACF5F" w14:textId="77777777" w:rsidR="00C71FEB" w:rsidRDefault="00C71FEB" w:rsidP="00C71FEB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131DC81" w14:textId="77777777" w:rsidR="004C3CF8" w:rsidRDefault="00BA73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X.</w:t>
      </w:r>
    </w:p>
    <w:p w14:paraId="10E4F2EB" w14:textId="77777777" w:rsidR="004C3CF8" w:rsidRDefault="00BA73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Práva a povinnosti nájemce</w:t>
      </w:r>
    </w:p>
    <w:p w14:paraId="3A47E1BC" w14:textId="77777777" w:rsidR="004C3CF8" w:rsidRDefault="00BA73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je po dobu trvání nájmu povinen umožnit pronajímateli výkon jeho práv vyplývajících z této nájemní smlouvy a obecně závazných předpisů.</w:t>
      </w:r>
    </w:p>
    <w:p w14:paraId="72ABC442" w14:textId="013E428B" w:rsidR="004C3CF8" w:rsidRPr="003475A2" w:rsidRDefault="00BA73B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75A2">
        <w:rPr>
          <w:rFonts w:ascii="Calibri" w:eastAsia="Calibri" w:hAnsi="Calibri" w:cs="Calibri"/>
          <w:color w:val="000000"/>
          <w:sz w:val="22"/>
          <w:szCs w:val="22"/>
        </w:rPr>
        <w:t>Nájemce bere na vědomí, že pronajímatel bude mít v držení klíče k předmětu nájmu</w:t>
      </w:r>
      <w:r w:rsidR="003475A2" w:rsidRPr="003475A2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42950572" w14:textId="7D94782B" w:rsidR="004C3CF8" w:rsidRDefault="00BA73B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Pronajímatel souhlasí, aby nájemce a jím pověřené osoby, nebude-li dohodnuto jinak, byly za podmínek této smlouvy oprávněny:</w:t>
      </w:r>
    </w:p>
    <w:p w14:paraId="69FECEC9" w14:textId="6D84DCA3" w:rsidR="004C3CF8" w:rsidRPr="003475A2" w:rsidRDefault="00BA73B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vstupovat do nemovitosti a předmětu nájmu a využívat předmět nájmu </w:t>
      </w:r>
      <w:r w:rsidR="008E647B">
        <w:rPr>
          <w:rFonts w:ascii="Calibri" w:eastAsia="Calibri" w:hAnsi="Calibri" w:cs="Calibri"/>
          <w:color w:val="000000"/>
          <w:sz w:val="22"/>
          <w:szCs w:val="22"/>
        </w:rPr>
        <w:t>k účelu natáčení filmu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po </w:t>
      </w:r>
      <w:r w:rsidRPr="003475A2">
        <w:rPr>
          <w:rFonts w:ascii="Calibri" w:eastAsia="Calibri" w:hAnsi="Calibri" w:cs="Calibri"/>
          <w:color w:val="000000"/>
          <w:sz w:val="22"/>
          <w:szCs w:val="22"/>
        </w:rPr>
        <w:t>dobu nájmu, včetně práva zkoušet a natáčet obrazy, snímat zvuk za účelem využití v audiovizuálním díle, reklamním spotu k tomuto dílu a při jeho propagaci</w:t>
      </w:r>
      <w:r w:rsidR="008E647B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Pr="003475A2">
        <w:rPr>
          <w:rFonts w:ascii="Calibri" w:eastAsia="Calibri" w:hAnsi="Calibri" w:cs="Calibri"/>
          <w:color w:val="000000"/>
          <w:sz w:val="22"/>
          <w:szCs w:val="22"/>
        </w:rPr>
        <w:t>pořizovat fotografie věcí umístěných v předmětu nájmu;</w:t>
      </w:r>
    </w:p>
    <w:p w14:paraId="6F4FF631" w14:textId="45C646B4" w:rsidR="004C3CF8" w:rsidRPr="003475A2" w:rsidRDefault="00BA73B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475A2">
        <w:rPr>
          <w:rFonts w:ascii="Calibri" w:eastAsia="Calibri" w:hAnsi="Calibri" w:cs="Calibri"/>
          <w:color w:val="000000"/>
          <w:sz w:val="22"/>
          <w:szCs w:val="22"/>
        </w:rPr>
        <w:t>vnášet a umísťovat do předmětu nájmu techniku, rekvizity či jiné předměty nezbytné pro natáčení;</w:t>
      </w:r>
    </w:p>
    <w:p w14:paraId="6FC18C47" w14:textId="61DD31A9" w:rsidR="004C3CF8" w:rsidRDefault="00BA73B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provádět na své vlastní náklady pronajímatelem předem odsouhlasené změny a úpravy    předmětu nájmu (interiéru a exteriéru);</w:t>
      </w:r>
    </w:p>
    <w:p w14:paraId="0C56CB13" w14:textId="77777777" w:rsidR="004C3CF8" w:rsidRDefault="004C3CF8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F2891DE" w14:textId="2FC8672D" w:rsidR="008E647B" w:rsidRDefault="008E64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je povinen zajistit, aby do pronajatých prostor vstupovali pouze osoby nájemcem určené.</w:t>
      </w:r>
    </w:p>
    <w:p w14:paraId="78B94C93" w14:textId="3457962A" w:rsidR="004C3CF8" w:rsidRDefault="00BA73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Nájemce je povinen oznámit bez zbytečného odkladu pronajímateli potřebu oprav v předmětu nájmu, které má pronajímatel provést a umožnit provedení těchto i jiných nezbytných oprav; jinak nájemce odpovídá za škodu, která nesplněním povinnosti pronajímateli vznikla.</w:t>
      </w:r>
    </w:p>
    <w:p w14:paraId="77BB97D6" w14:textId="77777777" w:rsidR="004C3CF8" w:rsidRDefault="00BA73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5" w:name="3dy6vkm" w:colFirst="0" w:colLast="0"/>
      <w:bookmarkEnd w:id="5"/>
      <w:r>
        <w:rPr>
          <w:rFonts w:ascii="Calibri" w:eastAsia="Calibri" w:hAnsi="Calibri" w:cs="Calibri"/>
          <w:color w:val="000000"/>
          <w:sz w:val="22"/>
          <w:szCs w:val="22"/>
        </w:rPr>
        <w:t>Nájemce bere na vědomí, že předmět nájmu je součástí památkově chráněného objektu a zavazuje se dodržovat všechny relevantní obecně závazné právní předpisy, zejména předpisy na úseku památkové péče, zejména zákon č. 20/1987 Sb., o státní památkové péči, ve znění pozdějších předpisů, bezpečnostní a protipožární předpisy a určit osobu odpovědnou za dodržování těchto předpisů. Nájemce odpovídá za plnění těchto povinností i třetími osobami, které pro nájemce vykonávají činnost v předmětu nájmu či jsou v něm přítomny se souhlasem či vědomím nájemce. Nájemce je povinen počínat si v předmětu nájmu tak, aby nezavdal svým jednáním příčinu ke vzniku požáru nebo jiné živelní události.</w:t>
      </w:r>
    </w:p>
    <w:p w14:paraId="566D3F8E" w14:textId="77777777" w:rsidR="004C3CF8" w:rsidRDefault="00BA73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v předmětu nájmu zajišťuje bezpečnost a ochranu zdraví svých zaměstnanců při práci s ohledem na rizika možného ohrožení jejich života a zdraví, která se týkají výkonu práce (dále jen „rizika“), jakož i bezpečnost dalších osob v předmětu nájmu se nacházejících s jeho souhlasem, a požární ochranu ve smyslu obecně závazných předpisů a je odpovědný za dodržování ustanovení těchto předpisů a za škody, které vzniknou jeho činností nebo v souvislosti s touto činností.</w:t>
      </w:r>
    </w:p>
    <w:p w14:paraId="382C0985" w14:textId="77777777" w:rsidR="004C3CF8" w:rsidRPr="008E647B" w:rsidRDefault="00BA73B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Pronajímatel má právo provádět kontrolu zabezpečování bezpečnosti práce a protipožární ochrany nájemcem. Nájemce je </w:t>
      </w:r>
      <w:r w:rsidRPr="008E647B">
        <w:rPr>
          <w:rFonts w:ascii="Calibri" w:eastAsia="Calibri" w:hAnsi="Calibri" w:cs="Calibri"/>
          <w:color w:val="000000"/>
          <w:sz w:val="22"/>
          <w:szCs w:val="22"/>
        </w:rPr>
        <w:t>povinen být pří kontrolách součinný.</w:t>
      </w:r>
    </w:p>
    <w:p w14:paraId="0C76127B" w14:textId="7D5617AE" w:rsidR="004C3CF8" w:rsidRPr="008E647B" w:rsidRDefault="00BA73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E647B">
        <w:rPr>
          <w:rFonts w:ascii="Calibri" w:eastAsia="Calibri" w:hAnsi="Calibri" w:cs="Calibri"/>
          <w:color w:val="000000"/>
          <w:sz w:val="22"/>
          <w:szCs w:val="22"/>
        </w:rPr>
        <w:t>Nájemce se zavazuje před zahájením natáčení předat pronajímateli seznam osob, které se budou natáčení</w:t>
      </w:r>
      <w:r w:rsidR="008E647B" w:rsidRPr="008E647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8E647B">
        <w:rPr>
          <w:rFonts w:ascii="Calibri" w:eastAsia="Calibri" w:hAnsi="Calibri" w:cs="Calibri"/>
          <w:color w:val="000000"/>
          <w:sz w:val="22"/>
          <w:szCs w:val="22"/>
        </w:rPr>
        <w:t>účastnit. Tyto osoby budou viditelně označeny visačkami s uvedením čísla dle jmenného seznamu předaného pronajímateli a jsou povinny na požádání prokázat pracovníkům zajišťujícím ostrahu objektu svou totožnost a dále se řídit veškerými bezpečnostními opatřeními podle pokynů vedoucího správy památkového objektu; jiným osobám nesmí nájemce umožnit vstup do předmětu nájmu.</w:t>
      </w:r>
    </w:p>
    <w:p w14:paraId="28AFA006" w14:textId="77777777" w:rsidR="004C3CF8" w:rsidRPr="008E647B" w:rsidRDefault="00BA73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E647B">
        <w:rPr>
          <w:rFonts w:ascii="Calibri" w:eastAsia="Calibri" w:hAnsi="Calibri" w:cs="Calibri"/>
          <w:color w:val="000000"/>
          <w:sz w:val="22"/>
          <w:szCs w:val="22"/>
        </w:rPr>
        <w:t xml:space="preserve">Nájemce se během užívání předmětu nájmu zavazuje dodržovat organizační a bezpečnostní pokyny odpovědných zaměstnanců pronajímatele. </w:t>
      </w:r>
    </w:p>
    <w:p w14:paraId="749AC784" w14:textId="4220C16E" w:rsidR="004C3CF8" w:rsidRPr="008E647B" w:rsidRDefault="00BA73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E647B">
        <w:rPr>
          <w:rFonts w:ascii="Calibri" w:eastAsia="Calibri" w:hAnsi="Calibri" w:cs="Calibri"/>
          <w:color w:val="000000"/>
          <w:sz w:val="22"/>
          <w:szCs w:val="22"/>
        </w:rPr>
        <w:t>Nájemce je povinen předmět nájmu užívat tak, aby nedocházelo k rušení návštěvnického provozu objektu</w:t>
      </w:r>
      <w:r w:rsidR="008E647B" w:rsidRPr="008E647B">
        <w:rPr>
          <w:rFonts w:ascii="Calibri" w:eastAsia="Calibri" w:hAnsi="Calibri" w:cs="Calibri"/>
          <w:color w:val="000000"/>
          <w:sz w:val="22"/>
          <w:szCs w:val="22"/>
        </w:rPr>
        <w:t xml:space="preserve"> ve dnech, kdy bylo dohodnuto zachování provozu pro veřejnost. </w:t>
      </w:r>
      <w:r w:rsidRPr="008E647B">
        <w:rPr>
          <w:rFonts w:ascii="Calibri" w:eastAsia="Calibri" w:hAnsi="Calibri" w:cs="Calibri"/>
          <w:color w:val="000000"/>
          <w:sz w:val="22"/>
          <w:szCs w:val="22"/>
        </w:rPr>
        <w:t xml:space="preserve">Provádění </w:t>
      </w:r>
      <w:r w:rsidR="008E647B" w:rsidRPr="008E647B">
        <w:rPr>
          <w:rFonts w:ascii="Calibri" w:eastAsia="Calibri" w:hAnsi="Calibri" w:cs="Calibri"/>
          <w:color w:val="000000"/>
          <w:sz w:val="22"/>
          <w:szCs w:val="22"/>
        </w:rPr>
        <w:t>činností</w:t>
      </w:r>
      <w:r w:rsidRPr="008E647B">
        <w:rPr>
          <w:rFonts w:ascii="Calibri" w:eastAsia="Calibri" w:hAnsi="Calibri" w:cs="Calibri"/>
          <w:color w:val="000000"/>
          <w:sz w:val="22"/>
          <w:szCs w:val="22"/>
        </w:rPr>
        <w:t xml:space="preserve"> s vysokým hlukem nebo vibracemi předem projedná s pronajímatelem.</w:t>
      </w:r>
    </w:p>
    <w:p w14:paraId="70E4FBC6" w14:textId="77777777" w:rsidR="004C3CF8" w:rsidRDefault="00BA73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je povinen o předmět nájmu řádně pečovat, udržovat v předmětu nájmu pořádek a průběžně odstraňovat veškerý vyprodukovaný odpad na vlastní náklady.</w:t>
      </w:r>
    </w:p>
    <w:p w14:paraId="1B9BDFA1" w14:textId="77777777" w:rsidR="004C3CF8" w:rsidRDefault="00BA73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Nájemce si bude počínat tak, aby nedošlo ke škodě na majetku pronajímatele, na majetku a zdraví dalších osob. Jakékoliv závady nebo škodní události bude neprodleně hlásit pronajímateli, zajistí dodržování všech obecně závazných bezpečnostních a protipožárních předpisů i předpisů týkajících se bezpečnosti práce a ochrany zdraví při práci. Nájemce se zavazuje dodržovat a zajistit, že v předmětu nájmu nebude používán otevřený oheň </w:t>
      </w:r>
      <w:r w:rsidRPr="008E647B">
        <w:rPr>
          <w:rFonts w:ascii="Calibri" w:eastAsia="Calibri" w:hAnsi="Calibri" w:cs="Calibri"/>
          <w:color w:val="000000"/>
          <w:sz w:val="22"/>
          <w:szCs w:val="22"/>
        </w:rPr>
        <w:t>s výjimkou pronajímatelem odsouhlaseného scénického ohně 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že nebude kouřeno (s výjimkou k tomu vyhrazených míst, které určí pronajímatel) a že bude dodržován zákaz kouření v interiérových částech předmětu nájmu.</w:t>
      </w:r>
    </w:p>
    <w:p w14:paraId="45DEF157" w14:textId="2B8E3FFA" w:rsidR="004C3CF8" w:rsidRDefault="00BA73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zajistí, aby jeho zaměstnanci, smluvní partneři či jiné osoby, kterým umožní vstup do objektu v souvislosti s </w:t>
      </w:r>
      <w:r w:rsidR="008E647B"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atáčením a v souladu s touto smlouvou, nevstupovali mimo ty části objektu, které jsou předmětem nájmu a zajistí dodržování podmínek stanovených touto smlouvou i všemi dalšími osobami nacházejícími se v objektu s jeho souhlasem.</w:t>
      </w:r>
    </w:p>
    <w:p w14:paraId="14DD65E2" w14:textId="77777777" w:rsidR="004C3CF8" w:rsidRPr="008E647B" w:rsidRDefault="00BA73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E647B">
        <w:rPr>
          <w:rFonts w:ascii="Calibri" w:eastAsia="Calibri" w:hAnsi="Calibri" w:cs="Calibri"/>
          <w:color w:val="000000"/>
          <w:sz w:val="22"/>
          <w:szCs w:val="22"/>
        </w:rPr>
        <w:t>V případě veřejného provozování autorských děl (živě nebo z nosičů) nájemcem je nájemce povinen uzavřít s příslušným správcem autorských práv smlouvu o užití díla (licenční smlouvu) a uhradit tomuto správci autorských práv poplatky dle platných sazebníků příslušného správce.</w:t>
      </w:r>
    </w:p>
    <w:p w14:paraId="0C9A4953" w14:textId="77777777" w:rsidR="004C3CF8" w:rsidRPr="008E647B" w:rsidRDefault="00BA73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Nájemce neohrozí bezpečnost objektu, zachová mlčenlivost o věcech, které mohou souviset se zabezpečením objektu, a v této souvislosti se bude řídit pokyny oprávněných pracovníků pronajímatele. </w:t>
      </w:r>
      <w:r w:rsidRPr="008E647B">
        <w:rPr>
          <w:rFonts w:ascii="Calibri" w:eastAsia="Calibri" w:hAnsi="Calibri" w:cs="Calibri"/>
          <w:color w:val="000000"/>
          <w:sz w:val="22"/>
          <w:szCs w:val="22"/>
        </w:rPr>
        <w:t>Totéž platí pro jakoukoliv formu zdokumentování bezpečnostního zařízení.</w:t>
      </w:r>
    </w:p>
    <w:p w14:paraId="15FBADCD" w14:textId="0B58F1AC" w:rsidR="004C3CF8" w:rsidRPr="008E647B" w:rsidRDefault="00BA73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E647B">
        <w:rPr>
          <w:rFonts w:ascii="Calibri" w:eastAsia="Calibri" w:hAnsi="Calibri" w:cs="Calibri"/>
          <w:color w:val="000000"/>
          <w:sz w:val="22"/>
          <w:szCs w:val="22"/>
        </w:rPr>
        <w:t xml:space="preserve">Nájemce se tímto zavazuje, že v době mezi 22-06 hodinou </w:t>
      </w:r>
      <w:r w:rsidR="008E647B" w:rsidRPr="008E647B">
        <w:rPr>
          <w:rFonts w:ascii="Calibri" w:eastAsia="Calibri" w:hAnsi="Calibri" w:cs="Calibri"/>
          <w:color w:val="000000"/>
          <w:sz w:val="22"/>
          <w:szCs w:val="22"/>
        </w:rPr>
        <w:t>ne</w:t>
      </w:r>
      <w:r w:rsidRPr="008E647B">
        <w:rPr>
          <w:rFonts w:ascii="Calibri" w:eastAsia="Calibri" w:hAnsi="Calibri" w:cs="Calibri"/>
          <w:color w:val="000000"/>
          <w:sz w:val="22"/>
          <w:szCs w:val="22"/>
        </w:rPr>
        <w:t xml:space="preserve">bude </w:t>
      </w:r>
      <w:r w:rsidR="008E647B" w:rsidRPr="008E647B">
        <w:rPr>
          <w:rFonts w:ascii="Calibri" w:eastAsia="Calibri" w:hAnsi="Calibri" w:cs="Calibri"/>
          <w:color w:val="000000"/>
          <w:sz w:val="22"/>
          <w:szCs w:val="22"/>
        </w:rPr>
        <w:t xml:space="preserve">předmět nájmu využívat. </w:t>
      </w:r>
    </w:p>
    <w:p w14:paraId="7347513C" w14:textId="77777777" w:rsidR="004C3CF8" w:rsidRPr="008E647B" w:rsidRDefault="00BA73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Nájemce je povinen zachovat na příjezdové komunikaci, ve vjezdu i na vnitřních plochách objektu dostatek místa, aby mohla projet vozidla nezbytná pro rychlý zásah v případě ohrožení života, zdraví, nebo majetku v areálu objektu, vozidla služební a zásobovací, případně vozidla patřící obyvatelům a </w:t>
      </w:r>
      <w:r w:rsidRPr="008E647B">
        <w:rPr>
          <w:rFonts w:ascii="Calibri" w:eastAsia="Calibri" w:hAnsi="Calibri" w:cs="Calibri"/>
          <w:color w:val="000000"/>
          <w:sz w:val="22"/>
          <w:szCs w:val="22"/>
        </w:rPr>
        <w:t>návštěvníkům objektu.</w:t>
      </w:r>
    </w:p>
    <w:p w14:paraId="12045ABE" w14:textId="2C393548" w:rsidR="004C3CF8" w:rsidRPr="008E647B" w:rsidRDefault="00BA73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E647B"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Smluvní strany sjednávají pro případ porušení kterékoliv povinnosti nájemce dle tohoto článku smluvní pokutu ve výši 10 000 Kč za každé takové porušení. Nájemce bere na vědomí, že v areálu objektu je instalován kamerový systém a dochází tak ke zpracování osobních údajů osob, které vstupují do monitorovaného prostoru. Nájemce bere na vědomí pravidla pronajímatele pro zpracování osobních údajů, které jsou uvedené na webových stránkách pronajímatele </w:t>
      </w:r>
      <w:hyperlink r:id="rId8" w:history="1">
        <w:r w:rsidR="00123C86" w:rsidRPr="008E647B">
          <w:rPr>
            <w:rStyle w:val="Hypertextovodkaz"/>
            <w:rFonts w:ascii="Calibri" w:eastAsia="Calibri" w:hAnsi="Calibri" w:cs="Calibri"/>
            <w:sz w:val="22"/>
            <w:szCs w:val="22"/>
          </w:rPr>
          <w:t>www.npu.cz</w:t>
        </w:r>
      </w:hyperlink>
      <w:r w:rsidRPr="008E647B">
        <w:rPr>
          <w:rFonts w:ascii="Calibri" w:eastAsia="Calibri" w:hAnsi="Calibri" w:cs="Calibri"/>
          <w:color w:val="000000"/>
          <w:sz w:val="22"/>
          <w:szCs w:val="22"/>
        </w:rPr>
        <w:t xml:space="preserve"> v sekci „Ochrana osobních údajů“.</w:t>
      </w:r>
    </w:p>
    <w:p w14:paraId="4C19ECE3" w14:textId="77777777" w:rsidR="004C3CF8" w:rsidRDefault="004C3C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9A18D58" w14:textId="77777777" w:rsidR="004C3CF8" w:rsidRDefault="00BA73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XI.</w:t>
      </w:r>
    </w:p>
    <w:p w14:paraId="65B82A61" w14:textId="77777777" w:rsidR="004C3CF8" w:rsidRDefault="00BA73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Doba nájmu, skončení nájmu</w:t>
      </w:r>
    </w:p>
    <w:p w14:paraId="653EBB08" w14:textId="05F86EB3" w:rsidR="004C3CF8" w:rsidRPr="00F4032C" w:rsidRDefault="00BA73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6" w:name="1t3h5sf" w:colFirst="0" w:colLast="0"/>
      <w:bookmarkEnd w:id="6"/>
      <w:r w:rsidRPr="00F4032C">
        <w:rPr>
          <w:rFonts w:ascii="Calibri" w:eastAsia="Calibri" w:hAnsi="Calibri" w:cs="Calibri"/>
          <w:color w:val="000000"/>
          <w:sz w:val="22"/>
          <w:szCs w:val="22"/>
        </w:rPr>
        <w:t xml:space="preserve">Tato smlouva se uzavírá na dobu určitou, a to od </w:t>
      </w:r>
      <w:r w:rsidR="008B2C66" w:rsidRPr="00F4032C">
        <w:rPr>
          <w:rFonts w:ascii="Calibri" w:eastAsia="Calibri" w:hAnsi="Calibri" w:cs="Calibri"/>
          <w:color w:val="000000"/>
          <w:sz w:val="22"/>
          <w:szCs w:val="22"/>
        </w:rPr>
        <w:t xml:space="preserve">11. 8. </w:t>
      </w:r>
      <w:bookmarkStart w:id="7" w:name="4d34og8" w:colFirst="0" w:colLast="0"/>
      <w:bookmarkEnd w:id="7"/>
      <w:r w:rsidRPr="00F4032C">
        <w:rPr>
          <w:rFonts w:ascii="Calibri" w:eastAsia="Calibri" w:hAnsi="Calibri" w:cs="Calibri"/>
          <w:color w:val="000000"/>
          <w:sz w:val="22"/>
          <w:szCs w:val="22"/>
        </w:rPr>
        <w:t xml:space="preserve">do </w:t>
      </w:r>
      <w:r w:rsidR="008B2C66" w:rsidRPr="00F4032C">
        <w:rPr>
          <w:rFonts w:ascii="Calibri" w:eastAsia="Calibri" w:hAnsi="Calibri" w:cs="Calibri"/>
          <w:color w:val="000000"/>
          <w:sz w:val="22"/>
          <w:szCs w:val="22"/>
        </w:rPr>
        <w:t>19. 8. 2024 včetně  a pro dny 25. a 27. 8. 2024.</w:t>
      </w:r>
      <w:r w:rsidRPr="00F4032C">
        <w:rPr>
          <w:rFonts w:ascii="Calibri" w:eastAsia="Calibri" w:hAnsi="Calibri" w:cs="Calibri"/>
          <w:color w:val="000000"/>
          <w:sz w:val="22"/>
          <w:szCs w:val="22"/>
        </w:rPr>
        <w:t xml:space="preserve"> Přesný harmonogram natáčení</w:t>
      </w:r>
      <w:r w:rsidR="008E647B" w:rsidRPr="00F4032C">
        <w:rPr>
          <w:rFonts w:ascii="Calibri" w:eastAsia="Calibri" w:hAnsi="Calibri" w:cs="Calibri"/>
          <w:color w:val="000000"/>
          <w:sz w:val="22"/>
          <w:szCs w:val="22"/>
        </w:rPr>
        <w:t xml:space="preserve"> obsahuje příloha číslo </w:t>
      </w:r>
      <w:r w:rsidR="00315703" w:rsidRPr="00F4032C">
        <w:rPr>
          <w:rFonts w:ascii="Calibri" w:eastAsia="Calibri" w:hAnsi="Calibri" w:cs="Calibri"/>
          <w:color w:val="000000"/>
          <w:sz w:val="22"/>
          <w:szCs w:val="22"/>
        </w:rPr>
        <w:t>2</w:t>
      </w:r>
      <w:r w:rsidR="008E647B" w:rsidRPr="00F4032C">
        <w:rPr>
          <w:rFonts w:ascii="Calibri" w:eastAsia="Calibri" w:hAnsi="Calibri" w:cs="Calibri"/>
          <w:color w:val="000000"/>
          <w:sz w:val="22"/>
          <w:szCs w:val="22"/>
        </w:rPr>
        <w:t xml:space="preserve">, která je </w:t>
      </w:r>
      <w:r w:rsidRPr="00F4032C">
        <w:rPr>
          <w:rFonts w:ascii="Calibri" w:eastAsia="Calibri" w:hAnsi="Calibri" w:cs="Calibri"/>
          <w:color w:val="000000"/>
          <w:sz w:val="22"/>
          <w:szCs w:val="22"/>
        </w:rPr>
        <w:t>nedílnou součástí této smlouvy.</w:t>
      </w:r>
    </w:p>
    <w:p w14:paraId="3299FC0C" w14:textId="15AED176" w:rsidR="004C3CF8" w:rsidRPr="00236AD0" w:rsidRDefault="00BA73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36AD0">
        <w:rPr>
          <w:rFonts w:ascii="Calibri" w:eastAsia="Calibri" w:hAnsi="Calibri" w:cs="Calibri"/>
          <w:color w:val="000000"/>
          <w:sz w:val="22"/>
          <w:szCs w:val="22"/>
        </w:rPr>
        <w:t xml:space="preserve">Každá ze smluvních stran může smlouvu písemně vypovědět i bez udání důvodů s výpovědní dobou  </w:t>
      </w:r>
      <w:r w:rsidR="009807D0" w:rsidRPr="00236AD0">
        <w:rPr>
          <w:rFonts w:ascii="Calibri" w:eastAsia="Calibri" w:hAnsi="Calibri" w:cs="Calibri"/>
          <w:color w:val="000000"/>
          <w:sz w:val="22"/>
          <w:szCs w:val="22"/>
        </w:rPr>
        <w:t>5 dní</w:t>
      </w:r>
      <w:r w:rsidRPr="00236AD0">
        <w:rPr>
          <w:rFonts w:ascii="Calibri" w:eastAsia="Calibri" w:hAnsi="Calibri" w:cs="Calibri"/>
          <w:color w:val="000000"/>
          <w:sz w:val="22"/>
          <w:szCs w:val="22"/>
        </w:rPr>
        <w:t>. Výpovědní doba běží ode dne následujícího poté, co byla výpověď doručena druhé straně</w:t>
      </w:r>
      <w:r w:rsidR="00236AD0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Pr="00236AD0">
        <w:rPr>
          <w:rFonts w:ascii="Calibri" w:eastAsia="Calibri" w:hAnsi="Calibri" w:cs="Calibri"/>
          <w:color w:val="000000"/>
          <w:sz w:val="22"/>
          <w:szCs w:val="22"/>
        </w:rPr>
        <w:t>Pokud tak učiní nájemce 3 a méně dnů před začátkem doby nájmu anebo v průběhu stanovené doby, je povinen uhradit nájemné v plné výši.</w:t>
      </w:r>
    </w:p>
    <w:p w14:paraId="58671F8A" w14:textId="77777777" w:rsidR="004C3CF8" w:rsidRPr="00236AD0" w:rsidRDefault="00BA73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36AD0">
        <w:rPr>
          <w:rFonts w:ascii="Calibri" w:eastAsia="Calibri" w:hAnsi="Calibri" w:cs="Calibri"/>
          <w:color w:val="000000"/>
          <w:sz w:val="22"/>
          <w:szCs w:val="22"/>
        </w:rPr>
        <w:t>Pronajímatel je oprávněn vypovědět nájem bez výpovědní doby v případech, kdy je tato možnost stanovena v občanském zákoníku a dále v dalších případech, kdy nájemce porušuje své povinnosti zvlášť závažným způsobem. Za zvlášť závažné porušení povinností nájemcem se považuje zejména:</w:t>
      </w:r>
    </w:p>
    <w:p w14:paraId="0731E068" w14:textId="68DA459D" w:rsidR="004C3CF8" w:rsidRPr="00236AD0" w:rsidRDefault="00BA73BF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113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36AD0">
        <w:rPr>
          <w:rFonts w:ascii="Calibri" w:eastAsia="Calibri" w:hAnsi="Calibri" w:cs="Calibri"/>
          <w:color w:val="000000"/>
          <w:sz w:val="22"/>
          <w:szCs w:val="22"/>
        </w:rPr>
        <w:t>jestliže nájemce užívá předmět nájmu k jinému než sjednanému účelu nebo nedodržuje závazné podmínky stanovené pro užívání předmětu nájmu (např.</w:t>
      </w:r>
      <w:r w:rsidR="009807D0" w:rsidRPr="00236AD0">
        <w:rPr>
          <w:rFonts w:ascii="Calibri" w:eastAsia="Calibri" w:hAnsi="Calibri" w:cs="Calibri"/>
          <w:color w:val="000000"/>
          <w:sz w:val="22"/>
          <w:szCs w:val="22"/>
        </w:rPr>
        <w:t xml:space="preserve"> poškození předmětu nájmu a jeho vybavení, nerespektování a nedodržování pokynů zástupců pronajímatele</w:t>
      </w:r>
      <w:r w:rsidRPr="00236AD0">
        <w:rPr>
          <w:rFonts w:ascii="Calibri" w:eastAsia="Calibri" w:hAnsi="Calibri" w:cs="Calibri"/>
          <w:color w:val="000000"/>
          <w:sz w:val="22"/>
          <w:szCs w:val="22"/>
        </w:rPr>
        <w:t>)</w:t>
      </w:r>
    </w:p>
    <w:p w14:paraId="1F7A9F25" w14:textId="77777777" w:rsidR="004C3CF8" w:rsidRPr="00236AD0" w:rsidRDefault="00BA73BF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113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36AD0">
        <w:rPr>
          <w:rFonts w:ascii="Calibri" w:eastAsia="Calibri" w:hAnsi="Calibri" w:cs="Calibri"/>
          <w:color w:val="000000"/>
          <w:sz w:val="22"/>
          <w:szCs w:val="22"/>
        </w:rPr>
        <w:t>jestliže nájemce poškozuje předmět nájmu závažným nebo nenapravitelným způsobem nebo způsobí-li jinak závažnou škodu na předmětu nájmu,</w:t>
      </w:r>
    </w:p>
    <w:p w14:paraId="3E380C1C" w14:textId="06F88261" w:rsidR="004C3CF8" w:rsidRPr="00236AD0" w:rsidRDefault="00BA73BF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113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36AD0">
        <w:rPr>
          <w:rFonts w:ascii="Calibri" w:eastAsia="Calibri" w:hAnsi="Calibri" w:cs="Calibri"/>
          <w:color w:val="000000"/>
          <w:sz w:val="22"/>
          <w:szCs w:val="22"/>
        </w:rPr>
        <w:t>jestliže nájemce bude v prodlení s</w:t>
      </w:r>
      <w:r w:rsidR="00236AD0" w:rsidRPr="00236AD0">
        <w:rPr>
          <w:rFonts w:ascii="Calibri" w:eastAsia="Calibri" w:hAnsi="Calibri" w:cs="Calibri"/>
          <w:color w:val="000000"/>
          <w:sz w:val="22"/>
          <w:szCs w:val="22"/>
        </w:rPr>
        <w:t>e</w:t>
      </w:r>
      <w:r w:rsidRPr="00236AD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236AD0" w:rsidRPr="00236AD0">
        <w:rPr>
          <w:rFonts w:ascii="Calibri" w:eastAsia="Calibri" w:hAnsi="Calibri" w:cs="Calibri"/>
          <w:color w:val="000000"/>
          <w:sz w:val="22"/>
          <w:szCs w:val="22"/>
        </w:rPr>
        <w:t>za</w:t>
      </w:r>
      <w:r w:rsidRPr="00236AD0">
        <w:rPr>
          <w:rFonts w:ascii="Calibri" w:eastAsia="Calibri" w:hAnsi="Calibri" w:cs="Calibri"/>
          <w:color w:val="000000"/>
          <w:sz w:val="22"/>
          <w:szCs w:val="22"/>
        </w:rPr>
        <w:t>placením nájemného nebo služeb spojených s</w:t>
      </w:r>
      <w:r w:rsidR="00236AD0" w:rsidRPr="00236AD0">
        <w:rPr>
          <w:rFonts w:ascii="Calibri" w:eastAsia="Calibri" w:hAnsi="Calibri" w:cs="Calibri"/>
          <w:color w:val="000000"/>
          <w:sz w:val="22"/>
          <w:szCs w:val="22"/>
        </w:rPr>
        <w:t> </w:t>
      </w:r>
      <w:r w:rsidRPr="00236AD0">
        <w:rPr>
          <w:rFonts w:ascii="Calibri" w:eastAsia="Calibri" w:hAnsi="Calibri" w:cs="Calibri"/>
          <w:color w:val="000000"/>
          <w:sz w:val="22"/>
          <w:szCs w:val="22"/>
        </w:rPr>
        <w:t>nájmem</w:t>
      </w:r>
      <w:r w:rsidR="00236AD0" w:rsidRPr="00236AD0">
        <w:rPr>
          <w:rFonts w:ascii="Calibri" w:eastAsia="Calibri" w:hAnsi="Calibri" w:cs="Calibri"/>
          <w:color w:val="000000"/>
          <w:sz w:val="22"/>
          <w:szCs w:val="22"/>
        </w:rPr>
        <w:t>.</w:t>
      </w:r>
      <w:r w:rsidRPr="00236AD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07355475" w14:textId="77777777" w:rsidR="004C3CF8" w:rsidRPr="00236AD0" w:rsidRDefault="00BA73BF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113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36AD0">
        <w:rPr>
          <w:rFonts w:ascii="Calibri" w:eastAsia="Calibri" w:hAnsi="Calibri" w:cs="Calibri"/>
          <w:color w:val="000000"/>
          <w:sz w:val="22"/>
          <w:szCs w:val="22"/>
        </w:rPr>
        <w:t xml:space="preserve">pokud přestanou být plněny podmínky podle článku I. odst. 2. smlouvy. </w:t>
      </w:r>
    </w:p>
    <w:p w14:paraId="280078C5" w14:textId="77777777" w:rsidR="004C3CF8" w:rsidRDefault="00BA73B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 v tomto případě zaniká dnem následujícím po dni doručení výpovědi nájemci.</w:t>
      </w:r>
    </w:p>
    <w:p w14:paraId="3525D6BD" w14:textId="209D9DF7" w:rsidR="004C3CF8" w:rsidRDefault="00BA73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je povinen předmět nájmu vyklidit a předat nejpozději den následující po ukončení nájemního vztahu s tím, že o vrácení bude vypracován písemný zápis</w:t>
      </w:r>
      <w:r w:rsidR="00EE7987">
        <w:rPr>
          <w:rFonts w:ascii="Calibri" w:eastAsia="Calibri" w:hAnsi="Calibri" w:cs="Calibri"/>
          <w:color w:val="000000"/>
          <w:sz w:val="22"/>
          <w:szCs w:val="22"/>
        </w:rPr>
        <w:t xml:space="preserve"> obsahují případný seznam poškození předmětu nájmu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V </w:t>
      </w:r>
      <w:r w:rsidRPr="004D6ED0">
        <w:rPr>
          <w:rFonts w:ascii="Calibri" w:eastAsia="Calibri" w:hAnsi="Calibri" w:cs="Calibri"/>
          <w:color w:val="000000"/>
          <w:sz w:val="22"/>
          <w:szCs w:val="22"/>
        </w:rPr>
        <w:t>případě prodlení se splněním povinnosti vyklidit a předat předmět nájmu, uhradí nájemce smluvní pokutu 30.000,-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Kč za každý den prodlení se splněním této povinnosti, a to bez ohledu na jeho zavinění. Tato povinnost platí i v případě nevyklizení a nepředání i jen části předmětu nájmu.</w:t>
      </w:r>
    </w:p>
    <w:p w14:paraId="07ABDAD8" w14:textId="77777777" w:rsidR="004C3CF8" w:rsidRDefault="00BA73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Pokud se po skončení platnosti smlouvy nacházejí v předmětu nájmu jakékoli věci, které do předmětu nájmu vnesl nájemce, a nájemce je neodstraní ani na základě písemné výzvy pronajímatele ve lhůtě jím stanovené, platí, že tyto věci jejich původní vlastník zjevně opustil a pronajímatel s nimi může naložit podle svého uvážení; může si je i přivlastnit, či je zlikvidovat na náklady nájemce.</w:t>
      </w:r>
    </w:p>
    <w:p w14:paraId="66F73D33" w14:textId="77777777" w:rsidR="004C3CF8" w:rsidRDefault="00BA73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Smluvní strany sjednaly, že ust. § </w:t>
      </w:r>
      <w:r w:rsidRPr="008D2DCF">
        <w:rPr>
          <w:rFonts w:ascii="Calibri" w:eastAsia="Calibri" w:hAnsi="Calibri" w:cs="Calibri"/>
          <w:color w:val="000000"/>
          <w:sz w:val="22"/>
          <w:szCs w:val="22"/>
        </w:rPr>
        <w:t>2230 zákona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č. 89/2012 Sb., občanský zákoník, ve znění pozdějších předpisů, o automatickém prodloužení nájmu se neuplatní.</w:t>
      </w:r>
    </w:p>
    <w:p w14:paraId="35F3B83A" w14:textId="77777777" w:rsidR="004C3CF8" w:rsidRDefault="004C3C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1EF55B8" w14:textId="77777777" w:rsidR="004C3CF8" w:rsidRDefault="00BA73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XII.</w:t>
      </w:r>
    </w:p>
    <w:p w14:paraId="35B86D14" w14:textId="77777777" w:rsidR="004C3CF8" w:rsidRDefault="00BA73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Zvláštní ustanovení</w:t>
      </w:r>
    </w:p>
    <w:p w14:paraId="7F3D6E0E" w14:textId="408E77C9" w:rsidR="004C3CF8" w:rsidRPr="004D6ED0" w:rsidRDefault="00BA73BF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D6ED0">
        <w:rPr>
          <w:rFonts w:ascii="Calibri" w:eastAsia="Calibri" w:hAnsi="Calibri" w:cs="Calibri"/>
          <w:color w:val="000000"/>
          <w:sz w:val="22"/>
          <w:szCs w:val="22"/>
        </w:rPr>
        <w:t>Nájemce se zavazuje, že bude postupovat podle pronajímatelem předem odsouhlaseného scénáře natáčení. Pořízený materiál bude zejména prostý jakýchkoli pornografických či jinak nevhodných výjevů a scén; nesmí sloužit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k žádnému účelu směřujícímu k podněcování nenávisti vůči skupině osob nebo k omezování jejich práv a svobod podněcováním nenávisti k některému národu, k etnické skupině, rase, náboženství, třídě nebo jiné skupině osob nebo k omezování práv a svobod jejich příslušníků. U snímků </w:t>
      </w:r>
      <w:r w:rsidRPr="004D6ED0">
        <w:rPr>
          <w:rFonts w:ascii="Calibri" w:eastAsia="Calibri" w:hAnsi="Calibri" w:cs="Calibri"/>
          <w:color w:val="000000"/>
          <w:sz w:val="22"/>
          <w:szCs w:val="22"/>
        </w:rPr>
        <w:t>obsahujících sakrální tematiku se nájemce zdrží jakýchkoliv nevhodných zobrazení způsobilých poškodit duchovní význam sakrálních předmětů či prostor a nevhodným způsobem tak působit na věřící osoby. V tomto smyslu nesmí být nájemcem poskytnuta licence k natočenému materiálu k jeho následnému využití způsobem narušujícím ujednání obsažené v tomto článku. V takovém případě zaplatí nájemce smluvní pokutu ve výši 50 000 Kč za každý takový případ.</w:t>
      </w:r>
    </w:p>
    <w:p w14:paraId="72B40E76" w14:textId="7CAA5B51" w:rsidR="004C3CF8" w:rsidRPr="004D6ED0" w:rsidRDefault="00BA73BF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D6ED0"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Nájemce se zavazuje v titulcích při využití natočeného materiálu uvést, že místem natáčení byl areál hradu </w:t>
      </w:r>
      <w:r w:rsidR="004D6ED0" w:rsidRPr="004D6ED0">
        <w:rPr>
          <w:rFonts w:ascii="Calibri" w:eastAsia="Calibri" w:hAnsi="Calibri" w:cs="Calibri"/>
          <w:color w:val="000000"/>
          <w:sz w:val="22"/>
          <w:szCs w:val="22"/>
        </w:rPr>
        <w:t>Kunětická hora</w:t>
      </w:r>
      <w:r w:rsidRPr="004D6ED0">
        <w:rPr>
          <w:rFonts w:ascii="Calibri" w:eastAsia="Calibri" w:hAnsi="Calibri" w:cs="Calibri"/>
          <w:color w:val="000000"/>
          <w:sz w:val="22"/>
          <w:szCs w:val="22"/>
        </w:rPr>
        <w:t>, a uvede poděkování Národnímu památkovému ústavu za umožnění natáčení</w:t>
      </w:r>
      <w:r w:rsidR="004D6ED0" w:rsidRPr="004D6ED0">
        <w:rPr>
          <w:rFonts w:ascii="Calibri" w:eastAsia="Calibri" w:hAnsi="Calibri" w:cs="Calibri"/>
          <w:color w:val="000000"/>
          <w:sz w:val="22"/>
          <w:szCs w:val="22"/>
        </w:rPr>
        <w:t>. P</w:t>
      </w:r>
      <w:r w:rsidRPr="004D6ED0">
        <w:rPr>
          <w:rFonts w:ascii="Calibri" w:eastAsia="Calibri" w:hAnsi="Calibri" w:cs="Calibri"/>
          <w:color w:val="000000"/>
          <w:sz w:val="22"/>
          <w:szCs w:val="22"/>
        </w:rPr>
        <w:t>ři vystavování a šíření fotografií uvede nájemce informace o místě jejich pořízení, a to název objektu, skutečnost, že je objekt ve správě Národního památkového ústavu a uvede poděkování NPÚ za umožnění fotografování. V případě porušení této povinnosti zaplatí nájemce smluvní pokutu ve výši 50 000 Kč.</w:t>
      </w:r>
    </w:p>
    <w:p w14:paraId="2D5CC5B0" w14:textId="792D13F5" w:rsidR="004C3CF8" w:rsidRPr="00EE7987" w:rsidRDefault="00BA73BF" w:rsidP="00EE7987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E7987">
        <w:rPr>
          <w:rFonts w:ascii="Calibri" w:eastAsia="Calibri" w:hAnsi="Calibri" w:cs="Calibri"/>
          <w:color w:val="000000"/>
          <w:sz w:val="22"/>
          <w:szCs w:val="22"/>
        </w:rPr>
        <w:t xml:space="preserve">Nájemce se zavazuje nahradit pronajímateli veškerou škodu, prokazatelně vzniklou vinou, opomenutím či nedbalostí nájemce, jím pověřených osob a dalších osob přítomných v předmětu nájmu v době jeho užívání nájemcem, v době užívání předmětu nájmu či v době přípravy předmětu nájmu před započetím nájmu. </w:t>
      </w:r>
    </w:p>
    <w:p w14:paraId="5B18C47B" w14:textId="77777777" w:rsidR="004C3CF8" w:rsidRDefault="00BA73B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XIII.</w:t>
      </w:r>
    </w:p>
    <w:p w14:paraId="603690D4" w14:textId="77777777" w:rsidR="004C3CF8" w:rsidRDefault="00BA73B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Závěrečná ustanovení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285EEF4E" w14:textId="77777777" w:rsidR="004C3CF8" w:rsidRDefault="00BA73BF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pokuty dle této smlouvy jsou splatné do 21 dnů od doručení písemné výzvy druhé smluvní straně. Uhrazením smluvní pokuty není dotčen nárok na náhradu škody.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5D0F5874" w14:textId="77777777" w:rsidR="004C3CF8" w:rsidRPr="00F964CE" w:rsidRDefault="00BA73BF">
      <w:pPr>
        <w:keepNext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Tato smlouva je uzavřena v souladu s příslušnými ustanoveními obecně závazných právních předpisů, a to zejména zákona č. </w:t>
      </w:r>
      <w:r w:rsidRPr="00F964CE">
        <w:rPr>
          <w:rFonts w:ascii="Calibri" w:eastAsia="Calibri" w:hAnsi="Calibri" w:cs="Calibri"/>
          <w:color w:val="000000"/>
          <w:sz w:val="22"/>
          <w:szCs w:val="22"/>
        </w:rPr>
        <w:t>89/2012 Sb., občanský zákoník, ve znění pozdějších předpisů, a zákona č. 219/2000 Sb., o majetku České republiky a jejím vystupování v právních vztazích, ve znění pozdějších předpisů.</w:t>
      </w:r>
    </w:p>
    <w:p w14:paraId="30C1412B" w14:textId="25F2CC6C" w:rsidR="004C3CF8" w:rsidRPr="00F964CE" w:rsidRDefault="00BA73B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964CE">
        <w:rPr>
          <w:rFonts w:ascii="Calibri" w:eastAsia="Calibri" w:hAnsi="Calibri" w:cs="Calibri"/>
          <w:color w:val="000000"/>
          <w:sz w:val="22"/>
          <w:szCs w:val="22"/>
        </w:rPr>
        <w:t xml:space="preserve">Tato smlouva byla sepsána ve dvou vyhotoveních. Každá ze smluvních stran obdržela po jednom totožném vyhotovení. </w:t>
      </w:r>
    </w:p>
    <w:p w14:paraId="00EDDF19" w14:textId="60A4A49C" w:rsidR="004C3CF8" w:rsidRDefault="00BA73B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33D5A">
        <w:rPr>
          <w:rFonts w:ascii="Calibri" w:eastAsia="Calibri" w:hAnsi="Calibri" w:cs="Calibri"/>
          <w:color w:val="000000"/>
          <w:sz w:val="22"/>
          <w:szCs w:val="22"/>
        </w:rPr>
        <w:t>Tato smlouva podléhá povinnosti uveřejnění dle zákona č. 340/2015 Sb., o zvláštních podmínkách účinnosti některých smluv, uveřejňování těchto smluv a o registru smluv (zákon o registru smluv), ve znění pozdějších předpisů a nabude účinnosti dnem uveřejnění v registru smluv; její uveřejnění zajistí pronajímatel.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Smluvní strany berou na vědomí, že tato smlouva může být předmětem zveřejnění i dle jiných právních předpisů.</w:t>
      </w:r>
    </w:p>
    <w:p w14:paraId="409478B4" w14:textId="77777777" w:rsidR="004C3CF8" w:rsidRDefault="00BA73B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1AE77B31" w14:textId="77777777" w:rsidR="004C3CF8" w:rsidRDefault="00BA73B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Smlouvu je možno měnit či doplňovat výhradně písemnými číslovanými dodatky. </w:t>
      </w:r>
    </w:p>
    <w:p w14:paraId="3D6DD806" w14:textId="77777777" w:rsidR="004C3CF8" w:rsidRDefault="00BA73B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3A053420" w14:textId="77777777" w:rsidR="004C3CF8" w:rsidRDefault="004C3C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CB6B77C" w14:textId="77777777" w:rsidR="004C3CF8" w:rsidRDefault="00BA73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Přílohy:</w:t>
      </w:r>
    </w:p>
    <w:p w14:paraId="47229EC6" w14:textId="1E679EE6" w:rsidR="008A78A3" w:rsidRDefault="00BA73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Příloha č. </w:t>
      </w:r>
      <w:r w:rsidR="009C681C">
        <w:rPr>
          <w:rFonts w:ascii="Calibri" w:eastAsia="Calibri" w:hAnsi="Calibri" w:cs="Calibri"/>
          <w:color w:val="000000"/>
          <w:sz w:val="22"/>
          <w:szCs w:val="22"/>
        </w:rPr>
        <w:t>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– </w:t>
      </w:r>
      <w:r w:rsidR="008A78A3">
        <w:rPr>
          <w:rFonts w:ascii="Calibri" w:eastAsia="Calibri" w:hAnsi="Calibri" w:cs="Calibri"/>
          <w:color w:val="000000"/>
          <w:sz w:val="22"/>
          <w:szCs w:val="22"/>
        </w:rPr>
        <w:t>Situace – určení míst předmětu nájmu</w:t>
      </w:r>
    </w:p>
    <w:p w14:paraId="177582AC" w14:textId="45B9880B" w:rsidR="00F964CE" w:rsidRDefault="008A78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Příloha č. 2 - </w:t>
      </w:r>
      <w:r w:rsidR="00F964CE">
        <w:rPr>
          <w:rFonts w:ascii="Calibri" w:eastAsia="Calibri" w:hAnsi="Calibri" w:cs="Calibri"/>
          <w:color w:val="000000"/>
          <w:sz w:val="22"/>
          <w:szCs w:val="22"/>
        </w:rPr>
        <w:t>Harmonogram natáčení s určením předmětu nájmu</w:t>
      </w:r>
    </w:p>
    <w:p w14:paraId="3A982E77" w14:textId="6A85B5EC" w:rsidR="004C3CF8" w:rsidRDefault="00BA73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964CE">
        <w:rPr>
          <w:rFonts w:ascii="Calibri" w:eastAsia="Calibri" w:hAnsi="Calibri" w:cs="Calibri"/>
          <w:color w:val="000000"/>
          <w:sz w:val="22"/>
          <w:szCs w:val="22"/>
        </w:rPr>
        <w:t xml:space="preserve">Příloha č. </w:t>
      </w:r>
      <w:r w:rsidR="00315703">
        <w:rPr>
          <w:rFonts w:ascii="Calibri" w:eastAsia="Calibri" w:hAnsi="Calibri" w:cs="Calibri"/>
          <w:color w:val="000000"/>
          <w:sz w:val="22"/>
          <w:szCs w:val="22"/>
        </w:rPr>
        <w:t>3</w:t>
      </w:r>
      <w:r w:rsidRPr="00F964C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F964CE" w:rsidRPr="00F964CE">
        <w:rPr>
          <w:rFonts w:ascii="Calibri" w:eastAsia="Calibri" w:hAnsi="Calibri" w:cs="Calibri"/>
          <w:color w:val="000000"/>
          <w:sz w:val="22"/>
          <w:szCs w:val="22"/>
        </w:rPr>
        <w:t>–</w:t>
      </w:r>
      <w:r w:rsidRPr="00F964C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F964CE" w:rsidRPr="00F964CE">
        <w:rPr>
          <w:rFonts w:ascii="Calibri" w:eastAsia="Calibri" w:hAnsi="Calibri" w:cs="Calibri"/>
          <w:color w:val="000000"/>
          <w:sz w:val="22"/>
          <w:szCs w:val="22"/>
        </w:rPr>
        <w:t>Cenový rozpis nájmu</w:t>
      </w:r>
    </w:p>
    <w:p w14:paraId="22EB248C" w14:textId="77777777" w:rsidR="00386C0D" w:rsidRDefault="00BA73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Příloha č. </w:t>
      </w:r>
      <w:r w:rsidR="00315703">
        <w:rPr>
          <w:rFonts w:ascii="Calibri" w:eastAsia="Calibri" w:hAnsi="Calibri" w:cs="Calibri"/>
          <w:color w:val="000000"/>
          <w:sz w:val="22"/>
          <w:szCs w:val="22"/>
        </w:rPr>
        <w:t>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386C0D">
        <w:rPr>
          <w:rFonts w:ascii="Calibri" w:eastAsia="Calibri" w:hAnsi="Calibri" w:cs="Calibri"/>
          <w:color w:val="000000"/>
          <w:sz w:val="22"/>
          <w:szCs w:val="22"/>
        </w:rPr>
        <w:t>–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</w:t>
      </w:r>
      <w:r w:rsidR="00386C0D">
        <w:rPr>
          <w:rFonts w:ascii="Calibri" w:eastAsia="Calibri" w:hAnsi="Calibri" w:cs="Calibri"/>
          <w:color w:val="000000"/>
          <w:sz w:val="22"/>
          <w:szCs w:val="22"/>
        </w:rPr>
        <w:t xml:space="preserve">lná moc </w:t>
      </w:r>
    </w:p>
    <w:p w14:paraId="7B3B5063" w14:textId="4AC0CB6B" w:rsidR="004C3CF8" w:rsidRDefault="00386C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Příloha č. 5 - P</w:t>
      </w:r>
      <w:r w:rsidR="00BA73BF">
        <w:rPr>
          <w:rFonts w:ascii="Calibri" w:eastAsia="Calibri" w:hAnsi="Calibri" w:cs="Calibri"/>
          <w:color w:val="000000"/>
          <w:sz w:val="22"/>
          <w:szCs w:val="22"/>
        </w:rPr>
        <w:t>rotokol o předání a převzetí předmětu nájmu</w:t>
      </w:r>
    </w:p>
    <w:p w14:paraId="2D87D8E8" w14:textId="77777777" w:rsidR="004C3CF8" w:rsidRDefault="004C3CF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F990855" w14:textId="77777777" w:rsidR="004C3CF8" w:rsidRDefault="004C3C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8" w:name="2s8eyo1" w:colFirst="0" w:colLast="0"/>
      <w:bookmarkEnd w:id="8"/>
    </w:p>
    <w:tbl>
      <w:tblPr>
        <w:tblStyle w:val="a"/>
        <w:tblW w:w="921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4C3CF8" w14:paraId="5FC7C2FE" w14:textId="77777777">
        <w:trPr>
          <w:jc w:val="center"/>
        </w:trPr>
        <w:tc>
          <w:tcPr>
            <w:tcW w:w="4606" w:type="dxa"/>
          </w:tcPr>
          <w:p w14:paraId="3CE18CBB" w14:textId="00B7512B" w:rsidR="004C3CF8" w:rsidRDefault="00386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 Kunětické hoře</w:t>
            </w:r>
            <w:r w:rsidR="00BA73B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dne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5. 8. 2024</w:t>
            </w:r>
            <w:r w:rsidR="00BA73B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     </w:t>
            </w:r>
          </w:p>
          <w:p w14:paraId="33E0B255" w14:textId="1CFFCC49" w:rsidR="004C3CF8" w:rsidRDefault="00F66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</w:t>
            </w:r>
          </w:p>
          <w:p w14:paraId="1C4CDC52" w14:textId="4BACFA6C" w:rsidR="00F663F6" w:rsidRDefault="00F66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263CE5" w14:textId="10FC1F36" w:rsidR="004C3CF8" w:rsidRDefault="004C3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346106B" w14:textId="77777777" w:rsidR="00F663F6" w:rsidRDefault="00F66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BFB0B1D" w14:textId="77777777" w:rsidR="004C3CF8" w:rsidRDefault="00BA7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58E61CEB" w14:textId="77777777" w:rsidR="004C3CF8" w:rsidRDefault="00BA7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pronajímatele)</w:t>
            </w:r>
          </w:p>
          <w:p w14:paraId="0EF044DB" w14:textId="77777777" w:rsidR="004C3CF8" w:rsidRDefault="00BA7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14:paraId="328E4519" w14:textId="4A24F0CC" w:rsidR="004C3CF8" w:rsidRDefault="00BA7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     </w:t>
            </w:r>
          </w:p>
          <w:p w14:paraId="16FDAB1F" w14:textId="0ECB7CB3" w:rsidR="004C3CF8" w:rsidRDefault="00F66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4D1AA85C" w14:textId="12B9C2CB" w:rsidR="00F663F6" w:rsidRDefault="00F66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B729266" w14:textId="75675D25" w:rsidR="00F663F6" w:rsidRDefault="00F66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96D4BA8" w14:textId="77777777" w:rsidR="00F663F6" w:rsidRDefault="00F66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0ECD16B" w14:textId="77777777" w:rsidR="004C3CF8" w:rsidRDefault="00BA7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482AF074" w14:textId="77777777" w:rsidR="004C3CF8" w:rsidRDefault="00BA7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nájemce)</w:t>
            </w:r>
          </w:p>
          <w:p w14:paraId="32577246" w14:textId="77777777" w:rsidR="004C3CF8" w:rsidRDefault="00BA7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</w:tr>
    </w:tbl>
    <w:p w14:paraId="0D9062C4" w14:textId="125780A7" w:rsidR="00CD0A46" w:rsidRDefault="00CD0A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1EF4E13" w14:textId="77777777" w:rsidR="004C3CF8" w:rsidRPr="00CD0A46" w:rsidRDefault="004C3CF8" w:rsidP="00CD0A46">
      <w:pPr>
        <w:rPr>
          <w:rFonts w:ascii="Calibri" w:eastAsia="Calibri" w:hAnsi="Calibri" w:cs="Calibri"/>
          <w:sz w:val="22"/>
          <w:szCs w:val="22"/>
        </w:rPr>
        <w:sectPr w:rsidR="004C3CF8" w:rsidRPr="00CD0A46">
          <w:headerReference w:type="default" r:id="rId9"/>
          <w:footerReference w:type="default" r:id="rId10"/>
          <w:pgSz w:w="11906" w:h="16838"/>
          <w:pgMar w:top="1418" w:right="1134" w:bottom="720" w:left="1134" w:header="708" w:footer="708" w:gutter="0"/>
          <w:pgNumType w:start="1"/>
          <w:cols w:space="708"/>
        </w:sectPr>
      </w:pPr>
    </w:p>
    <w:p w14:paraId="3E4791FF" w14:textId="7AE1D2E0" w:rsidR="004C3CF8" w:rsidRDefault="00BA73BF" w:rsidP="008D2D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 </w:t>
      </w:r>
    </w:p>
    <w:sectPr w:rsidR="004C3CF8">
      <w:footerReference w:type="default" r:id="rId11"/>
      <w:pgSz w:w="11906" w:h="16838"/>
      <w:pgMar w:top="1417" w:right="1417" w:bottom="71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FD21A" w14:textId="77777777" w:rsidR="00176323" w:rsidRDefault="00176323">
      <w:r>
        <w:separator/>
      </w:r>
    </w:p>
  </w:endnote>
  <w:endnote w:type="continuationSeparator" w:id="0">
    <w:p w14:paraId="1B599A64" w14:textId="77777777" w:rsidR="00176323" w:rsidRDefault="00176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93663" w14:textId="3B9F63E2" w:rsidR="00F663F6" w:rsidRDefault="00F663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ab/>
      <w:t xml:space="preserve">strana </w:t>
    </w: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8D2DCF">
      <w:rPr>
        <w:rFonts w:ascii="Calibri" w:eastAsia="Calibri" w:hAnsi="Calibri" w:cs="Calibri"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  <w:r>
      <w:rPr>
        <w:rFonts w:ascii="Calibri" w:eastAsia="Calibri" w:hAnsi="Calibri" w:cs="Calibri"/>
        <w:color w:val="000000"/>
        <w:sz w:val="22"/>
        <w:szCs w:val="22"/>
      </w:rPr>
      <w:t xml:space="preserve"> (celkem </w:t>
    </w:r>
    <w:r w:rsidR="00881D26">
      <w:rPr>
        <w:rFonts w:ascii="Calibri" w:eastAsia="Calibri" w:hAnsi="Calibri" w:cs="Calibri"/>
        <w:color w:val="000000"/>
        <w:sz w:val="22"/>
        <w:szCs w:val="22"/>
      </w:rPr>
      <w:t>7</w:t>
    </w:r>
    <w:r>
      <w:rPr>
        <w:rFonts w:ascii="Calibri" w:eastAsia="Calibri" w:hAnsi="Calibri" w:cs="Calibri"/>
        <w:color w:val="000000"/>
        <w:sz w:val="22"/>
        <w:szCs w:val="22"/>
      </w:rPr>
      <w:t>)</w:t>
    </w:r>
    <w:r>
      <w:rPr>
        <w:rFonts w:ascii="Calibri" w:eastAsia="Calibri" w:hAnsi="Calibri" w:cs="Calibri"/>
        <w:color w:val="000000"/>
        <w:sz w:val="22"/>
        <w:szCs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63823" w14:textId="705DC1EE" w:rsidR="004C3CF8" w:rsidRDefault="004C3C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C94C1" w14:textId="77777777" w:rsidR="00176323" w:rsidRDefault="00176323">
      <w:r>
        <w:separator/>
      </w:r>
    </w:p>
  </w:footnote>
  <w:footnote w:type="continuationSeparator" w:id="0">
    <w:p w14:paraId="6BBF8BB9" w14:textId="77777777" w:rsidR="00176323" w:rsidRDefault="00176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B2DDE" w14:textId="3BB7CBD0" w:rsidR="004C3CF8" w:rsidRDefault="00342D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noProof/>
        <w:color w:val="000000"/>
      </w:rPr>
      <w:drawing>
        <wp:inline distT="0" distB="0" distL="0" distR="0" wp14:anchorId="54BA609D" wp14:editId="3B2BCEED">
          <wp:extent cx="1781175" cy="495300"/>
          <wp:effectExtent l="0" t="0" r="952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000000"/>
      </w:rPr>
      <w:tab/>
    </w:r>
    <w:r>
      <w:rPr>
        <w:rFonts w:ascii="Arial" w:eastAsia="Arial" w:hAnsi="Arial" w:cs="Arial"/>
        <w:color w:val="000000"/>
      </w:rPr>
      <w:tab/>
    </w:r>
  </w:p>
  <w:p w14:paraId="5C6B5997" w14:textId="77777777" w:rsidR="004C3CF8" w:rsidRDefault="004C3C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Arial" w:eastAsia="Arial" w:hAnsi="Arial" w:cs="Arial"/>
        <w:color w:val="000000"/>
      </w:rPr>
    </w:pPr>
  </w:p>
  <w:p w14:paraId="1D58DBAF" w14:textId="77777777" w:rsidR="004C3CF8" w:rsidRDefault="004C3C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B6C9F"/>
    <w:multiLevelType w:val="multilevel"/>
    <w:tmpl w:val="DDF0B96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BDB0C84"/>
    <w:multiLevelType w:val="multilevel"/>
    <w:tmpl w:val="A8DA5B90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502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2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222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222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582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582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942" w:hanging="1800"/>
      </w:pPr>
      <w:rPr>
        <w:vertAlign w:val="baseline"/>
      </w:rPr>
    </w:lvl>
  </w:abstractNum>
  <w:abstractNum w:abstractNumId="2" w15:restartNumberingAfterBreak="0">
    <w:nsid w:val="15022012"/>
    <w:multiLevelType w:val="multilevel"/>
    <w:tmpl w:val="F96419F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-"/>
      <w:lvlJc w:val="left"/>
      <w:pPr>
        <w:ind w:left="1298" w:hanging="359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01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3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5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7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9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1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38" w:hanging="180"/>
      </w:pPr>
      <w:rPr>
        <w:vertAlign w:val="baseline"/>
      </w:rPr>
    </w:lvl>
  </w:abstractNum>
  <w:abstractNum w:abstractNumId="3" w15:restartNumberingAfterBreak="0">
    <w:nsid w:val="215161C3"/>
    <w:multiLevelType w:val="multilevel"/>
    <w:tmpl w:val="63AE7232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25B65DA9"/>
    <w:multiLevelType w:val="multilevel"/>
    <w:tmpl w:val="DFEAC25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3F63417"/>
    <w:multiLevelType w:val="multilevel"/>
    <w:tmpl w:val="48763D54"/>
    <w:lvl w:ilvl="0">
      <w:start w:val="1"/>
      <w:numFmt w:val="bullet"/>
      <w:lvlText w:val="●"/>
      <w:lvlJc w:val="left"/>
      <w:pPr>
        <w:ind w:left="122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6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8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2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4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8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2BB3083"/>
    <w:multiLevelType w:val="multilevel"/>
    <w:tmpl w:val="C0A02FBC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 w15:restartNumberingAfterBreak="0">
    <w:nsid w:val="4862288C"/>
    <w:multiLevelType w:val="multilevel"/>
    <w:tmpl w:val="7B3AC6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49191681"/>
    <w:multiLevelType w:val="multilevel"/>
    <w:tmpl w:val="0DC834E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52555C9F"/>
    <w:multiLevelType w:val="multilevel"/>
    <w:tmpl w:val="F8D0019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0" w15:restartNumberingAfterBreak="0">
    <w:nsid w:val="547B36B9"/>
    <w:multiLevelType w:val="multilevel"/>
    <w:tmpl w:val="36E41354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2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 w15:restartNumberingAfterBreak="0">
    <w:nsid w:val="5B0A480F"/>
    <w:multiLevelType w:val="multilevel"/>
    <w:tmpl w:val="337EB05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 w15:restartNumberingAfterBreak="0">
    <w:nsid w:val="673D59CE"/>
    <w:multiLevelType w:val="multilevel"/>
    <w:tmpl w:val="F81CDAB2"/>
    <w:lvl w:ilvl="0">
      <w:start w:val="1"/>
      <w:numFmt w:val="lowerLetter"/>
      <w:lvlText w:val="%1)"/>
      <w:lvlJc w:val="left"/>
      <w:pPr>
        <w:ind w:left="148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0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2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4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6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8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0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2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45" w:hanging="180"/>
      </w:pPr>
      <w:rPr>
        <w:vertAlign w:val="baseline"/>
      </w:rPr>
    </w:lvl>
  </w:abstractNum>
  <w:abstractNum w:abstractNumId="13" w15:restartNumberingAfterBreak="0">
    <w:nsid w:val="71372278"/>
    <w:multiLevelType w:val="multilevel"/>
    <w:tmpl w:val="FEB8935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753D764D"/>
    <w:multiLevelType w:val="multilevel"/>
    <w:tmpl w:val="805A9C9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5" w15:restartNumberingAfterBreak="0">
    <w:nsid w:val="75661376"/>
    <w:multiLevelType w:val="multilevel"/>
    <w:tmpl w:val="B0EE193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Letter"/>
      <w:lvlText w:val="%3."/>
      <w:lvlJc w:val="lef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76EE6A9E"/>
    <w:multiLevelType w:val="multilevel"/>
    <w:tmpl w:val="FDE289D8"/>
    <w:lvl w:ilvl="0">
      <w:start w:val="1"/>
      <w:numFmt w:val="decimal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b w:val="0"/>
        <w:i w:val="0"/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7" w15:restartNumberingAfterBreak="0">
    <w:nsid w:val="7AAE46C0"/>
    <w:multiLevelType w:val="multilevel"/>
    <w:tmpl w:val="F386DC26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18" w15:restartNumberingAfterBreak="0">
    <w:nsid w:val="7B5B1A92"/>
    <w:multiLevelType w:val="multilevel"/>
    <w:tmpl w:val="0CF219BA"/>
    <w:lvl w:ilvl="0">
      <w:start w:val="1"/>
      <w:numFmt w:val="lowerLetter"/>
      <w:lvlText w:val="%1)"/>
      <w:lvlJc w:val="left"/>
      <w:pPr>
        <w:ind w:left="122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9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82" w:hanging="180"/>
      </w:pPr>
      <w:rPr>
        <w:vertAlign w:val="baseline"/>
      </w:rPr>
    </w:lvl>
  </w:abstractNum>
  <w:abstractNum w:abstractNumId="19" w15:restartNumberingAfterBreak="0">
    <w:nsid w:val="7D5A46FE"/>
    <w:multiLevelType w:val="multilevel"/>
    <w:tmpl w:val="A4AABE94"/>
    <w:lvl w:ilvl="0">
      <w:start w:val="1"/>
      <w:numFmt w:val="decimal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8"/>
  </w:num>
  <w:num w:numId="2">
    <w:abstractNumId w:val="4"/>
  </w:num>
  <w:num w:numId="3">
    <w:abstractNumId w:val="5"/>
  </w:num>
  <w:num w:numId="4">
    <w:abstractNumId w:val="0"/>
  </w:num>
  <w:num w:numId="5">
    <w:abstractNumId w:val="17"/>
  </w:num>
  <w:num w:numId="6">
    <w:abstractNumId w:val="3"/>
  </w:num>
  <w:num w:numId="7">
    <w:abstractNumId w:val="6"/>
  </w:num>
  <w:num w:numId="8">
    <w:abstractNumId w:val="11"/>
  </w:num>
  <w:num w:numId="9">
    <w:abstractNumId w:val="8"/>
  </w:num>
  <w:num w:numId="10">
    <w:abstractNumId w:val="7"/>
  </w:num>
  <w:num w:numId="11">
    <w:abstractNumId w:val="15"/>
  </w:num>
  <w:num w:numId="12">
    <w:abstractNumId w:val="13"/>
  </w:num>
  <w:num w:numId="13">
    <w:abstractNumId w:val="1"/>
  </w:num>
  <w:num w:numId="14">
    <w:abstractNumId w:val="19"/>
  </w:num>
  <w:num w:numId="15">
    <w:abstractNumId w:val="14"/>
  </w:num>
  <w:num w:numId="16">
    <w:abstractNumId w:val="9"/>
  </w:num>
  <w:num w:numId="17">
    <w:abstractNumId w:val="2"/>
  </w:num>
  <w:num w:numId="18">
    <w:abstractNumId w:val="10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CF8"/>
    <w:rsid w:val="000A13A9"/>
    <w:rsid w:val="000A7CEC"/>
    <w:rsid w:val="000F6079"/>
    <w:rsid w:val="00110204"/>
    <w:rsid w:val="00116E05"/>
    <w:rsid w:val="00123C86"/>
    <w:rsid w:val="00135093"/>
    <w:rsid w:val="00154F36"/>
    <w:rsid w:val="00176323"/>
    <w:rsid w:val="00236AD0"/>
    <w:rsid w:val="002679A2"/>
    <w:rsid w:val="002D499C"/>
    <w:rsid w:val="00315703"/>
    <w:rsid w:val="00342D11"/>
    <w:rsid w:val="003475A2"/>
    <w:rsid w:val="00386C0D"/>
    <w:rsid w:val="003870A6"/>
    <w:rsid w:val="003C4FBF"/>
    <w:rsid w:val="003F4D32"/>
    <w:rsid w:val="00412CFD"/>
    <w:rsid w:val="00427318"/>
    <w:rsid w:val="00443765"/>
    <w:rsid w:val="004C3CF8"/>
    <w:rsid w:val="004D6ED0"/>
    <w:rsid w:val="006539C3"/>
    <w:rsid w:val="006B2237"/>
    <w:rsid w:val="007644C5"/>
    <w:rsid w:val="00797796"/>
    <w:rsid w:val="00802E45"/>
    <w:rsid w:val="008306C8"/>
    <w:rsid w:val="00881D26"/>
    <w:rsid w:val="008A78A3"/>
    <w:rsid w:val="008B2C66"/>
    <w:rsid w:val="008B3DD3"/>
    <w:rsid w:val="008C2D7B"/>
    <w:rsid w:val="008D2DCF"/>
    <w:rsid w:val="008E647B"/>
    <w:rsid w:val="009135FD"/>
    <w:rsid w:val="00942257"/>
    <w:rsid w:val="009807D0"/>
    <w:rsid w:val="009A6933"/>
    <w:rsid w:val="009C681C"/>
    <w:rsid w:val="009E15DC"/>
    <w:rsid w:val="009F245F"/>
    <w:rsid w:val="00A14326"/>
    <w:rsid w:val="00A33D5A"/>
    <w:rsid w:val="00AA782C"/>
    <w:rsid w:val="00AF2AEB"/>
    <w:rsid w:val="00AF64F3"/>
    <w:rsid w:val="00BA73BF"/>
    <w:rsid w:val="00BE6BD9"/>
    <w:rsid w:val="00BF251E"/>
    <w:rsid w:val="00C13946"/>
    <w:rsid w:val="00C244DB"/>
    <w:rsid w:val="00C34C86"/>
    <w:rsid w:val="00C71FEB"/>
    <w:rsid w:val="00C76CCF"/>
    <w:rsid w:val="00C92E3B"/>
    <w:rsid w:val="00C950B3"/>
    <w:rsid w:val="00CD0A46"/>
    <w:rsid w:val="00CF0E17"/>
    <w:rsid w:val="00DA3229"/>
    <w:rsid w:val="00DE2881"/>
    <w:rsid w:val="00DE5493"/>
    <w:rsid w:val="00E504E8"/>
    <w:rsid w:val="00EA5881"/>
    <w:rsid w:val="00EE7987"/>
    <w:rsid w:val="00F4032C"/>
    <w:rsid w:val="00F43C0D"/>
    <w:rsid w:val="00F47C81"/>
    <w:rsid w:val="00F62D8E"/>
    <w:rsid w:val="00F663F6"/>
    <w:rsid w:val="00F9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C1DFD3"/>
  <w15:docId w15:val="{BF2D7F69-CF7C-4E0C-A13A-423DEBD4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70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70A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4F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4FB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43C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3C0D"/>
  </w:style>
  <w:style w:type="paragraph" w:styleId="Zpat">
    <w:name w:val="footer"/>
    <w:basedOn w:val="Normln"/>
    <w:link w:val="ZpatChar"/>
    <w:uiPriority w:val="99"/>
    <w:unhideWhenUsed/>
    <w:rsid w:val="00F43C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3C0D"/>
  </w:style>
  <w:style w:type="character" w:styleId="Hypertextovodkaz">
    <w:name w:val="Hyperlink"/>
    <w:basedOn w:val="Standardnpsmoodstavce"/>
    <w:uiPriority w:val="99"/>
    <w:unhideWhenUsed/>
    <w:rsid w:val="00123C86"/>
    <w:rPr>
      <w:color w:val="0000FF" w:themeColor="hyperlink"/>
      <w:u w:val="single"/>
    </w:rPr>
  </w:style>
  <w:style w:type="character" w:customStyle="1" w:styleId="Zkladntext3">
    <w:name w:val="Základní text (3)_"/>
    <w:link w:val="Zkladntext31"/>
    <w:locked/>
    <w:rsid w:val="00123C86"/>
    <w:rPr>
      <w:rFonts w:ascii="Calibri" w:hAnsi="Calibri"/>
      <w:b/>
      <w:bCs/>
      <w:sz w:val="21"/>
      <w:szCs w:val="21"/>
      <w:shd w:val="clear" w:color="auto" w:fill="FFFFFF"/>
    </w:rPr>
  </w:style>
  <w:style w:type="paragraph" w:customStyle="1" w:styleId="Zkladntext31">
    <w:name w:val="Základní text (3)1"/>
    <w:basedOn w:val="Normln"/>
    <w:link w:val="Zkladntext3"/>
    <w:rsid w:val="00123C86"/>
    <w:pPr>
      <w:widowControl w:val="0"/>
      <w:shd w:val="clear" w:color="auto" w:fill="FFFFFF"/>
      <w:spacing w:before="840" w:line="533" w:lineRule="exact"/>
      <w:ind w:hanging="400"/>
    </w:pPr>
    <w:rPr>
      <w:rFonts w:ascii="Calibri" w:hAnsi="Calibri"/>
      <w:b/>
      <w:bCs/>
      <w:sz w:val="21"/>
      <w:szCs w:val="21"/>
      <w:shd w:val="clear" w:color="auto" w:fill="FFFFFF"/>
    </w:rPr>
  </w:style>
  <w:style w:type="character" w:customStyle="1" w:styleId="Zkladntext30">
    <w:name w:val="Základní text (3)"/>
    <w:rsid w:val="00123C86"/>
  </w:style>
  <w:style w:type="character" w:customStyle="1" w:styleId="object">
    <w:name w:val="object"/>
    <w:basedOn w:val="Standardnpsmoodstavce"/>
    <w:rsid w:val="00154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7B27B-D87A-4452-BEDF-1D44B1024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8</Pages>
  <Words>3548</Words>
  <Characters>20940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Kopačková Slávka</dc:creator>
  <cp:lastModifiedBy>Michaela Löfflerová</cp:lastModifiedBy>
  <cp:revision>41</cp:revision>
  <dcterms:created xsi:type="dcterms:W3CDTF">2023-09-18T10:13:00Z</dcterms:created>
  <dcterms:modified xsi:type="dcterms:W3CDTF">2024-08-06T12:01:00Z</dcterms:modified>
</cp:coreProperties>
</file>