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DDB6" w14:textId="4B58B57E" w:rsidR="00126CC2" w:rsidRPr="00BD0096" w:rsidRDefault="00126CC2" w:rsidP="00126CC2">
      <w:pPr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Č.j. </w:t>
      </w:r>
      <w:r w:rsidR="006C34CB" w:rsidRPr="00E9682F">
        <w:rPr>
          <w:rFonts w:ascii="Arial" w:hAnsi="Arial" w:cs="Arial"/>
          <w:sz w:val="22"/>
          <w:szCs w:val="22"/>
        </w:rPr>
        <w:t>objednatele</w:t>
      </w:r>
      <w:r w:rsidR="006C34CB" w:rsidRPr="00BD0096">
        <w:rPr>
          <w:rFonts w:ascii="Arial" w:hAnsi="Arial" w:cs="Arial"/>
          <w:sz w:val="22"/>
          <w:szCs w:val="22"/>
        </w:rPr>
        <w:t>:</w:t>
      </w:r>
      <w:r w:rsidR="00FF5122" w:rsidRPr="00BD0096">
        <w:rPr>
          <w:rFonts w:ascii="Arial" w:hAnsi="Arial" w:cs="Arial"/>
          <w:sz w:val="22"/>
          <w:szCs w:val="22"/>
        </w:rPr>
        <w:t xml:space="preserve"> </w:t>
      </w:r>
      <w:r w:rsidR="00B771E4" w:rsidRPr="00BD0096">
        <w:rPr>
          <w:rFonts w:ascii="Arial" w:hAnsi="Arial" w:cs="Arial"/>
          <w:sz w:val="22"/>
          <w:szCs w:val="22"/>
        </w:rPr>
        <w:t>MZe-38461/2024-18111</w:t>
      </w:r>
      <w:r w:rsidR="0014168D" w:rsidRPr="00BD0096">
        <w:rPr>
          <w:rFonts w:ascii="Arial" w:hAnsi="Arial" w:cs="Arial"/>
          <w:sz w:val="22"/>
          <w:szCs w:val="22"/>
        </w:rPr>
        <w:tab/>
      </w:r>
      <w:r w:rsidR="0014168D" w:rsidRPr="00BD0096">
        <w:rPr>
          <w:rFonts w:ascii="Arial" w:hAnsi="Arial" w:cs="Arial"/>
          <w:sz w:val="22"/>
          <w:szCs w:val="22"/>
        </w:rPr>
        <w:tab/>
      </w:r>
      <w:r w:rsidR="0014168D" w:rsidRPr="00BD0096">
        <w:rPr>
          <w:rFonts w:ascii="Arial" w:hAnsi="Arial" w:cs="Arial"/>
          <w:sz w:val="22"/>
          <w:szCs w:val="22"/>
        </w:rPr>
        <w:tab/>
      </w:r>
      <w:r w:rsidRPr="00BD0096">
        <w:rPr>
          <w:rFonts w:ascii="Arial" w:hAnsi="Arial"/>
          <w:color w:val="FF0000"/>
          <w:sz w:val="22"/>
          <w:szCs w:val="22"/>
        </w:rPr>
        <w:tab/>
        <w:t xml:space="preserve"> </w:t>
      </w:r>
      <w:r w:rsidR="00E61B22" w:rsidRPr="00BD0096">
        <w:rPr>
          <w:rFonts w:ascii="Arial" w:hAnsi="Arial"/>
          <w:color w:val="FF0000"/>
          <w:sz w:val="22"/>
          <w:szCs w:val="22"/>
        </w:rPr>
        <w:t xml:space="preserve">                </w:t>
      </w:r>
      <w:r w:rsidRPr="00BD0096">
        <w:rPr>
          <w:rFonts w:ascii="Arial" w:hAnsi="Arial"/>
          <w:sz w:val="22"/>
          <w:szCs w:val="22"/>
        </w:rPr>
        <w:t>Č.</w:t>
      </w:r>
      <w:r w:rsidR="00323CFA" w:rsidRPr="00BD0096">
        <w:rPr>
          <w:rFonts w:ascii="Arial" w:hAnsi="Arial"/>
          <w:sz w:val="22"/>
          <w:szCs w:val="22"/>
        </w:rPr>
        <w:t>j.</w:t>
      </w:r>
      <w:r w:rsidRPr="00BD0096">
        <w:rPr>
          <w:rFonts w:ascii="Arial" w:hAnsi="Arial"/>
          <w:sz w:val="22"/>
          <w:szCs w:val="22"/>
        </w:rPr>
        <w:t xml:space="preserve"> </w:t>
      </w:r>
      <w:r w:rsidR="00323CFA" w:rsidRPr="00BD0096">
        <w:rPr>
          <w:rFonts w:ascii="Arial" w:hAnsi="Arial"/>
          <w:sz w:val="22"/>
          <w:szCs w:val="22"/>
        </w:rPr>
        <w:t>zhotovitele</w:t>
      </w:r>
      <w:r w:rsidRPr="00BD0096">
        <w:rPr>
          <w:rFonts w:ascii="Arial" w:hAnsi="Arial"/>
          <w:sz w:val="22"/>
          <w:szCs w:val="22"/>
        </w:rPr>
        <w:t xml:space="preserve">: </w:t>
      </w:r>
    </w:p>
    <w:p w14:paraId="269E697C" w14:textId="77777777" w:rsidR="00126CC2" w:rsidRPr="00BD0096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BD0096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BD0096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77777777" w:rsidR="00126CC2" w:rsidRPr="00BD0096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898689"/>
      <w:r w:rsidRPr="00BD0096">
        <w:rPr>
          <w:rFonts w:ascii="Arial" w:hAnsi="Arial"/>
          <w:b/>
          <w:sz w:val="22"/>
          <w:szCs w:val="22"/>
        </w:rPr>
        <w:t>SMLOUV</w:t>
      </w:r>
      <w:r w:rsidR="007C68E8" w:rsidRPr="00BD0096">
        <w:rPr>
          <w:rFonts w:ascii="Arial" w:hAnsi="Arial"/>
          <w:b/>
          <w:sz w:val="22"/>
          <w:szCs w:val="22"/>
        </w:rPr>
        <w:t>A</w:t>
      </w:r>
    </w:p>
    <w:p w14:paraId="2368754D" w14:textId="526B812C" w:rsidR="00126CC2" w:rsidRPr="00BD0096" w:rsidRDefault="00B771E4" w:rsidP="00126CC2">
      <w:pPr>
        <w:jc w:val="center"/>
        <w:rPr>
          <w:rFonts w:ascii="Arial" w:hAnsi="Arial"/>
          <w:b/>
          <w:sz w:val="22"/>
          <w:szCs w:val="22"/>
        </w:rPr>
      </w:pPr>
      <w:r w:rsidRPr="00BD0096">
        <w:rPr>
          <w:rFonts w:ascii="Arial" w:hAnsi="Arial"/>
          <w:b/>
          <w:sz w:val="22"/>
          <w:szCs w:val="22"/>
        </w:rPr>
        <w:t>č. 67</w:t>
      </w:r>
      <w:r w:rsidR="00BB4AC0">
        <w:rPr>
          <w:rFonts w:ascii="Arial" w:hAnsi="Arial"/>
          <w:b/>
          <w:sz w:val="22"/>
          <w:szCs w:val="22"/>
        </w:rPr>
        <w:t>9</w:t>
      </w:r>
      <w:r w:rsidRPr="00BD0096">
        <w:rPr>
          <w:rFonts w:ascii="Arial" w:hAnsi="Arial"/>
          <w:b/>
          <w:sz w:val="22"/>
          <w:szCs w:val="22"/>
        </w:rPr>
        <w:t>-2024-18111</w:t>
      </w:r>
    </w:p>
    <w:p w14:paraId="7968E050" w14:textId="77777777" w:rsidR="00126CC2" w:rsidRPr="00B771E4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222BC4DF" w:rsidR="00126CC2" w:rsidRPr="00531FD8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color w:val="FF0000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531FD8">
        <w:rPr>
          <w:rFonts w:ascii="Arial" w:hAnsi="Arial" w:cs="Arial"/>
          <w:sz w:val="22"/>
          <w:szCs w:val="22"/>
        </w:rPr>
        <w:t>4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F26175">
        <w:rPr>
          <w:rFonts w:ascii="Arial" w:hAnsi="Arial" w:cs="Arial"/>
          <w:sz w:val="22"/>
          <w:szCs w:val="22"/>
        </w:rPr>
        <w:t>–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F26175">
        <w:rPr>
          <w:rFonts w:ascii="Arial" w:hAnsi="Arial" w:cs="Arial"/>
          <w:sz w:val="22"/>
          <w:szCs w:val="22"/>
        </w:rPr>
        <w:t xml:space="preserve">Monitoring škodlivých organismů v minoritních plodinách lnu setém a konopí setém, a navržení metod jejich regulace 2024 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00933818" w:rsidR="00126CC2" w:rsidRPr="007868B3" w:rsidRDefault="007868B3" w:rsidP="007868B3">
      <w:pPr>
        <w:pStyle w:val="Odstavecseseznamem"/>
        <w:numPr>
          <w:ilvl w:val="0"/>
          <w:numId w:val="30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C2" w:rsidRPr="007868B3">
        <w:rPr>
          <w:rFonts w:ascii="Arial" w:hAnsi="Arial"/>
          <w:sz w:val="22"/>
          <w:szCs w:val="22"/>
        </w:rPr>
        <w:tab/>
      </w:r>
      <w:r w:rsidR="00126CC2" w:rsidRPr="007868B3">
        <w:rPr>
          <w:rFonts w:ascii="Arial" w:hAnsi="Arial"/>
          <w:b/>
          <w:sz w:val="22"/>
          <w:szCs w:val="22"/>
        </w:rPr>
        <w:t>Č</w:t>
      </w:r>
      <w:r w:rsidR="00474693" w:rsidRPr="007868B3">
        <w:rPr>
          <w:rFonts w:ascii="Arial" w:hAnsi="Arial"/>
          <w:b/>
          <w:sz w:val="22"/>
          <w:szCs w:val="22"/>
        </w:rPr>
        <w:t xml:space="preserve">eská </w:t>
      </w:r>
      <w:r w:rsidR="00BF65BA" w:rsidRPr="007868B3">
        <w:rPr>
          <w:rFonts w:ascii="Arial" w:hAnsi="Arial"/>
          <w:b/>
          <w:sz w:val="22"/>
          <w:szCs w:val="22"/>
        </w:rPr>
        <w:t>republika – Ministerstvo</w:t>
      </w:r>
      <w:r w:rsidR="00126CC2" w:rsidRPr="007868B3">
        <w:rPr>
          <w:rFonts w:ascii="Arial" w:hAnsi="Arial"/>
          <w:b/>
          <w:sz w:val="22"/>
          <w:szCs w:val="22"/>
        </w:rPr>
        <w:t xml:space="preserve"> zemědělstv</w:t>
      </w:r>
      <w:r w:rsidR="006C34CB" w:rsidRPr="007868B3">
        <w:rPr>
          <w:rFonts w:ascii="Arial" w:hAnsi="Arial"/>
          <w:b/>
          <w:sz w:val="22"/>
          <w:szCs w:val="22"/>
        </w:rPr>
        <w:t>í</w:t>
      </w:r>
    </w:p>
    <w:p w14:paraId="460B8360" w14:textId="4F4AA944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>Sídlo</w:t>
      </w:r>
      <w:r w:rsidRPr="00E9682F">
        <w:rPr>
          <w:rFonts w:ascii="Arial" w:hAnsi="Arial"/>
          <w:sz w:val="22"/>
          <w:szCs w:val="22"/>
        </w:rPr>
        <w:t>:</w:t>
      </w:r>
      <w:r w:rsidRPr="00E9682F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 xml:space="preserve">            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proofErr w:type="spellStart"/>
      <w:r w:rsidRPr="00E9682F">
        <w:rPr>
          <w:rFonts w:ascii="Arial" w:hAnsi="Arial"/>
          <w:sz w:val="22"/>
          <w:szCs w:val="22"/>
        </w:rPr>
        <w:t>Těšnov</w:t>
      </w:r>
      <w:proofErr w:type="spellEnd"/>
      <w:r w:rsidRPr="00E9682F">
        <w:rPr>
          <w:rFonts w:ascii="Arial" w:hAnsi="Arial"/>
          <w:sz w:val="22"/>
          <w:szCs w:val="22"/>
        </w:rPr>
        <w:t xml:space="preserve">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  <w:r w:rsidR="00F26175">
        <w:rPr>
          <w:rFonts w:ascii="Arial" w:hAnsi="Arial"/>
          <w:sz w:val="22"/>
          <w:szCs w:val="22"/>
        </w:rPr>
        <w:t>, ID DS:</w:t>
      </w:r>
      <w:r w:rsidR="00FD5AC2">
        <w:rPr>
          <w:rFonts w:ascii="Arial" w:hAnsi="Arial"/>
          <w:sz w:val="22"/>
          <w:szCs w:val="22"/>
        </w:rPr>
        <w:t xml:space="preserve"> </w:t>
      </w:r>
      <w:r w:rsidR="00652CDE">
        <w:rPr>
          <w:rFonts w:ascii="Arial" w:hAnsi="Arial"/>
          <w:sz w:val="22"/>
          <w:szCs w:val="22"/>
        </w:rPr>
        <w:t>XXXXXXX</w:t>
      </w:r>
    </w:p>
    <w:p w14:paraId="42BBDF54" w14:textId="7B15794A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652CDE">
        <w:rPr>
          <w:rFonts w:ascii="Arial" w:hAnsi="Arial"/>
          <w:sz w:val="22"/>
          <w:szCs w:val="22"/>
        </w:rPr>
        <w:t>XXXXXXX</w:t>
      </w:r>
    </w:p>
    <w:p w14:paraId="3C73711B" w14:textId="77777777" w:rsidR="00126CC2" w:rsidRPr="00E9682F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33C6FF9C" w14:textId="49B96D31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652CDE">
        <w:rPr>
          <w:rFonts w:ascii="Arial" w:hAnsi="Arial"/>
          <w:sz w:val="22"/>
          <w:szCs w:val="22"/>
        </w:rPr>
        <w:t>XXXXXXX</w:t>
      </w:r>
    </w:p>
    <w:p w14:paraId="7448E59A" w14:textId="5261A648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D63837" w:rsidRPr="00FE52F4">
        <w:rPr>
          <w:rFonts w:ascii="Arial" w:hAnsi="Arial"/>
          <w:sz w:val="22"/>
          <w:szCs w:val="22"/>
        </w:rPr>
        <w:t>k</w:t>
      </w:r>
      <w:r w:rsidR="005F09F5" w:rsidRPr="00FE52F4">
        <w:rPr>
          <w:rFonts w:ascii="Arial" w:hAnsi="Arial"/>
          <w:sz w:val="22"/>
          <w:szCs w:val="22"/>
        </w:rPr>
        <w:t>ontaktní osoba – Odbor bezpečnosti potravin</w:t>
      </w:r>
    </w:p>
    <w:p w14:paraId="2B9D2E4C" w14:textId="2F862E23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 xml:space="preserve">    </w:t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23D87CCD" w14:textId="666640D8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793FBE">
        <w:rPr>
          <w:rFonts w:ascii="Arial" w:hAnsi="Arial"/>
          <w:sz w:val="22"/>
          <w:szCs w:val="22"/>
        </w:rPr>
        <w:t>XXXXXXX</w:t>
      </w:r>
      <w:r w:rsidRPr="00FE52F4">
        <w:rPr>
          <w:rFonts w:ascii="Arial" w:hAnsi="Arial"/>
          <w:sz w:val="22"/>
          <w:szCs w:val="22"/>
        </w:rPr>
        <w:t>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proofErr w:type="spellStart"/>
      <w:r w:rsidRPr="00FE52F4">
        <w:rPr>
          <w:rFonts w:ascii="Arial" w:hAnsi="Arial"/>
          <w:sz w:val="22"/>
          <w:szCs w:val="22"/>
        </w:rPr>
        <w:t>ú.</w:t>
      </w:r>
      <w:proofErr w:type="spellEnd"/>
      <w:r w:rsidRPr="00FE52F4">
        <w:rPr>
          <w:rFonts w:ascii="Arial" w:hAnsi="Arial"/>
          <w:sz w:val="22"/>
          <w:szCs w:val="22"/>
        </w:rPr>
        <w:t xml:space="preserve"> </w:t>
      </w:r>
      <w:r w:rsidR="00652CDE">
        <w:rPr>
          <w:rFonts w:ascii="Arial" w:hAnsi="Arial"/>
          <w:sz w:val="22"/>
          <w:szCs w:val="22"/>
        </w:rPr>
        <w:t>XXXXXXX</w:t>
      </w:r>
    </w:p>
    <w:p w14:paraId="43388B48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B441595" w14:textId="77777777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  <w:r w:rsidRPr="00FE52F4">
        <w:rPr>
          <w:rFonts w:ascii="Arial" w:hAnsi="Arial"/>
          <w:b/>
          <w:sz w:val="22"/>
          <w:szCs w:val="22"/>
        </w:rPr>
        <w:t xml:space="preserve"> </w:t>
      </w:r>
    </w:p>
    <w:p w14:paraId="2DFCD976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2283459C" w14:textId="2210F41A" w:rsidR="00F26175" w:rsidRPr="00FE52F4" w:rsidRDefault="00126CC2" w:rsidP="00F26175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>2.</w:t>
      </w:r>
      <w:r w:rsidRPr="00FE52F4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ab/>
      </w:r>
      <w:r w:rsidR="00F26175" w:rsidRPr="00FE52F4">
        <w:rPr>
          <w:rFonts w:ascii="Arial" w:hAnsi="Arial"/>
          <w:sz w:val="22"/>
          <w:szCs w:val="22"/>
        </w:rPr>
        <w:tab/>
      </w:r>
      <w:r w:rsidR="00F26175" w:rsidRPr="00FE52F4">
        <w:rPr>
          <w:rFonts w:ascii="Arial" w:hAnsi="Arial"/>
          <w:sz w:val="22"/>
          <w:szCs w:val="22"/>
        </w:rPr>
        <w:tab/>
      </w:r>
      <w:proofErr w:type="spellStart"/>
      <w:r w:rsidR="00F26175" w:rsidRPr="000E055E">
        <w:rPr>
          <w:rFonts w:ascii="Arial" w:hAnsi="Arial"/>
          <w:b/>
          <w:sz w:val="22"/>
          <w:szCs w:val="22"/>
        </w:rPr>
        <w:t>Agritec</w:t>
      </w:r>
      <w:proofErr w:type="spellEnd"/>
      <w:r w:rsidR="00F26175" w:rsidRPr="000E055E">
        <w:rPr>
          <w:rFonts w:ascii="Arial" w:hAnsi="Arial"/>
          <w:b/>
          <w:sz w:val="22"/>
          <w:szCs w:val="22"/>
        </w:rPr>
        <w:t xml:space="preserve"> Plant Research s.r.o.</w:t>
      </w:r>
    </w:p>
    <w:p w14:paraId="21122B5F" w14:textId="4919D2EF" w:rsidR="00F26175" w:rsidRDefault="00F26175" w:rsidP="00F2617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E52F4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>Sídlo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7868B3">
        <w:rPr>
          <w:rFonts w:ascii="Arial" w:hAnsi="Arial"/>
          <w:sz w:val="22"/>
          <w:szCs w:val="22"/>
        </w:rPr>
        <w:t xml:space="preserve">           </w:t>
      </w:r>
      <w:r w:rsidRPr="000C28F8">
        <w:rPr>
          <w:rFonts w:ascii="Arial" w:hAnsi="Arial"/>
          <w:sz w:val="22"/>
          <w:szCs w:val="22"/>
        </w:rPr>
        <w:t>Zemědělská 2520/16</w:t>
      </w:r>
      <w:r w:rsidRPr="00FE52F4">
        <w:rPr>
          <w:rFonts w:ascii="Arial" w:hAnsi="Arial"/>
          <w:sz w:val="22"/>
          <w:szCs w:val="22"/>
        </w:rPr>
        <w:t xml:space="preserve">, </w:t>
      </w:r>
      <w:r w:rsidRPr="000C28F8">
        <w:rPr>
          <w:rFonts w:ascii="Arial" w:hAnsi="Arial"/>
          <w:sz w:val="22"/>
          <w:szCs w:val="22"/>
        </w:rPr>
        <w:t>787</w:t>
      </w:r>
      <w:r>
        <w:rPr>
          <w:rFonts w:ascii="Arial" w:hAnsi="Arial"/>
          <w:sz w:val="22"/>
          <w:szCs w:val="22"/>
        </w:rPr>
        <w:t xml:space="preserve"> </w:t>
      </w:r>
      <w:r w:rsidRPr="000C28F8">
        <w:rPr>
          <w:rFonts w:ascii="Arial" w:hAnsi="Arial"/>
          <w:sz w:val="22"/>
          <w:szCs w:val="22"/>
        </w:rPr>
        <w:t>01 Šumperk</w:t>
      </w:r>
      <w:r>
        <w:rPr>
          <w:rFonts w:ascii="Arial" w:hAnsi="Arial"/>
          <w:sz w:val="22"/>
          <w:szCs w:val="22"/>
        </w:rPr>
        <w:t xml:space="preserve">, ID DS: </w:t>
      </w:r>
      <w:r w:rsidR="00652CDE">
        <w:rPr>
          <w:rFonts w:ascii="Arial" w:hAnsi="Arial"/>
          <w:sz w:val="22"/>
          <w:szCs w:val="22"/>
        </w:rPr>
        <w:t>XXXXXXX</w:t>
      </w:r>
    </w:p>
    <w:p w14:paraId="175156F8" w14:textId="26822C6E" w:rsidR="007868B3" w:rsidRDefault="007868B3" w:rsidP="007868B3">
      <w:pPr>
        <w:ind w:left="1418" w:hanging="710"/>
        <w:jc w:val="both"/>
        <w:rPr>
          <w:rFonts w:ascii="Arial" w:hAnsi="Arial"/>
          <w:sz w:val="22"/>
          <w:szCs w:val="22"/>
        </w:rPr>
      </w:pPr>
      <w:r w:rsidRPr="007868B3">
        <w:rPr>
          <w:rFonts w:ascii="Arial" w:hAnsi="Arial"/>
          <w:sz w:val="22"/>
          <w:szCs w:val="22"/>
        </w:rPr>
        <w:t>Zapsaný:</w:t>
      </w:r>
      <w:r w:rsidRPr="007868B3">
        <w:rPr>
          <w:rFonts w:ascii="Arial" w:hAnsi="Arial"/>
          <w:sz w:val="22"/>
          <w:szCs w:val="22"/>
        </w:rPr>
        <w:tab/>
      </w:r>
      <w:r w:rsidRPr="007868B3">
        <w:rPr>
          <w:rFonts w:ascii="Arial" w:hAnsi="Arial"/>
          <w:sz w:val="22"/>
          <w:szCs w:val="22"/>
        </w:rPr>
        <w:tab/>
      </w:r>
      <w:r w:rsidRPr="007868B3">
        <w:rPr>
          <w:rFonts w:ascii="Arial" w:hAnsi="Arial"/>
          <w:sz w:val="22"/>
          <w:szCs w:val="22"/>
        </w:rPr>
        <w:tab/>
        <w:t>V obchodním rejstříku vedeném Krajským soudem v Ostravě</w:t>
      </w:r>
    </w:p>
    <w:p w14:paraId="13D9C9FE" w14:textId="4768B76B" w:rsidR="007868B3" w:rsidRPr="00FE52F4" w:rsidRDefault="007868B3" w:rsidP="007868B3">
      <w:pPr>
        <w:ind w:left="1418" w:hanging="71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</w:t>
      </w:r>
      <w:r w:rsidRPr="007868B3">
        <w:rPr>
          <w:rFonts w:ascii="Arial" w:hAnsi="Arial"/>
          <w:sz w:val="22"/>
          <w:szCs w:val="22"/>
        </w:rPr>
        <w:t xml:space="preserve">pod </w:t>
      </w:r>
      <w:proofErr w:type="spellStart"/>
      <w:r w:rsidRPr="007868B3">
        <w:rPr>
          <w:rFonts w:ascii="Arial" w:hAnsi="Arial"/>
          <w:sz w:val="22"/>
          <w:szCs w:val="22"/>
        </w:rPr>
        <w:t>sp</w:t>
      </w:r>
      <w:proofErr w:type="spellEnd"/>
      <w:r w:rsidRPr="007868B3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zn. </w:t>
      </w:r>
      <w:r w:rsidRPr="007868B3">
        <w:rPr>
          <w:rFonts w:ascii="Arial" w:hAnsi="Arial"/>
          <w:sz w:val="22"/>
          <w:szCs w:val="22"/>
        </w:rPr>
        <w:t xml:space="preserve">C 26228 </w:t>
      </w:r>
    </w:p>
    <w:p w14:paraId="68D1F1C3" w14:textId="77777777" w:rsidR="00652CDE" w:rsidRDefault="00F26175" w:rsidP="00652CDE">
      <w:pPr>
        <w:ind w:left="708" w:hanging="708"/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Zastoupený: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652CDE">
        <w:rPr>
          <w:rFonts w:ascii="Arial" w:hAnsi="Arial"/>
          <w:sz w:val="22"/>
          <w:szCs w:val="22"/>
        </w:rPr>
        <w:t>XXXXXXX</w:t>
      </w:r>
      <w:r w:rsidR="00652CDE" w:rsidRPr="00FE52F4">
        <w:rPr>
          <w:rFonts w:ascii="Arial" w:hAnsi="Arial"/>
          <w:sz w:val="22"/>
          <w:szCs w:val="22"/>
        </w:rPr>
        <w:t xml:space="preserve"> </w:t>
      </w:r>
    </w:p>
    <w:p w14:paraId="6C2192EE" w14:textId="3AE4710E" w:rsidR="00F26175" w:rsidRPr="00FE52F4" w:rsidRDefault="00F26175" w:rsidP="00793FBE">
      <w:pPr>
        <w:ind w:left="3544" w:firstLine="1"/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ředitel </w:t>
      </w:r>
      <w:r>
        <w:rPr>
          <w:rFonts w:ascii="Arial" w:hAnsi="Arial"/>
          <w:sz w:val="22"/>
          <w:szCs w:val="22"/>
        </w:rPr>
        <w:t>a jednatel</w:t>
      </w:r>
    </w:p>
    <w:p w14:paraId="5F0EA29B" w14:textId="0803DB2F" w:rsidR="00F26175" w:rsidRPr="00FE52F4" w:rsidRDefault="00F26175" w:rsidP="00F26175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793FBE">
        <w:rPr>
          <w:rFonts w:ascii="Arial" w:hAnsi="Arial"/>
          <w:sz w:val="22"/>
          <w:szCs w:val="22"/>
        </w:rPr>
        <w:t>XXXXXXX</w:t>
      </w:r>
    </w:p>
    <w:p w14:paraId="4F80EEBF" w14:textId="77777777" w:rsidR="00F26175" w:rsidRPr="00FE52F4" w:rsidRDefault="00F26175" w:rsidP="00F26175">
      <w:pPr>
        <w:ind w:left="3544"/>
        <w:rPr>
          <w:rFonts w:ascii="Arial" w:hAnsi="Arial" w:cs="Arial"/>
          <w:sz w:val="22"/>
          <w:szCs w:val="22"/>
        </w:rPr>
      </w:pPr>
      <w:r w:rsidRPr="00BF1E7D">
        <w:rPr>
          <w:rFonts w:ascii="Arial" w:hAnsi="Arial" w:cs="Arial"/>
          <w:sz w:val="22"/>
          <w:szCs w:val="22"/>
        </w:rPr>
        <w:t>ředitel a jednatel</w:t>
      </w:r>
      <w:r>
        <w:rPr>
          <w:rFonts w:ascii="Arial" w:hAnsi="Arial" w:cs="Arial"/>
          <w:sz w:val="22"/>
          <w:szCs w:val="22"/>
        </w:rPr>
        <w:t xml:space="preserve">, </w:t>
      </w:r>
      <w:r w:rsidRPr="00297DFE">
        <w:rPr>
          <w:rFonts w:ascii="Arial" w:hAnsi="Arial" w:cs="Arial"/>
          <w:sz w:val="22"/>
          <w:szCs w:val="22"/>
        </w:rPr>
        <w:t xml:space="preserve">výzkumný pracovník </w:t>
      </w:r>
    </w:p>
    <w:p w14:paraId="2053F872" w14:textId="77777777" w:rsidR="00F26175" w:rsidRPr="00FE52F4" w:rsidRDefault="00F26175" w:rsidP="00F26175">
      <w:pPr>
        <w:jc w:val="both"/>
        <w:rPr>
          <w:sz w:val="22"/>
          <w:szCs w:val="22"/>
        </w:rPr>
      </w:pPr>
      <w:r w:rsidRPr="00FE52F4">
        <w:rPr>
          <w:sz w:val="22"/>
          <w:szCs w:val="22"/>
        </w:rPr>
        <w:tab/>
      </w:r>
      <w:r w:rsidRPr="00CA32D2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A32D2">
        <w:rPr>
          <w:rFonts w:ascii="Arial" w:hAnsi="Arial" w:cs="Arial"/>
          <w:sz w:val="22"/>
          <w:szCs w:val="22"/>
        </w:rPr>
        <w:t>:</w:t>
      </w:r>
      <w:r w:rsidRPr="00CA32D2">
        <w:rPr>
          <w:rFonts w:ascii="Arial" w:hAnsi="Arial" w:cs="Arial"/>
          <w:sz w:val="22"/>
          <w:szCs w:val="22"/>
        </w:rPr>
        <w:tab/>
      </w:r>
      <w:r w:rsidRPr="00CA32D2">
        <w:rPr>
          <w:rFonts w:ascii="Arial" w:hAnsi="Arial" w:cs="Arial"/>
          <w:sz w:val="22"/>
          <w:szCs w:val="22"/>
        </w:rPr>
        <w:tab/>
      </w:r>
      <w:r w:rsidRPr="00FE52F4">
        <w:rPr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297DFE">
        <w:rPr>
          <w:rFonts w:ascii="Arial" w:hAnsi="Arial" w:cs="Arial"/>
          <w:sz w:val="22"/>
          <w:szCs w:val="22"/>
        </w:rPr>
        <w:t>26784246</w:t>
      </w:r>
    </w:p>
    <w:p w14:paraId="506EE5D6" w14:textId="77777777" w:rsidR="00F26175" w:rsidRPr="00E9682F" w:rsidRDefault="00F26175" w:rsidP="00F26175">
      <w:pPr>
        <w:rPr>
          <w:rFonts w:ascii="Arial" w:hAnsi="Arial" w:cs="Arial"/>
          <w:sz w:val="22"/>
          <w:szCs w:val="22"/>
        </w:rPr>
      </w:pPr>
      <w:r w:rsidRPr="00FE52F4">
        <w:rPr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>DIČ:</w:t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956024">
        <w:rPr>
          <w:rFonts w:ascii="Arial" w:hAnsi="Arial" w:cs="Arial"/>
          <w:sz w:val="22"/>
          <w:szCs w:val="22"/>
        </w:rPr>
        <w:t>CZ699004418</w:t>
      </w:r>
    </w:p>
    <w:p w14:paraId="497413F7" w14:textId="77777777" w:rsidR="00F26175" w:rsidRPr="00E9682F" w:rsidRDefault="00F26175" w:rsidP="00F26175">
      <w:pPr>
        <w:ind w:firstLine="709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Je plátcem DPH. </w:t>
      </w:r>
    </w:p>
    <w:p w14:paraId="052EC0AD" w14:textId="2008B571" w:rsidR="00F26175" w:rsidRPr="00E9682F" w:rsidRDefault="00F26175" w:rsidP="00F26175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  <w:t>Bankovní spojení: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793FBE">
        <w:rPr>
          <w:rFonts w:ascii="Arial" w:hAnsi="Arial"/>
          <w:sz w:val="22"/>
          <w:szCs w:val="22"/>
        </w:rPr>
        <w:t>XXXXXXX</w:t>
      </w:r>
      <w:r w:rsidRPr="00E9682F">
        <w:rPr>
          <w:rFonts w:ascii="Arial" w:hAnsi="Arial"/>
          <w:sz w:val="22"/>
          <w:szCs w:val="22"/>
        </w:rPr>
        <w:t xml:space="preserve">, č. </w:t>
      </w:r>
      <w:proofErr w:type="spellStart"/>
      <w:r w:rsidRPr="00E9682F">
        <w:rPr>
          <w:rFonts w:ascii="Arial" w:hAnsi="Arial"/>
          <w:sz w:val="22"/>
          <w:szCs w:val="22"/>
        </w:rPr>
        <w:t>ú.</w:t>
      </w:r>
      <w:proofErr w:type="spellEnd"/>
      <w:r w:rsidRPr="00E9682F">
        <w:rPr>
          <w:rFonts w:ascii="Arial" w:hAnsi="Arial"/>
          <w:sz w:val="22"/>
          <w:szCs w:val="22"/>
        </w:rPr>
        <w:t xml:space="preserve"> </w:t>
      </w:r>
      <w:r w:rsidR="00793FBE">
        <w:rPr>
          <w:rFonts w:ascii="Arial" w:hAnsi="Arial"/>
          <w:sz w:val="22"/>
          <w:szCs w:val="22"/>
        </w:rPr>
        <w:t>XXXXXXX</w:t>
      </w:r>
    </w:p>
    <w:p w14:paraId="6DA26D6F" w14:textId="77777777" w:rsidR="00F26175" w:rsidRPr="00E9682F" w:rsidRDefault="00F26175" w:rsidP="00F26175">
      <w:pPr>
        <w:jc w:val="both"/>
        <w:rPr>
          <w:rFonts w:ascii="Arial" w:hAnsi="Arial"/>
          <w:sz w:val="22"/>
          <w:szCs w:val="22"/>
        </w:rPr>
      </w:pPr>
    </w:p>
    <w:p w14:paraId="0B4D2B32" w14:textId="77777777" w:rsidR="00F26175" w:rsidRPr="00E9682F" w:rsidRDefault="00F26175" w:rsidP="00F26175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"zhotovitel"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2A7ED7FC" w:rsidR="00126CC2" w:rsidRDefault="00126CC2" w:rsidP="00F26175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63A3F03D" w14:textId="77777777" w:rsidR="00F26175" w:rsidRDefault="00F26175" w:rsidP="00F2617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2344533E" w14:textId="77777777" w:rsidR="00F26175" w:rsidRDefault="00F26175" w:rsidP="00F2617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0F3A2766" w14:textId="77777777" w:rsidR="00F26175" w:rsidRDefault="00F26175" w:rsidP="00F26175">
      <w:pPr>
        <w:jc w:val="center"/>
        <w:rPr>
          <w:rFonts w:ascii="Arial" w:hAnsi="Arial"/>
          <w:b/>
          <w:sz w:val="22"/>
          <w:szCs w:val="22"/>
        </w:rPr>
      </w:pPr>
    </w:p>
    <w:p w14:paraId="45063E89" w14:textId="78280DE7" w:rsidR="00F26175" w:rsidRPr="0072041C" w:rsidRDefault="00F26175" w:rsidP="00F26175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041C">
        <w:rPr>
          <w:rFonts w:ascii="Arial" w:hAnsi="Arial" w:cs="Arial"/>
          <w:sz w:val="22"/>
          <w:szCs w:val="22"/>
        </w:rPr>
        <w:t>Zhotovitel není osobou, na n</w:t>
      </w:r>
      <w:r>
        <w:rPr>
          <w:rFonts w:ascii="Arial" w:hAnsi="Arial" w:cs="Arial"/>
          <w:sz w:val="22"/>
          <w:szCs w:val="22"/>
        </w:rPr>
        <w:t>í</w:t>
      </w:r>
      <w:r w:rsidRPr="0072041C">
        <w:rPr>
          <w:rFonts w:ascii="Arial" w:hAnsi="Arial" w:cs="Arial"/>
          <w:sz w:val="22"/>
          <w:szCs w:val="22"/>
        </w:rPr>
        <w:t>ž by se vztahovaly (i) sankční režimy zavedené Evropskou unií na základě nařízení Rady (EU) č. 269/</w:t>
      </w:r>
      <w:r w:rsidR="007868B3">
        <w:rPr>
          <w:rFonts w:ascii="Arial" w:hAnsi="Arial" w:cs="Arial"/>
          <w:sz w:val="22"/>
          <w:szCs w:val="22"/>
        </w:rPr>
        <w:t>20</w:t>
      </w:r>
      <w:r w:rsidRPr="0072041C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72041C">
        <w:rPr>
          <w:rFonts w:ascii="Arial" w:hAnsi="Arial" w:cs="Arial"/>
          <w:sz w:val="22"/>
          <w:szCs w:val="22"/>
        </w:rPr>
        <w:t>ii</w:t>
      </w:r>
      <w:proofErr w:type="spellEnd"/>
      <w:r w:rsidRPr="0072041C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1B99D661" w14:textId="77777777" w:rsidR="00F26175" w:rsidRPr="0072041C" w:rsidRDefault="00F26175" w:rsidP="00F26175">
      <w:pPr>
        <w:pStyle w:val="Odstavecseseznamem"/>
        <w:numPr>
          <w:ilvl w:val="0"/>
          <w:numId w:val="27"/>
        </w:num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2041C">
        <w:rPr>
          <w:rFonts w:ascii="Arial" w:hAnsi="Arial" w:cs="Arial"/>
          <w:sz w:val="22"/>
          <w:szCs w:val="22"/>
        </w:rPr>
        <w:t xml:space="preserve">Zhotovitel se tímto zavazuje udržovat prohlášení podle předchozího odst. 1. tohoto článku smlouvy v pravdivosti a platnosti po </w:t>
      </w:r>
      <w:r>
        <w:rPr>
          <w:rFonts w:ascii="Arial" w:hAnsi="Arial" w:cs="Arial"/>
          <w:sz w:val="22"/>
          <w:szCs w:val="22"/>
        </w:rPr>
        <w:t xml:space="preserve">celou </w:t>
      </w:r>
      <w:r w:rsidRPr="0072041C">
        <w:rPr>
          <w:rFonts w:ascii="Arial" w:hAnsi="Arial" w:cs="Arial"/>
          <w:sz w:val="22"/>
          <w:szCs w:val="22"/>
        </w:rPr>
        <w:t>dobu účinnosti této smlouvy.</w:t>
      </w:r>
      <w:r>
        <w:rPr>
          <w:rFonts w:ascii="Arial" w:hAnsi="Arial" w:cs="Arial"/>
          <w:sz w:val="22"/>
          <w:szCs w:val="22"/>
        </w:rPr>
        <w:t xml:space="preserve"> Současně je také povinen bezodkladně, nejpozději však do 3 pracovních dnů, oznámit objednateli změnu jakýchkoliv skutečností v jeho prohlášení podle odst. 1 tohoto článku.</w:t>
      </w:r>
    </w:p>
    <w:p w14:paraId="77C1FB16" w14:textId="77777777" w:rsidR="00F26175" w:rsidRDefault="00F26175" w:rsidP="00F26175">
      <w:pPr>
        <w:jc w:val="center"/>
        <w:rPr>
          <w:rFonts w:ascii="Arial" w:hAnsi="Arial"/>
          <w:b/>
          <w:sz w:val="22"/>
          <w:szCs w:val="22"/>
        </w:rPr>
      </w:pPr>
    </w:p>
    <w:p w14:paraId="372F8125" w14:textId="6766F69F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6FD8B10D" w14:textId="5C8A8AB3" w:rsidR="00B66E92" w:rsidRPr="00CB3701" w:rsidRDefault="00B66E92" w:rsidP="00AF1FEC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B3701">
        <w:rPr>
          <w:rFonts w:ascii="Arial" w:hAnsi="Arial"/>
          <w:sz w:val="22"/>
          <w:szCs w:val="22"/>
        </w:rPr>
        <w:t>Předmětem této smlouvy je</w:t>
      </w:r>
      <w:r w:rsidR="00834999" w:rsidRPr="00CB3701">
        <w:rPr>
          <w:rFonts w:ascii="Arial" w:hAnsi="Arial"/>
          <w:sz w:val="22"/>
          <w:szCs w:val="22"/>
        </w:rPr>
        <w:t xml:space="preserve"> závazek zhotovitele provést</w:t>
      </w:r>
      <w:r w:rsidR="00442AAF" w:rsidRPr="00CB3701">
        <w:rPr>
          <w:rFonts w:ascii="Arial" w:hAnsi="Arial"/>
          <w:sz w:val="22"/>
          <w:szCs w:val="22"/>
        </w:rPr>
        <w:t xml:space="preserve"> dílo specifikované v odst. 2</w:t>
      </w:r>
      <w:r w:rsidR="00942B61" w:rsidRPr="00CB3701">
        <w:rPr>
          <w:rFonts w:ascii="Arial" w:hAnsi="Arial"/>
          <w:sz w:val="22"/>
          <w:szCs w:val="22"/>
        </w:rPr>
        <w:t xml:space="preserve"> tohoto článku</w:t>
      </w:r>
      <w:r w:rsidR="00BC3902" w:rsidRPr="00CB3701">
        <w:rPr>
          <w:rFonts w:ascii="Arial" w:hAnsi="Arial"/>
          <w:sz w:val="22"/>
          <w:szCs w:val="22"/>
        </w:rPr>
        <w:t xml:space="preserve"> </w:t>
      </w:r>
      <w:r w:rsidR="009C417A" w:rsidRPr="00CB3701">
        <w:rPr>
          <w:rFonts w:ascii="Arial" w:hAnsi="Arial" w:cs="Arial"/>
          <w:sz w:val="22"/>
          <w:szCs w:val="22"/>
        </w:rPr>
        <w:t>(dále též jen „</w:t>
      </w:r>
      <w:r w:rsidR="009C417A" w:rsidRPr="00CB3701">
        <w:rPr>
          <w:rFonts w:ascii="Arial" w:hAnsi="Arial" w:cs="Arial"/>
          <w:bCs/>
          <w:sz w:val="22"/>
          <w:szCs w:val="22"/>
        </w:rPr>
        <w:t>dílo</w:t>
      </w:r>
      <w:r w:rsidR="009C417A" w:rsidRPr="00CB3701">
        <w:rPr>
          <w:rFonts w:ascii="Arial" w:hAnsi="Arial" w:cs="Arial"/>
          <w:sz w:val="22"/>
          <w:szCs w:val="22"/>
        </w:rPr>
        <w:t xml:space="preserve">“) </w:t>
      </w:r>
      <w:r w:rsidR="00442AAF" w:rsidRPr="00CB3701">
        <w:rPr>
          <w:rFonts w:ascii="Arial" w:hAnsi="Arial"/>
          <w:sz w:val="22"/>
          <w:szCs w:val="22"/>
        </w:rPr>
        <w:t>a </w:t>
      </w:r>
      <w:r w:rsidR="00834999" w:rsidRPr="00CB3701">
        <w:rPr>
          <w:rFonts w:ascii="Arial" w:hAnsi="Arial"/>
          <w:sz w:val="22"/>
          <w:szCs w:val="22"/>
        </w:rPr>
        <w:t>závazek objednatele zaplatit zhotoviteli cenu za provedení díla.</w:t>
      </w:r>
    </w:p>
    <w:p w14:paraId="0C7ED1E4" w14:textId="1223D8AE" w:rsidR="0032280A" w:rsidRPr="00207CC5" w:rsidRDefault="00834999" w:rsidP="00207CC5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B3701">
        <w:rPr>
          <w:rFonts w:ascii="Arial" w:hAnsi="Arial"/>
          <w:sz w:val="22"/>
          <w:szCs w:val="22"/>
        </w:rPr>
        <w:t>Zhotovitel se zavazuje</w:t>
      </w:r>
      <w:r w:rsidR="00CB3701" w:rsidRPr="00CB3701">
        <w:rPr>
          <w:rFonts w:ascii="Arial" w:hAnsi="Arial"/>
          <w:sz w:val="22"/>
          <w:szCs w:val="22"/>
        </w:rPr>
        <w:t>:</w:t>
      </w:r>
      <w:r w:rsidR="00CB3701" w:rsidRPr="00207CC5">
        <w:rPr>
          <w:rFonts w:ascii="Arial" w:hAnsi="Arial"/>
          <w:sz w:val="22"/>
          <w:szCs w:val="22"/>
        </w:rPr>
        <w:t xml:space="preserve"> A. Provádět </w:t>
      </w:r>
      <w:r w:rsidR="00207CC5">
        <w:rPr>
          <w:rFonts w:ascii="Arial" w:hAnsi="Arial"/>
          <w:sz w:val="22"/>
          <w:szCs w:val="22"/>
        </w:rPr>
        <w:t xml:space="preserve">monitoring patogenů přenosných osivem lnu setého a možnost využití biologických a chemických metod moření osiva. </w:t>
      </w:r>
      <w:r w:rsidR="00CB3701" w:rsidRPr="00207CC5">
        <w:rPr>
          <w:rFonts w:ascii="Arial" w:hAnsi="Arial"/>
          <w:sz w:val="22"/>
          <w:szCs w:val="22"/>
        </w:rPr>
        <w:t xml:space="preserve">B. Provádět hodnocení druhového složení plevelných společenstev a dopadů zaplevelení na průběh vegetace a výnos porostů konopí setého a navržení způsobu regulace zaplevelení. </w:t>
      </w:r>
      <w:r w:rsidR="0032280A" w:rsidRPr="00207CC5">
        <w:rPr>
          <w:rFonts w:ascii="Arial" w:hAnsi="Arial"/>
          <w:sz w:val="22"/>
          <w:szCs w:val="22"/>
        </w:rPr>
        <w:t>Pro potřeby této smlouvy to znamená:</w:t>
      </w:r>
    </w:p>
    <w:p w14:paraId="50513D6B" w14:textId="740D0814" w:rsidR="00771AB8" w:rsidRPr="00771AB8" w:rsidRDefault="00771AB8" w:rsidP="00AF1FEC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771AB8">
        <w:rPr>
          <w:rFonts w:ascii="Arial" w:hAnsi="Arial" w:cs="Arial"/>
          <w:sz w:val="22"/>
          <w:szCs w:val="22"/>
        </w:rPr>
        <w:t>Zjistit aktuální výskyt chorob na osivu lnu z různých pěstitelských lokalit ČR, vyhodnotit citlivost určených patogenů (</w:t>
      </w:r>
      <w:proofErr w:type="spellStart"/>
      <w:r w:rsidRPr="00771AB8">
        <w:rPr>
          <w:rFonts w:ascii="Arial" w:hAnsi="Arial" w:cs="Arial"/>
          <w:sz w:val="22"/>
          <w:szCs w:val="22"/>
        </w:rPr>
        <w:t>Alternaria</w:t>
      </w:r>
      <w:proofErr w:type="spellEnd"/>
      <w:r w:rsidRPr="00771A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1AB8">
        <w:rPr>
          <w:rFonts w:ascii="Arial" w:hAnsi="Arial" w:cs="Arial"/>
          <w:sz w:val="22"/>
          <w:szCs w:val="22"/>
        </w:rPr>
        <w:t>Colletotrichum</w:t>
      </w:r>
      <w:proofErr w:type="spellEnd"/>
      <w:r w:rsidRPr="00771A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1AB8">
        <w:rPr>
          <w:rFonts w:ascii="Arial" w:hAnsi="Arial" w:cs="Arial"/>
          <w:sz w:val="22"/>
          <w:szCs w:val="22"/>
        </w:rPr>
        <w:t>Fusraium</w:t>
      </w:r>
      <w:proofErr w:type="spellEnd"/>
      <w:r w:rsidRPr="00771AB8">
        <w:rPr>
          <w:rFonts w:ascii="Arial" w:hAnsi="Arial" w:cs="Arial"/>
          <w:sz w:val="22"/>
          <w:szCs w:val="22"/>
        </w:rPr>
        <w:t>) vůči vybraným POR, pomocným a biologickým přípravkům a získat podklady pro jejich menšinové využití proti původcům chorob přenosných osivem lnu setého. Založit a vyhodnotit pokusy zaměřené na otestování účinnosti vhodně vybraných mořidel, tlumit dopady škodlivých organismů na růst a vývoj porostů lnu v jeho raných fázích růstu.</w:t>
      </w:r>
    </w:p>
    <w:p w14:paraId="02F1CF1B" w14:textId="308F906D" w:rsidR="00771AB8" w:rsidRPr="00771AB8" w:rsidRDefault="00771AB8" w:rsidP="00AF1FEC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771AB8">
        <w:rPr>
          <w:rFonts w:ascii="Arial" w:hAnsi="Arial" w:cs="Arial"/>
          <w:sz w:val="22"/>
          <w:szCs w:val="22"/>
        </w:rPr>
        <w:t>Vyhodnotit výskyt plevelných druhů v porostech konopí setého a jejich vliv na růst a vývoj porostů. Rozšířit znalosti o toleranci, selektivitě nebo fytotoxicitě herbicidně účinných látek k rostlinám konopí setého. Navrhnout pro zemědělskou praxi metodu ochrany plevelů.</w:t>
      </w:r>
    </w:p>
    <w:p w14:paraId="15180811" w14:textId="5259AE79" w:rsidR="00A42088" w:rsidRDefault="00207CC5" w:rsidP="00FC328B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A: Dílčí aktivita </w:t>
      </w:r>
      <w:r w:rsidR="00A42088" w:rsidRPr="00A42088">
        <w:rPr>
          <w:rFonts w:ascii="Arial" w:hAnsi="Arial" w:cs="Arial"/>
          <w:sz w:val="22"/>
          <w:szCs w:val="22"/>
        </w:rPr>
        <w:t>1) Monitoring patogenů přenosných osivem lnu setého a možnost využití biologických a chemických metod moření osiva</w:t>
      </w:r>
    </w:p>
    <w:p w14:paraId="0F7BF8EB" w14:textId="77777777" w:rsidR="00A42088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 xml:space="preserve">Monitoring výskytu patogenů na osivu lnu ze sklizně z roku 2023. </w:t>
      </w:r>
    </w:p>
    <w:p w14:paraId="2209058C" w14:textId="77777777" w:rsidR="00A42088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 xml:space="preserve">Testování citlivosti odrůd lnu k osivem přenosným chorobám v roce 2024 </w:t>
      </w:r>
    </w:p>
    <w:p w14:paraId="4F268BD9" w14:textId="77777777" w:rsid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 xml:space="preserve">Možnosti a metody využití biologické a chemické ochrany lnu k redukci původců chorob přenosných osivem a škůdců na vzcházejících porostech lnu setého. </w:t>
      </w:r>
    </w:p>
    <w:p w14:paraId="238B7AA2" w14:textId="5F12E321" w:rsidR="00A42088" w:rsidRPr="00A42088" w:rsidRDefault="00207CC5" w:rsidP="005D6D0B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B: Dílčí aktivita </w:t>
      </w:r>
      <w:r w:rsidR="00A42088" w:rsidRPr="00A42088">
        <w:rPr>
          <w:rFonts w:ascii="Arial" w:hAnsi="Arial" w:cs="Arial"/>
          <w:sz w:val="22"/>
          <w:szCs w:val="22"/>
        </w:rPr>
        <w:t>2) Hodnocení druhového složení plevelných společenstev a dopadů zaplevelení na průběh vegetace a výnos porostů konopí setého a navržení způsobu regulace zaplevelení:</w:t>
      </w:r>
    </w:p>
    <w:p w14:paraId="38EC595E" w14:textId="77777777" w:rsidR="00A42088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 xml:space="preserve">Monitoring výskytu plevelů v porostech konopí setého v ČR </w:t>
      </w:r>
    </w:p>
    <w:p w14:paraId="5E2D2DAF" w14:textId="1CF50E02" w:rsidR="00A42088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lastRenderedPageBreak/>
        <w:t>Hodnocení tolerance/fytotoxicity rostlin a porostu konopí setého vůči herbicidně účinným látkám, s cílem navrhnout metodu na menšinové využití vhodného/</w:t>
      </w:r>
      <w:proofErr w:type="spellStart"/>
      <w:r w:rsidRPr="00A42088">
        <w:rPr>
          <w:rFonts w:ascii="Arial" w:hAnsi="Arial" w:cs="Arial"/>
          <w:sz w:val="22"/>
          <w:szCs w:val="22"/>
        </w:rPr>
        <w:t>ných</w:t>
      </w:r>
      <w:proofErr w:type="spellEnd"/>
      <w:r w:rsidRPr="00A42088">
        <w:rPr>
          <w:rFonts w:ascii="Arial" w:hAnsi="Arial" w:cs="Arial"/>
          <w:sz w:val="22"/>
          <w:szCs w:val="22"/>
        </w:rPr>
        <w:t xml:space="preserve"> herbicidu/ů </w:t>
      </w:r>
    </w:p>
    <w:p w14:paraId="413FDA3C" w14:textId="4C6E8858" w:rsidR="00005DBE" w:rsidRDefault="00005DBE" w:rsidP="00AF1FEC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05DBE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 w:rsidR="0060549F">
        <w:rPr>
          <w:rFonts w:ascii="Arial" w:hAnsi="Arial" w:cs="Arial"/>
          <w:sz w:val="22"/>
          <w:szCs w:val="22"/>
        </w:rPr>
        <w:t>není po celou dobu trvání této s</w:t>
      </w:r>
      <w:r w:rsidRPr="00005DBE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 w:rsidR="007868B3">
        <w:rPr>
          <w:rFonts w:ascii="Arial" w:hAnsi="Arial" w:cs="Arial"/>
          <w:sz w:val="22"/>
          <w:szCs w:val="22"/>
        </w:rPr>
        <w:t>20</w:t>
      </w:r>
      <w:r w:rsidRPr="00005DBE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</w:t>
      </w:r>
      <w:r w:rsidR="00FA3EB3">
        <w:rPr>
          <w:rFonts w:ascii="Arial" w:hAnsi="Arial" w:cs="Arial"/>
          <w:sz w:val="22"/>
          <w:szCs w:val="22"/>
        </w:rPr>
        <w:t> </w:t>
      </w:r>
      <w:r w:rsidRPr="00005DBE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005DBE">
        <w:rPr>
          <w:rFonts w:ascii="Arial" w:hAnsi="Arial" w:cs="Arial"/>
          <w:sz w:val="22"/>
          <w:szCs w:val="22"/>
        </w:rPr>
        <w:t>ii</w:t>
      </w:r>
      <w:proofErr w:type="spellEnd"/>
      <w:r w:rsidRPr="00005DBE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výše uvedená nařízení EU.</w:t>
      </w:r>
      <w:r w:rsidR="00185B71"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</w:t>
      </w:r>
      <w:r w:rsidR="0039340D">
        <w:rPr>
          <w:rFonts w:ascii="Arial" w:hAnsi="Arial" w:cs="Arial"/>
          <w:sz w:val="22"/>
          <w:szCs w:val="22"/>
        </w:rPr>
        <w:t>bezodkladně</w:t>
      </w:r>
      <w:r w:rsidR="003B42FC">
        <w:rPr>
          <w:rFonts w:ascii="Arial" w:hAnsi="Arial" w:cs="Arial"/>
          <w:sz w:val="22"/>
          <w:szCs w:val="22"/>
        </w:rPr>
        <w:t>,</w:t>
      </w:r>
      <w:r w:rsidR="0039340D">
        <w:rPr>
          <w:rFonts w:ascii="Arial" w:hAnsi="Arial" w:cs="Arial"/>
          <w:sz w:val="22"/>
          <w:szCs w:val="22"/>
        </w:rPr>
        <w:t xml:space="preserve"> </w:t>
      </w:r>
      <w:r w:rsidR="003B42FC" w:rsidRPr="003B42FC">
        <w:rPr>
          <w:rFonts w:ascii="Arial" w:hAnsi="Arial" w:cs="Arial"/>
          <w:sz w:val="22"/>
          <w:szCs w:val="22"/>
        </w:rPr>
        <w:t>nejpozději však do 3 pracovních dnů</w:t>
      </w:r>
      <w:r w:rsidR="003B42FC">
        <w:rPr>
          <w:rFonts w:ascii="Arial" w:hAnsi="Arial" w:cs="Arial"/>
          <w:sz w:val="22"/>
          <w:szCs w:val="22"/>
        </w:rPr>
        <w:t>,</w:t>
      </w:r>
      <w:r w:rsidR="003B42FC" w:rsidRPr="003B42FC">
        <w:rPr>
          <w:rFonts w:ascii="Arial" w:hAnsi="Arial" w:cs="Arial"/>
          <w:sz w:val="22"/>
          <w:szCs w:val="22"/>
        </w:rPr>
        <w:t xml:space="preserve"> </w:t>
      </w:r>
      <w:r w:rsidR="00185B71">
        <w:rPr>
          <w:rFonts w:ascii="Arial" w:hAnsi="Arial" w:cs="Arial"/>
          <w:sz w:val="22"/>
          <w:szCs w:val="22"/>
        </w:rPr>
        <w:t>informovat objedna</w:t>
      </w:r>
      <w:r w:rsidR="002557BD">
        <w:rPr>
          <w:rFonts w:ascii="Arial" w:hAnsi="Arial" w:cs="Arial"/>
          <w:sz w:val="22"/>
          <w:szCs w:val="22"/>
        </w:rPr>
        <w:t>tele o změně těchto skutečností</w:t>
      </w:r>
      <w:r w:rsidR="00185B71">
        <w:rPr>
          <w:rFonts w:ascii="Arial" w:hAnsi="Arial" w:cs="Arial"/>
          <w:sz w:val="22"/>
          <w:szCs w:val="22"/>
        </w:rPr>
        <w:t>.</w:t>
      </w:r>
    </w:p>
    <w:p w14:paraId="05145A50" w14:textId="0A05471F" w:rsidR="00B66E92" w:rsidRDefault="00942B61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177112" w:rsidRPr="00FE52F4">
        <w:rPr>
          <w:rFonts w:ascii="Arial" w:hAnsi="Arial" w:cs="Arial"/>
          <w:sz w:val="22"/>
          <w:szCs w:val="22"/>
        </w:rPr>
        <w:t>čelem smlouvy</w:t>
      </w:r>
      <w:r w:rsidR="00177112">
        <w:rPr>
          <w:rFonts w:ascii="Arial" w:hAnsi="Arial" w:cs="Arial"/>
          <w:sz w:val="22"/>
          <w:szCs w:val="22"/>
        </w:rPr>
        <w:t xml:space="preserve"> </w:t>
      </w:r>
      <w:r w:rsidR="007B5FFC" w:rsidRPr="00E9682F">
        <w:rPr>
          <w:rFonts w:ascii="Arial" w:hAnsi="Arial" w:cs="Arial"/>
          <w:sz w:val="22"/>
          <w:szCs w:val="22"/>
        </w:rPr>
        <w:t xml:space="preserve">je získávání podkladů pro koncepční, rozhodovací a analytickou činnost </w:t>
      </w:r>
      <w:r w:rsidR="004467A3">
        <w:rPr>
          <w:rFonts w:ascii="Arial" w:hAnsi="Arial" w:cs="Arial"/>
          <w:sz w:val="22"/>
          <w:szCs w:val="22"/>
        </w:rPr>
        <w:t>objednatele</w:t>
      </w:r>
      <w:r w:rsidR="007B5FFC" w:rsidRPr="00E9682F">
        <w:rPr>
          <w:rFonts w:ascii="Arial" w:hAnsi="Arial" w:cs="Arial"/>
          <w:sz w:val="22"/>
          <w:szCs w:val="22"/>
        </w:rPr>
        <w:t xml:space="preserve"> v oblasti bezpečného používání pesticidů, získávání informací potřebných pro splnění povinnosti vypl</w:t>
      </w:r>
      <w:r w:rsidR="00207CC5">
        <w:rPr>
          <w:rFonts w:ascii="Arial" w:hAnsi="Arial" w:cs="Arial"/>
          <w:sz w:val="22"/>
          <w:szCs w:val="22"/>
        </w:rPr>
        <w:t>ý</w:t>
      </w:r>
      <w:r w:rsidR="007B5FFC" w:rsidRPr="00E9682F">
        <w:rPr>
          <w:rFonts w:ascii="Arial" w:hAnsi="Arial" w:cs="Arial"/>
          <w:sz w:val="22"/>
          <w:szCs w:val="22"/>
        </w:rPr>
        <w:t>vající z právních předpisů Evropsk</w:t>
      </w:r>
      <w:r w:rsidR="00D04FA0" w:rsidRPr="00E9682F">
        <w:rPr>
          <w:rFonts w:ascii="Arial" w:hAnsi="Arial" w:cs="Arial"/>
          <w:sz w:val="22"/>
          <w:szCs w:val="22"/>
        </w:rPr>
        <w:t xml:space="preserve">é komise, směrnice 2009/128/ES, dále jsou poskytovány informace dle aktuálních potřeb </w:t>
      </w:r>
      <w:r w:rsidR="00BB0B83">
        <w:rPr>
          <w:rFonts w:ascii="Arial" w:hAnsi="Arial" w:cs="Arial"/>
          <w:sz w:val="22"/>
          <w:szCs w:val="22"/>
        </w:rPr>
        <w:t>objednatele</w:t>
      </w:r>
      <w:r w:rsidR="00D04FA0" w:rsidRPr="00E9682F">
        <w:rPr>
          <w:rFonts w:ascii="Arial" w:hAnsi="Arial" w:cs="Arial"/>
          <w:sz w:val="22"/>
          <w:szCs w:val="22"/>
        </w:rPr>
        <w:t xml:space="preserve"> v roce </w:t>
      </w:r>
      <w:r w:rsidR="006E07EA">
        <w:rPr>
          <w:rFonts w:ascii="Arial" w:hAnsi="Arial" w:cs="Arial"/>
          <w:sz w:val="22"/>
          <w:szCs w:val="22"/>
        </w:rPr>
        <w:t>2024</w:t>
      </w:r>
      <w:r w:rsidR="00D04FA0" w:rsidRPr="00E9682F">
        <w:rPr>
          <w:rFonts w:ascii="Arial" w:hAnsi="Arial" w:cs="Arial"/>
          <w:sz w:val="22"/>
          <w:szCs w:val="22"/>
        </w:rPr>
        <w:t xml:space="preserve">. </w:t>
      </w:r>
    </w:p>
    <w:p w14:paraId="5163FD67" w14:textId="0D0EE4E9" w:rsidR="00A42088" w:rsidRPr="00A42088" w:rsidRDefault="00942B61" w:rsidP="00206E39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>Ú</w:t>
      </w:r>
      <w:r w:rsidR="00C1333E" w:rsidRPr="00A42088">
        <w:rPr>
          <w:rFonts w:ascii="Arial" w:hAnsi="Arial" w:cs="Arial"/>
          <w:sz w:val="22"/>
          <w:szCs w:val="22"/>
        </w:rPr>
        <w:t>čelem smlouvy je přispět k řešení cílů NAP:</w:t>
      </w:r>
      <w:r w:rsidR="00A42088">
        <w:t xml:space="preserve"> </w:t>
      </w:r>
      <w:r w:rsidR="00A42088" w:rsidRPr="00A42088">
        <w:rPr>
          <w:rFonts w:ascii="Arial" w:hAnsi="Arial" w:cs="Arial"/>
          <w:sz w:val="22"/>
          <w:szCs w:val="22"/>
        </w:rPr>
        <w:t xml:space="preserve">Cíl II. Optimalizace použití POR bez omezení rozsahu zemědělské produkce </w:t>
      </w:r>
    </w:p>
    <w:p w14:paraId="03FD4644" w14:textId="375DC40D" w:rsidR="00A42088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>A. Podpora ověření a zavádění a optimalizace stávajících a vývoj chybějících plodinově zaměřených nechemických metod ochra</w:t>
      </w:r>
      <w:r>
        <w:rPr>
          <w:rFonts w:ascii="Arial" w:hAnsi="Arial" w:cs="Arial"/>
          <w:sz w:val="22"/>
          <w:szCs w:val="22"/>
        </w:rPr>
        <w:t>n</w:t>
      </w:r>
      <w:r w:rsidRPr="00A42088">
        <w:rPr>
          <w:rFonts w:ascii="Arial" w:hAnsi="Arial" w:cs="Arial"/>
          <w:sz w:val="22"/>
          <w:szCs w:val="22"/>
        </w:rPr>
        <w:t xml:space="preserve">y rostlin a metod ochrany s nízkými vstupy přípravků využitelných v ekonomických a výrobních podmínkách ČR (s důrazem na podporu regionální produkce potravin a surovin) při zachování kvality produkce. </w:t>
      </w:r>
    </w:p>
    <w:p w14:paraId="4813969D" w14:textId="267D5D1F" w:rsidR="009B24B3" w:rsidRPr="00A42088" w:rsidRDefault="00A42088" w:rsidP="00A42088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42088">
        <w:rPr>
          <w:rFonts w:ascii="Arial" w:hAnsi="Arial" w:cs="Arial"/>
          <w:sz w:val="22"/>
          <w:szCs w:val="22"/>
        </w:rPr>
        <w:t xml:space="preserve">- Dále rozvíjet s využitím kapacit výzkumných organizací plodinové systémy integrované ochrany rostlin s důrazem na vývoj a využití funkčních a ekonomicky únosných nechemických metod ochrany rostlin a navrhnout doporučené metody při výběru vhodné metody ochrany rostlin s nízkými vstupy přípravků. </w:t>
      </w:r>
      <w:r w:rsidR="00C1333E" w:rsidRPr="00A42088">
        <w:rPr>
          <w:rFonts w:ascii="Arial" w:hAnsi="Arial" w:cs="Arial"/>
          <w:sz w:val="22"/>
          <w:szCs w:val="22"/>
        </w:rPr>
        <w:t xml:space="preserve">(NAP </w:t>
      </w:r>
      <w:proofErr w:type="gramStart"/>
      <w:r w:rsidR="00C1333E" w:rsidRPr="00A42088">
        <w:rPr>
          <w:rFonts w:ascii="Arial" w:hAnsi="Arial" w:cs="Arial"/>
          <w:sz w:val="22"/>
          <w:szCs w:val="22"/>
        </w:rPr>
        <w:t>2018 – 2022</w:t>
      </w:r>
      <w:proofErr w:type="gramEnd"/>
      <w:r w:rsidR="00C1333E" w:rsidRPr="00A42088">
        <w:rPr>
          <w:rFonts w:ascii="Arial" w:hAnsi="Arial" w:cs="Arial"/>
          <w:sz w:val="22"/>
          <w:szCs w:val="22"/>
        </w:rPr>
        <w:t>, str. 22).</w:t>
      </w:r>
      <w:r w:rsidR="003A3D7D" w:rsidRPr="00A42088">
        <w:rPr>
          <w:rFonts w:ascii="Arial" w:hAnsi="Arial" w:cs="Arial"/>
          <w:sz w:val="22"/>
          <w:szCs w:val="22"/>
        </w:rPr>
        <w:t xml:space="preserve"> viz</w:t>
      </w:r>
      <w:r w:rsidR="00627A10" w:rsidRPr="00A4208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F0911" w:rsidRPr="00A42088">
          <w:rPr>
            <w:rFonts w:ascii="Arial" w:hAnsi="Arial" w:cs="Arial"/>
            <w:sz w:val="22"/>
            <w:szCs w:val="22"/>
          </w:rPr>
          <w:t>http://portal.mze.cz/public/web/file/670633/NAP_CZ_2018_2022.pdf</w:t>
        </w:r>
      </w:hyperlink>
    </w:p>
    <w:p w14:paraId="762AC5F4" w14:textId="77777777" w:rsidR="009B24B3" w:rsidRPr="009B24B3" w:rsidRDefault="009B24B3" w:rsidP="009B24B3">
      <w:pPr>
        <w:pStyle w:val="Normlnweb"/>
        <w:spacing w:before="0" w:beforeAutospacing="0" w:after="0" w:afterAutospacing="0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14:paraId="47B44DA6" w14:textId="77777777" w:rsidR="00126CC2" w:rsidRPr="00E9682F" w:rsidRDefault="00126CC2" w:rsidP="009B24B3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III.</w:t>
      </w:r>
    </w:p>
    <w:p w14:paraId="6B13AEF2" w14:textId="77777777" w:rsidR="00993DA9" w:rsidRPr="00E9682F" w:rsidRDefault="00993DA9" w:rsidP="00993DA9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6D2B6B5A" w14:textId="77777777" w:rsidR="009F427D" w:rsidRPr="00E9682F" w:rsidRDefault="009F427D" w:rsidP="00993DA9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35C25C33" w14:textId="5C744060" w:rsidR="00993DA9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="00F614CF" w:rsidRPr="00F614CF">
        <w:rPr>
          <w:rFonts w:ascii="Arial" w:hAnsi="Arial"/>
          <w:sz w:val="22"/>
          <w:szCs w:val="22"/>
        </w:rPr>
        <w:t>Česká republika</w:t>
      </w:r>
      <w:r w:rsidR="009F427D" w:rsidRPr="00E9682F">
        <w:rPr>
          <w:rFonts w:ascii="Arial" w:hAnsi="Arial"/>
          <w:sz w:val="22"/>
          <w:szCs w:val="22"/>
        </w:rPr>
        <w:t>.</w:t>
      </w:r>
      <w:r w:rsidR="001E1060">
        <w:rPr>
          <w:rFonts w:ascii="Arial" w:hAnsi="Arial"/>
          <w:sz w:val="22"/>
          <w:szCs w:val="22"/>
        </w:rPr>
        <w:t xml:space="preserve"> </w:t>
      </w:r>
    </w:p>
    <w:p w14:paraId="7C57D7C8" w14:textId="1B1FC890" w:rsidR="005F7B5E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 w:rsidR="000B4526"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="005F7B5E"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5345ACC4" w14:textId="77777777" w:rsidR="00667FF7" w:rsidRDefault="005F7B5E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O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bjednatel je oprávněn provádění díla 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kdykoliv průběžně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 kontrolovat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>Na zjištěné nedostatky upozorní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 objednatel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 xml:space="preserve"> písemně zhotovitele a požádá o jejich odstranění. </w:t>
      </w:r>
      <w:r w:rsidR="004B3F1B"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193F58E6" w14:textId="4F9C1FBE" w:rsidR="00D8604F" w:rsidRPr="00667FF7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t xml:space="preserve">Doba plnění díla začíná </w:t>
      </w:r>
      <w:r w:rsidR="00AF4E98" w:rsidRPr="00667FF7">
        <w:rPr>
          <w:rFonts w:ascii="Arial" w:hAnsi="Arial" w:cs="Arial"/>
          <w:sz w:val="22"/>
          <w:szCs w:val="22"/>
        </w:rPr>
        <w:t>bezprostředně po</w:t>
      </w:r>
      <w:r w:rsidRPr="00667FF7">
        <w:rPr>
          <w:rFonts w:ascii="Arial" w:hAnsi="Arial" w:cs="Arial"/>
          <w:sz w:val="22"/>
          <w:szCs w:val="22"/>
        </w:rPr>
        <w:t xml:space="preserve"> </w:t>
      </w:r>
      <w:r w:rsidR="008B7543"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>Zhotovitel se zavazuje</w:t>
      </w:r>
      <w:r w:rsidR="000C1939" w:rsidRPr="00667FF7">
        <w:rPr>
          <w:rFonts w:ascii="Arial" w:hAnsi="Arial" w:cs="Arial"/>
          <w:sz w:val="22"/>
          <w:szCs w:val="22"/>
        </w:rPr>
        <w:t xml:space="preserve"> zpracovat závěrečnou zprávu shrnující skutečné plnění zhotovitele, kterou zhotovitel </w:t>
      </w:r>
      <w:r w:rsidR="001462A7" w:rsidRPr="00667FF7">
        <w:rPr>
          <w:rFonts w:ascii="Arial" w:hAnsi="Arial" w:cs="Arial"/>
          <w:sz w:val="22"/>
          <w:szCs w:val="22"/>
        </w:rPr>
        <w:t xml:space="preserve">osobně </w:t>
      </w:r>
      <w:r w:rsidR="000C1939" w:rsidRPr="00667FF7">
        <w:rPr>
          <w:rFonts w:ascii="Arial" w:hAnsi="Arial" w:cs="Arial"/>
          <w:sz w:val="22"/>
          <w:szCs w:val="22"/>
        </w:rPr>
        <w:t xml:space="preserve">předá </w:t>
      </w:r>
      <w:r w:rsidR="00AF4E98" w:rsidRPr="00667FF7">
        <w:rPr>
          <w:rFonts w:ascii="Arial" w:hAnsi="Arial" w:cs="Arial"/>
          <w:sz w:val="22"/>
          <w:szCs w:val="22"/>
        </w:rPr>
        <w:t>ke dni</w:t>
      </w:r>
      <w:r w:rsidR="00C1692A" w:rsidRPr="00667FF7">
        <w:rPr>
          <w:rFonts w:ascii="Arial" w:hAnsi="Arial" w:cs="Arial"/>
          <w:sz w:val="22"/>
          <w:szCs w:val="22"/>
        </w:rPr>
        <w:t xml:space="preserve"> </w:t>
      </w:r>
      <w:r w:rsidR="00060293">
        <w:rPr>
          <w:rFonts w:ascii="Arial" w:hAnsi="Arial" w:cs="Arial"/>
          <w:sz w:val="22"/>
          <w:szCs w:val="22"/>
        </w:rPr>
        <w:t>15</w:t>
      </w:r>
      <w:r w:rsidR="000363A2" w:rsidRPr="00667FF7">
        <w:rPr>
          <w:rFonts w:ascii="Arial" w:hAnsi="Arial" w:cs="Arial"/>
          <w:sz w:val="22"/>
          <w:szCs w:val="22"/>
        </w:rPr>
        <w:t xml:space="preserve">. listopadu </w:t>
      </w:r>
      <w:r w:rsidR="006E07EA">
        <w:rPr>
          <w:rFonts w:ascii="Arial" w:hAnsi="Arial" w:cs="Arial"/>
          <w:sz w:val="22"/>
          <w:szCs w:val="22"/>
        </w:rPr>
        <w:t>2024</w:t>
      </w:r>
      <w:r w:rsidR="00E74EDF" w:rsidRPr="00667FF7">
        <w:rPr>
          <w:rFonts w:ascii="Arial" w:hAnsi="Arial" w:cs="Arial"/>
          <w:sz w:val="22"/>
          <w:szCs w:val="22"/>
        </w:rPr>
        <w:t xml:space="preserve"> </w:t>
      </w:r>
      <w:r w:rsidRPr="00667FF7">
        <w:rPr>
          <w:rFonts w:ascii="Arial" w:hAnsi="Arial" w:cs="Arial"/>
          <w:sz w:val="22"/>
          <w:szCs w:val="22"/>
        </w:rPr>
        <w:t xml:space="preserve">objednateli </w:t>
      </w:r>
      <w:r w:rsidR="00E9682F" w:rsidRPr="00667FF7">
        <w:rPr>
          <w:rFonts w:ascii="Arial" w:hAnsi="Arial" w:cs="Arial"/>
          <w:sz w:val="22"/>
          <w:szCs w:val="22"/>
        </w:rPr>
        <w:t xml:space="preserve">v tištěné (1 ks) a v elektronické formě na USB </w:t>
      </w:r>
      <w:proofErr w:type="spellStart"/>
      <w:r w:rsidR="00E9682F" w:rsidRPr="00667FF7">
        <w:rPr>
          <w:rFonts w:ascii="Arial" w:hAnsi="Arial" w:cs="Arial"/>
          <w:sz w:val="22"/>
          <w:szCs w:val="22"/>
        </w:rPr>
        <w:t>flash</w:t>
      </w:r>
      <w:proofErr w:type="spellEnd"/>
      <w:r w:rsidR="00E9682F" w:rsidRPr="00667FF7">
        <w:rPr>
          <w:rFonts w:ascii="Arial" w:hAnsi="Arial" w:cs="Arial"/>
          <w:sz w:val="22"/>
          <w:szCs w:val="22"/>
        </w:rPr>
        <w:t xml:space="preserve"> disku (1 ks).</w:t>
      </w:r>
      <w:r w:rsidR="00D8604F"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E7CB48C" w14:textId="3B17F6A3" w:rsidR="00D27E74" w:rsidRDefault="00D27E74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lastRenderedPageBreak/>
        <w:t xml:space="preserve">O převzetí závěrečné zprávy </w:t>
      </w:r>
      <w:r w:rsidR="00ED2367"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a předání díla bez připomínek. V případě, že objednatel má k závěrečné zprávě připomínky, uvede je v protokole a stanoví zhotoviteli lhůtu k jejich vypořádání (dále také „protokol o převzetí a předání díla s připomínkami“). Po zapracování připomínek předá zhotovitel objednateli závěrečnou zprávu k opětovné akceptaci.</w:t>
      </w:r>
      <w:r w:rsidR="00005DBE" w:rsidRPr="00005DBE">
        <w:rPr>
          <w:rFonts w:ascii="Arial" w:hAnsi="Arial" w:cs="Arial"/>
          <w:bCs/>
          <w:sz w:val="22"/>
          <w:szCs w:val="22"/>
        </w:rPr>
        <w:t xml:space="preserve"> Akceptační lhůta pro objednatele je 10 pracovních dnů.</w:t>
      </w:r>
    </w:p>
    <w:p w14:paraId="23A231CA" w14:textId="008C3432" w:rsidR="00667FF7" w:rsidRPr="00667FF7" w:rsidRDefault="00667FF7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 w:rsidR="00060293"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 w:rsidR="00060293"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 w:rsidR="006E07EA">
        <w:rPr>
          <w:rFonts w:ascii="Arial" w:hAnsi="Arial" w:cs="Arial"/>
          <w:bCs/>
          <w:sz w:val="22"/>
          <w:szCs w:val="22"/>
        </w:rPr>
        <w:t>2024</w:t>
      </w:r>
      <w:r w:rsidRPr="00667FF7">
        <w:rPr>
          <w:rFonts w:ascii="Arial" w:hAnsi="Arial" w:cs="Arial"/>
          <w:bCs/>
          <w:sz w:val="22"/>
          <w:szCs w:val="22"/>
        </w:rPr>
        <w:t>.</w:t>
      </w:r>
      <w:r w:rsidR="007F37AC">
        <w:rPr>
          <w:rFonts w:ascii="Arial" w:hAnsi="Arial" w:cs="Arial"/>
          <w:bCs/>
          <w:sz w:val="22"/>
          <w:szCs w:val="22"/>
        </w:rPr>
        <w:t xml:space="preserve"> </w:t>
      </w:r>
    </w:p>
    <w:p w14:paraId="45166A00" w14:textId="5BA00AE8" w:rsidR="00F37553" w:rsidRDefault="00D54C3B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do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="00157F3F" w:rsidRPr="00E9682F">
        <w:rPr>
          <w:rFonts w:ascii="Arial" w:hAnsi="Arial" w:cs="Arial"/>
          <w:sz w:val="22"/>
          <w:szCs w:val="22"/>
        </w:rPr>
        <w:t>.</w:t>
      </w:r>
    </w:p>
    <w:p w14:paraId="07ED5BFE" w14:textId="147C9F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37EED885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60F53776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3A5D9F35" w14:textId="672A983B" w:rsidR="00E23C96" w:rsidRPr="00506666" w:rsidRDefault="00384B1B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>Nepřekročitelná maximální c</w:t>
      </w:r>
      <w:r w:rsidR="00E23C96" w:rsidRPr="00506666">
        <w:rPr>
          <w:rFonts w:ascii="Arial" w:hAnsi="Arial"/>
          <w:sz w:val="22"/>
          <w:szCs w:val="22"/>
        </w:rPr>
        <w:t xml:space="preserve">ena za řádně a včas provedené dílo je stanovena podle zákona č. 526/1990 Sb., o cenách, ve znění pozdějších předpisů a činí </w:t>
      </w:r>
      <w:r w:rsidR="00506666" w:rsidRPr="00506666">
        <w:rPr>
          <w:rFonts w:ascii="Arial" w:hAnsi="Arial"/>
          <w:sz w:val="22"/>
          <w:szCs w:val="22"/>
        </w:rPr>
        <w:t>715</w:t>
      </w:r>
      <w:r w:rsidR="001B6073">
        <w:rPr>
          <w:rFonts w:ascii="Arial" w:hAnsi="Arial"/>
          <w:sz w:val="22"/>
          <w:szCs w:val="22"/>
        </w:rPr>
        <w:t>.</w:t>
      </w:r>
      <w:r w:rsidR="00506666" w:rsidRPr="00506666">
        <w:rPr>
          <w:rFonts w:ascii="Arial" w:hAnsi="Arial"/>
          <w:sz w:val="22"/>
          <w:szCs w:val="22"/>
        </w:rPr>
        <w:t>000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r w:rsidR="00E23C96" w:rsidRPr="00506666">
        <w:rPr>
          <w:rFonts w:ascii="Arial" w:hAnsi="Arial"/>
          <w:sz w:val="22"/>
          <w:szCs w:val="22"/>
        </w:rPr>
        <w:t>Kč s DPH (slovy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proofErr w:type="spellStart"/>
      <w:r w:rsidR="00506666" w:rsidRPr="00506666">
        <w:rPr>
          <w:rFonts w:ascii="Arial" w:hAnsi="Arial"/>
          <w:sz w:val="22"/>
          <w:szCs w:val="22"/>
        </w:rPr>
        <w:t>sedmsetpatnácttisíc</w:t>
      </w:r>
      <w:proofErr w:type="spellEnd"/>
      <w:r w:rsidR="001D104B" w:rsidRPr="00506666">
        <w:rPr>
          <w:rFonts w:ascii="Arial" w:hAnsi="Arial"/>
          <w:sz w:val="22"/>
          <w:szCs w:val="22"/>
        </w:rPr>
        <w:t xml:space="preserve"> korun českých</w:t>
      </w:r>
      <w:r w:rsidR="00E23C96" w:rsidRPr="00506666">
        <w:rPr>
          <w:rFonts w:ascii="Arial" w:hAnsi="Arial"/>
          <w:sz w:val="22"/>
          <w:szCs w:val="22"/>
        </w:rPr>
        <w:t>) z toho:</w:t>
      </w:r>
    </w:p>
    <w:p w14:paraId="34B178F7" w14:textId="2E9BDB39" w:rsidR="00E23C96" w:rsidRPr="00506666" w:rsidRDefault="00E23C9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>Cena díla bez DPH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r w:rsidR="00506666" w:rsidRPr="00506666">
        <w:rPr>
          <w:rFonts w:ascii="Arial" w:hAnsi="Arial"/>
          <w:sz w:val="22"/>
          <w:szCs w:val="22"/>
        </w:rPr>
        <w:t>590</w:t>
      </w:r>
      <w:r w:rsidR="001B6073">
        <w:rPr>
          <w:rFonts w:ascii="Arial" w:hAnsi="Arial"/>
          <w:sz w:val="22"/>
          <w:szCs w:val="22"/>
        </w:rPr>
        <w:t>.</w:t>
      </w:r>
      <w:r w:rsidR="00506666" w:rsidRPr="00506666">
        <w:rPr>
          <w:rFonts w:ascii="Arial" w:hAnsi="Arial"/>
          <w:sz w:val="22"/>
          <w:szCs w:val="22"/>
        </w:rPr>
        <w:t>909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r w:rsidRPr="00506666">
        <w:rPr>
          <w:rFonts w:ascii="Arial" w:hAnsi="Arial"/>
          <w:sz w:val="22"/>
          <w:szCs w:val="22"/>
        </w:rPr>
        <w:t>Kč</w:t>
      </w:r>
    </w:p>
    <w:p w14:paraId="177A64DD" w14:textId="2A602F78" w:rsidR="00E23C96" w:rsidRPr="00506666" w:rsidRDefault="00D82486" w:rsidP="00AF1FEC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>DPH (21 %)</w:t>
      </w:r>
      <w:r w:rsidR="00117AC3" w:rsidRPr="00506666">
        <w:rPr>
          <w:rFonts w:ascii="Arial" w:hAnsi="Arial"/>
          <w:sz w:val="22"/>
          <w:szCs w:val="22"/>
        </w:rPr>
        <w:t xml:space="preserve"> </w:t>
      </w:r>
      <w:r w:rsidR="00506666" w:rsidRPr="00506666">
        <w:rPr>
          <w:rFonts w:ascii="Arial" w:hAnsi="Arial"/>
          <w:sz w:val="22"/>
          <w:szCs w:val="22"/>
        </w:rPr>
        <w:t>124</w:t>
      </w:r>
      <w:r w:rsidR="001B6073">
        <w:rPr>
          <w:rFonts w:ascii="Arial" w:hAnsi="Arial"/>
          <w:sz w:val="22"/>
          <w:szCs w:val="22"/>
        </w:rPr>
        <w:t>.</w:t>
      </w:r>
      <w:r w:rsidR="00506666" w:rsidRPr="00506666">
        <w:rPr>
          <w:rFonts w:ascii="Arial" w:hAnsi="Arial"/>
          <w:sz w:val="22"/>
          <w:szCs w:val="22"/>
        </w:rPr>
        <w:t>091</w:t>
      </w:r>
      <w:r w:rsidRPr="00506666">
        <w:rPr>
          <w:rFonts w:ascii="Arial" w:hAnsi="Arial"/>
          <w:sz w:val="22"/>
          <w:szCs w:val="22"/>
        </w:rPr>
        <w:t xml:space="preserve"> </w:t>
      </w:r>
      <w:r w:rsidR="00E23C96" w:rsidRPr="00506666">
        <w:rPr>
          <w:rFonts w:ascii="Arial" w:hAnsi="Arial"/>
          <w:sz w:val="22"/>
          <w:szCs w:val="22"/>
        </w:rPr>
        <w:t>Kč</w:t>
      </w:r>
    </w:p>
    <w:p w14:paraId="4D7C308D" w14:textId="06BF5EE5" w:rsidR="00E23C96" w:rsidRPr="00506666" w:rsidRDefault="00E23C96" w:rsidP="00AF1FEC">
      <w:pPr>
        <w:numPr>
          <w:ilvl w:val="0"/>
          <w:numId w:val="18"/>
        </w:numPr>
        <w:spacing w:before="240"/>
        <w:ind w:left="1423" w:hanging="357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>Celková cena</w:t>
      </w:r>
      <w:r w:rsidR="00FE5CF9" w:rsidRPr="00506666">
        <w:rPr>
          <w:rFonts w:ascii="Arial" w:hAnsi="Arial"/>
          <w:sz w:val="22"/>
          <w:szCs w:val="22"/>
        </w:rPr>
        <w:t xml:space="preserve"> včetně DPH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r w:rsidR="00506666" w:rsidRPr="00506666">
        <w:rPr>
          <w:rFonts w:ascii="Arial" w:hAnsi="Arial"/>
          <w:sz w:val="22"/>
          <w:szCs w:val="22"/>
        </w:rPr>
        <w:t>715</w:t>
      </w:r>
      <w:r w:rsidR="001B6073">
        <w:rPr>
          <w:rFonts w:ascii="Arial" w:hAnsi="Arial"/>
          <w:sz w:val="22"/>
          <w:szCs w:val="22"/>
        </w:rPr>
        <w:t>.</w:t>
      </w:r>
      <w:r w:rsidR="00506666" w:rsidRPr="00506666">
        <w:rPr>
          <w:rFonts w:ascii="Arial" w:hAnsi="Arial"/>
          <w:sz w:val="22"/>
          <w:szCs w:val="22"/>
        </w:rPr>
        <w:t>000</w:t>
      </w:r>
      <w:r w:rsidR="00D82486" w:rsidRPr="00506666">
        <w:rPr>
          <w:rFonts w:ascii="Arial" w:hAnsi="Arial"/>
          <w:sz w:val="22"/>
          <w:szCs w:val="22"/>
        </w:rPr>
        <w:t xml:space="preserve"> </w:t>
      </w:r>
      <w:r w:rsidRPr="00506666">
        <w:rPr>
          <w:rFonts w:ascii="Arial" w:hAnsi="Arial"/>
          <w:sz w:val="22"/>
          <w:szCs w:val="22"/>
        </w:rPr>
        <w:t>Kč</w:t>
      </w:r>
    </w:p>
    <w:p w14:paraId="206C7D1E" w14:textId="7CF6224D" w:rsidR="003A4DE3" w:rsidRPr="00506666" w:rsidRDefault="003A4DE3" w:rsidP="00AF1FEC">
      <w:pPr>
        <w:spacing w:before="240"/>
        <w:ind w:firstLine="703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 xml:space="preserve">Kalkulace nákladů je přílohou č. 1 </w:t>
      </w:r>
      <w:r w:rsidR="007868B3">
        <w:rPr>
          <w:rFonts w:ascii="Arial" w:hAnsi="Arial"/>
          <w:sz w:val="22"/>
          <w:szCs w:val="22"/>
        </w:rPr>
        <w:t xml:space="preserve">této </w:t>
      </w:r>
      <w:r w:rsidRPr="00506666">
        <w:rPr>
          <w:rFonts w:ascii="Arial" w:hAnsi="Arial"/>
          <w:sz w:val="22"/>
          <w:szCs w:val="22"/>
        </w:rPr>
        <w:t xml:space="preserve">smlouvy č. </w:t>
      </w:r>
      <w:r w:rsidR="00B771E4">
        <w:rPr>
          <w:rFonts w:ascii="Arial" w:hAnsi="Arial"/>
          <w:sz w:val="22"/>
          <w:szCs w:val="22"/>
        </w:rPr>
        <w:t>67</w:t>
      </w:r>
      <w:r w:rsidR="00C95089">
        <w:rPr>
          <w:rFonts w:ascii="Arial" w:hAnsi="Arial"/>
          <w:sz w:val="22"/>
          <w:szCs w:val="22"/>
        </w:rPr>
        <w:t>9</w:t>
      </w:r>
      <w:r w:rsidR="00602975" w:rsidRPr="00506666">
        <w:rPr>
          <w:rFonts w:ascii="Arial" w:hAnsi="Arial"/>
          <w:sz w:val="22"/>
          <w:szCs w:val="22"/>
        </w:rPr>
        <w:t>-</w:t>
      </w:r>
      <w:r w:rsidR="006E07EA" w:rsidRPr="00506666">
        <w:rPr>
          <w:rFonts w:ascii="Arial" w:hAnsi="Arial"/>
          <w:sz w:val="22"/>
          <w:szCs w:val="22"/>
        </w:rPr>
        <w:t>2024</w:t>
      </w:r>
      <w:r w:rsidR="00602975" w:rsidRPr="00506666">
        <w:rPr>
          <w:rFonts w:ascii="Arial" w:hAnsi="Arial"/>
          <w:sz w:val="22"/>
          <w:szCs w:val="22"/>
        </w:rPr>
        <w:t>-18111</w:t>
      </w:r>
      <w:r w:rsidRPr="00506666">
        <w:rPr>
          <w:rFonts w:ascii="Arial" w:hAnsi="Arial"/>
          <w:sz w:val="22"/>
          <w:szCs w:val="22"/>
        </w:rPr>
        <w:t>.</w:t>
      </w:r>
    </w:p>
    <w:p w14:paraId="305F68E4" w14:textId="045504A8" w:rsidR="00A15118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="00FA34A6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na základě řádného provedení díla dle této smlouvy</w:t>
      </w:r>
      <w:r w:rsidR="00371354" w:rsidRPr="00E9682F">
        <w:rPr>
          <w:rFonts w:ascii="Arial" w:hAnsi="Arial" w:cs="Arial"/>
          <w:b w:val="0"/>
          <w:sz w:val="22"/>
          <w:szCs w:val="22"/>
        </w:rPr>
        <w:t>,</w:t>
      </w:r>
      <w:r w:rsidRPr="00E9682F">
        <w:rPr>
          <w:rFonts w:ascii="Arial" w:hAnsi="Arial" w:cs="Arial"/>
          <w:b w:val="0"/>
          <w:sz w:val="22"/>
          <w:szCs w:val="22"/>
        </w:rPr>
        <w:t xml:space="preserve"> což bud</w:t>
      </w:r>
      <w:r w:rsidR="00EF0292" w:rsidRPr="00E9682F">
        <w:rPr>
          <w:rFonts w:ascii="Arial" w:hAnsi="Arial" w:cs="Arial"/>
          <w:b w:val="0"/>
          <w:sz w:val="22"/>
          <w:szCs w:val="22"/>
        </w:rPr>
        <w:t>e potvrzeno protokolem</w:t>
      </w:r>
      <w:r w:rsidR="00150835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150835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5747BA3C" w14:textId="111E3261" w:rsidR="00A15118" w:rsidRPr="00E9682F" w:rsidRDefault="00A15118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="00144CC1"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5C06D9B" w14:textId="20794FAB" w:rsidR="00600E4D" w:rsidRPr="00E9682F" w:rsidRDefault="002F32E5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="00A23A1F"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="00A23A1F" w:rsidRPr="00E9682F">
        <w:rPr>
          <w:rFonts w:ascii="Arial" w:hAnsi="Arial" w:cs="Arial"/>
          <w:sz w:val="22"/>
          <w:szCs w:val="22"/>
        </w:rPr>
        <w:t xml:space="preserve"> která </w:t>
      </w:r>
      <w:r w:rsidRPr="00E9682F">
        <w:rPr>
          <w:rFonts w:ascii="Arial" w:hAnsi="Arial" w:cs="Arial"/>
          <w:sz w:val="22"/>
          <w:szCs w:val="22"/>
        </w:rPr>
        <w:t xml:space="preserve">bude vystavena za provedené dílo v roce </w:t>
      </w:r>
      <w:r w:rsidR="006E07EA">
        <w:rPr>
          <w:rFonts w:ascii="Arial" w:hAnsi="Arial" w:cs="Arial"/>
          <w:sz w:val="22"/>
          <w:szCs w:val="22"/>
        </w:rPr>
        <w:t>2024</w:t>
      </w:r>
      <w:r w:rsidR="00A23A1F" w:rsidRPr="00E9682F">
        <w:rPr>
          <w:rFonts w:ascii="Arial" w:hAnsi="Arial" w:cs="Arial"/>
          <w:sz w:val="22"/>
          <w:szCs w:val="22"/>
        </w:rPr>
        <w:t xml:space="preserve">. </w:t>
      </w:r>
      <w:r w:rsidR="00370C9F"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="00370C9F"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="00370C9F" w:rsidRPr="00E9682F">
        <w:rPr>
          <w:rFonts w:ascii="Arial" w:hAnsi="Arial" w:cs="Arial"/>
          <w:bCs/>
          <w:sz w:val="22"/>
          <w:szCs w:val="22"/>
        </w:rPr>
        <w:t>. odst. 4 smlouvy.</w:t>
      </w:r>
      <w:r w:rsidR="00370C9F"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341411"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="00600E4D" w:rsidRPr="00E9682F">
        <w:rPr>
          <w:rFonts w:ascii="Arial" w:hAnsi="Arial" w:cs="Arial"/>
          <w:sz w:val="22"/>
          <w:szCs w:val="22"/>
        </w:rPr>
        <w:t xml:space="preserve">musí být zhotovitelem doručena objednateli nejpozději do </w:t>
      </w:r>
      <w:r w:rsidR="00871F36">
        <w:rPr>
          <w:rFonts w:ascii="Arial" w:hAnsi="Arial" w:cs="Arial"/>
          <w:sz w:val="22"/>
          <w:szCs w:val="22"/>
          <w:lang w:val="cs-CZ"/>
        </w:rPr>
        <w:t>30</w:t>
      </w:r>
      <w:r w:rsidR="00600E4D" w:rsidRPr="00E9682F">
        <w:rPr>
          <w:rFonts w:ascii="Arial" w:hAnsi="Arial" w:cs="Arial"/>
          <w:sz w:val="22"/>
          <w:szCs w:val="22"/>
        </w:rPr>
        <w:t>. 1</w:t>
      </w:r>
      <w:r w:rsidR="00871F36">
        <w:rPr>
          <w:rFonts w:ascii="Arial" w:hAnsi="Arial" w:cs="Arial"/>
          <w:sz w:val="22"/>
          <w:szCs w:val="22"/>
          <w:lang w:val="cs-CZ"/>
        </w:rPr>
        <w:t>1</w:t>
      </w:r>
      <w:r w:rsidR="00877EEF" w:rsidRPr="00E9682F">
        <w:rPr>
          <w:rFonts w:ascii="Arial" w:hAnsi="Arial" w:cs="Arial"/>
          <w:sz w:val="22"/>
          <w:szCs w:val="22"/>
        </w:rPr>
        <w:t xml:space="preserve">. </w:t>
      </w:r>
      <w:r w:rsidR="006E07EA">
        <w:rPr>
          <w:rFonts w:ascii="Arial" w:hAnsi="Arial" w:cs="Arial"/>
          <w:sz w:val="22"/>
          <w:szCs w:val="22"/>
          <w:lang w:val="cs-CZ"/>
        </w:rPr>
        <w:t>2024</w:t>
      </w:r>
      <w:r w:rsidR="0091399A">
        <w:rPr>
          <w:rFonts w:ascii="Arial" w:hAnsi="Arial" w:cs="Arial"/>
          <w:sz w:val="22"/>
          <w:szCs w:val="22"/>
        </w:rPr>
        <w:t>.</w:t>
      </w:r>
    </w:p>
    <w:p w14:paraId="7239BD08" w14:textId="0476CA57" w:rsidR="00A15118" w:rsidRPr="00E9682F" w:rsidRDefault="00647D64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</w:t>
      </w:r>
      <w:r w:rsidR="00A15118" w:rsidRPr="00E9682F">
        <w:rPr>
          <w:rFonts w:ascii="Arial" w:hAnsi="Arial" w:cs="Arial"/>
          <w:b w:val="0"/>
          <w:bCs/>
          <w:sz w:val="22"/>
          <w:szCs w:val="22"/>
        </w:rPr>
        <w:t>faktury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se stanoví na </w:t>
      </w:r>
      <w:r w:rsidR="00491EB9" w:rsidRPr="00E9682F">
        <w:rPr>
          <w:rFonts w:ascii="Arial" w:hAnsi="Arial" w:cs="Arial"/>
          <w:b w:val="0"/>
          <w:bCs/>
          <w:sz w:val="22"/>
          <w:szCs w:val="22"/>
        </w:rPr>
        <w:t xml:space="preserve">30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kalendářních dnů po doručení faktury za dílo, jejíž přílohou bude protokol </w:t>
      </w:r>
      <w:r w:rsidR="00ED2367"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2C15C123" w14:textId="79044072" w:rsidR="00647D64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>Cenu za provedení předmětu plnění uhradí objednatel formou bezhotovostního převodu na účet zhotovitele uvedený v záhlaví smlouvy. Faktura musí obsahovat odkaz na smlouvu. Přílohou faktury bude oběma smluvními stranami podepsaný protokol</w:t>
      </w:r>
      <w:r w:rsidR="0022637B"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="0022637B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na základě § 435 občanského zákoníku. Nebude-li faktura splňovat veškeré výše uvedené </w:t>
      </w:r>
      <w:r w:rsidRPr="00E9682F">
        <w:rPr>
          <w:rFonts w:ascii="Arial" w:hAnsi="Arial" w:cs="Arial"/>
          <w:b w:val="0"/>
          <w:bCs/>
          <w:sz w:val="22"/>
          <w:szCs w:val="22"/>
        </w:rPr>
        <w:lastRenderedPageBreak/>
        <w:t>náležitosti daňového dokladu, nebo bude-li mít jiné závady</w:t>
      </w:r>
      <w:r w:rsidR="004505F1"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je objednatel oprávněn ji ve lhůtě její splatnosti zhotoviteli vrátit a zhotovitel je povinen vystavit fakturu novou - 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doručena objednateli.</w:t>
      </w:r>
      <w:r w:rsidR="00647D64" w:rsidRPr="00E9682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8610217" w14:textId="77777777" w:rsidR="00BC1739" w:rsidRPr="00E9682F" w:rsidRDefault="00BC1739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neposkytne zhotoviteli </w:t>
      </w:r>
      <w:r w:rsidR="00A05DE6" w:rsidRPr="00E9682F">
        <w:rPr>
          <w:rFonts w:ascii="Arial" w:hAnsi="Arial"/>
          <w:sz w:val="22"/>
          <w:szCs w:val="22"/>
        </w:rPr>
        <w:t xml:space="preserve">na provedení předmětu smlouvy </w:t>
      </w:r>
      <w:r w:rsidRPr="00E9682F">
        <w:rPr>
          <w:rFonts w:ascii="Arial" w:hAnsi="Arial"/>
          <w:sz w:val="22"/>
          <w:szCs w:val="22"/>
        </w:rPr>
        <w:t>zálohy.</w:t>
      </w:r>
    </w:p>
    <w:p w14:paraId="4C9A090B" w14:textId="77777777" w:rsidR="00F37553" w:rsidRPr="00E9682F" w:rsidRDefault="00F37553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</w:t>
      </w:r>
      <w:r w:rsidR="00647D64" w:rsidRPr="00E9682F">
        <w:rPr>
          <w:rFonts w:ascii="Arial" w:hAnsi="Arial"/>
          <w:sz w:val="22"/>
          <w:szCs w:val="22"/>
        </w:rPr>
        <w:t xml:space="preserve"> ve prospěch účtu zhotovitele</w:t>
      </w:r>
      <w:r w:rsidRPr="00E9682F">
        <w:rPr>
          <w:rFonts w:ascii="Arial" w:hAnsi="Arial"/>
          <w:sz w:val="22"/>
          <w:szCs w:val="22"/>
        </w:rPr>
        <w:t>.</w:t>
      </w:r>
    </w:p>
    <w:p w14:paraId="4C59B8EC" w14:textId="77777777" w:rsidR="00A05DE6" w:rsidRPr="00E9682F" w:rsidRDefault="00A05DE6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29180BFB" w14:textId="3C485FAE" w:rsidR="002A6D6D" w:rsidRDefault="002A6D6D" w:rsidP="00AF1FE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</w:t>
      </w:r>
      <w:r w:rsidR="00C81E60">
        <w:rPr>
          <w:rFonts w:ascii="Arial" w:hAnsi="Arial"/>
          <w:sz w:val="22"/>
          <w:szCs w:val="22"/>
        </w:rPr>
        <w:t>XXXXXXX</w:t>
      </w:r>
      <w:r w:rsidRPr="00E9682F">
        <w:rPr>
          <w:rFonts w:ascii="Arial" w:hAnsi="Arial"/>
          <w:sz w:val="22"/>
          <w:szCs w:val="22"/>
        </w:rPr>
        <w:t xml:space="preserve"> nebo na e-mailovou adresu </w:t>
      </w:r>
      <w:r w:rsidR="00C81E60">
        <w:rPr>
          <w:rFonts w:ascii="Arial" w:hAnsi="Arial"/>
          <w:sz w:val="22"/>
          <w:szCs w:val="22"/>
        </w:rPr>
        <w:t>XXXXXXX</w:t>
      </w:r>
      <w:r w:rsidR="00341411">
        <w:rPr>
          <w:rFonts w:ascii="Arial" w:hAnsi="Arial"/>
          <w:sz w:val="22"/>
          <w:szCs w:val="22"/>
        </w:rPr>
        <w:t xml:space="preserve">,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404F58BF" w14:textId="77777777" w:rsidR="00207CC5" w:rsidRPr="00341411" w:rsidRDefault="00207CC5" w:rsidP="00207CC5">
      <w:pPr>
        <w:pStyle w:val="Odstavecseseznamem"/>
        <w:spacing w:before="240"/>
        <w:ind w:left="705"/>
        <w:jc w:val="both"/>
        <w:rPr>
          <w:rFonts w:ascii="Arial" w:hAnsi="Arial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6AB3ECC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</w:t>
      </w:r>
      <w:r w:rsidR="00207CC5">
        <w:rPr>
          <w:rFonts w:ascii="Arial" w:hAnsi="Arial"/>
          <w:sz w:val="22"/>
          <w:szCs w:val="22"/>
        </w:rPr>
        <w:t xml:space="preserve">Část prací na zhotovení díla podle této smlouvy byla provedena ještě před účinností této smlouvy a smluvní strany se dohodly, že i tyto práce budou v ceně díla </w:t>
      </w:r>
      <w:proofErr w:type="gramStart"/>
      <w:r w:rsidR="00207CC5">
        <w:rPr>
          <w:rFonts w:ascii="Arial" w:hAnsi="Arial"/>
          <w:sz w:val="22"/>
          <w:szCs w:val="22"/>
        </w:rPr>
        <w:t>zahrnuty</w:t>
      </w:r>
      <w:proofErr w:type="gramEnd"/>
      <w:r w:rsidR="00207CC5">
        <w:rPr>
          <w:rFonts w:ascii="Arial" w:hAnsi="Arial"/>
          <w:sz w:val="22"/>
          <w:szCs w:val="22"/>
        </w:rPr>
        <w:t xml:space="preserve"> a to podle skutečně vynaložených nákladů na dílo v té době. </w:t>
      </w:r>
      <w:r w:rsidRPr="00E9682F">
        <w:rPr>
          <w:rFonts w:ascii="Arial" w:hAnsi="Arial"/>
          <w:sz w:val="22"/>
          <w:szCs w:val="22"/>
        </w:rPr>
        <w:t xml:space="preserve">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77777777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60655647" w:rsidR="00126CC2" w:rsidRPr="00506666" w:rsidRDefault="00126CC2" w:rsidP="00E556D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t xml:space="preserve">Pokud objednavatel zjistí vady či chyby v závěrečné zprávě, je </w:t>
      </w:r>
      <w:r w:rsidR="00DD4FB0" w:rsidRPr="00506666">
        <w:rPr>
          <w:rFonts w:ascii="Arial" w:hAnsi="Arial"/>
          <w:sz w:val="22"/>
          <w:szCs w:val="22"/>
        </w:rPr>
        <w:t>zhotovitel</w:t>
      </w:r>
      <w:r w:rsidRPr="00506666">
        <w:rPr>
          <w:rFonts w:ascii="Arial" w:hAnsi="Arial"/>
          <w:sz w:val="22"/>
          <w:szCs w:val="22"/>
        </w:rPr>
        <w:t xml:space="preserve"> povinen na své náklady tyto vady či chyby odstranit,</w:t>
      </w:r>
      <w:r w:rsidR="001A49E2" w:rsidRPr="00506666">
        <w:rPr>
          <w:rFonts w:ascii="Arial" w:hAnsi="Arial"/>
          <w:sz w:val="22"/>
          <w:szCs w:val="22"/>
        </w:rPr>
        <w:t xml:space="preserve"> jak je uvedeno v čl. III. odst. </w:t>
      </w:r>
      <w:r w:rsidR="00667FF7" w:rsidRPr="00506666">
        <w:rPr>
          <w:rFonts w:ascii="Arial" w:hAnsi="Arial"/>
          <w:sz w:val="22"/>
          <w:szCs w:val="22"/>
        </w:rPr>
        <w:t>3</w:t>
      </w:r>
      <w:r w:rsidR="001A49E2" w:rsidRPr="00506666">
        <w:rPr>
          <w:rFonts w:ascii="Arial" w:hAnsi="Arial"/>
          <w:sz w:val="22"/>
          <w:szCs w:val="22"/>
        </w:rPr>
        <w:t>,</w:t>
      </w:r>
      <w:r w:rsidRPr="00506666">
        <w:rPr>
          <w:rFonts w:ascii="Arial" w:hAnsi="Arial"/>
          <w:sz w:val="22"/>
          <w:szCs w:val="22"/>
        </w:rPr>
        <w:t xml:space="preserve"> a to nejdéle do 30 kalendářních dnů ode dne oznámení závad </w:t>
      </w:r>
      <w:r w:rsidR="00DD4FB0" w:rsidRPr="00506666">
        <w:rPr>
          <w:rFonts w:ascii="Arial" w:hAnsi="Arial"/>
          <w:sz w:val="22"/>
          <w:szCs w:val="22"/>
        </w:rPr>
        <w:t>zhotoviteli</w:t>
      </w:r>
      <w:r w:rsidRPr="00506666">
        <w:rPr>
          <w:rFonts w:ascii="Arial" w:hAnsi="Arial"/>
          <w:sz w:val="22"/>
          <w:szCs w:val="22"/>
        </w:rPr>
        <w:t xml:space="preserve"> objednatelem. Oznámení musí být předáno objednatelem </w:t>
      </w:r>
      <w:r w:rsidR="00DD4FB0" w:rsidRPr="00506666">
        <w:rPr>
          <w:rFonts w:ascii="Arial" w:hAnsi="Arial"/>
          <w:sz w:val="22"/>
          <w:szCs w:val="22"/>
        </w:rPr>
        <w:t>zhotoviteli</w:t>
      </w:r>
      <w:r w:rsidRPr="00506666">
        <w:rPr>
          <w:rFonts w:ascii="Arial" w:hAnsi="Arial"/>
          <w:sz w:val="22"/>
          <w:szCs w:val="22"/>
        </w:rPr>
        <w:t xml:space="preserve"> v elektronické formě (</w:t>
      </w:r>
      <w:r w:rsidR="00356395" w:rsidRPr="00506666">
        <w:rPr>
          <w:rFonts w:ascii="Arial" w:hAnsi="Arial"/>
          <w:sz w:val="22"/>
          <w:szCs w:val="22"/>
        </w:rPr>
        <w:t xml:space="preserve">e-mailem </w:t>
      </w:r>
      <w:r w:rsidRPr="00506666">
        <w:rPr>
          <w:rFonts w:ascii="Arial" w:hAnsi="Arial"/>
          <w:sz w:val="22"/>
          <w:szCs w:val="22"/>
        </w:rPr>
        <w:t>na adresu:</w:t>
      </w:r>
      <w:r w:rsidR="00506666">
        <w:t xml:space="preserve"> </w:t>
      </w:r>
      <w:r w:rsidR="00C81E60">
        <w:rPr>
          <w:rFonts w:ascii="Arial" w:hAnsi="Arial"/>
          <w:sz w:val="22"/>
          <w:szCs w:val="22"/>
        </w:rPr>
        <w:t>XXXXXXX</w:t>
      </w:r>
      <w:r w:rsidRPr="00506666">
        <w:rPr>
          <w:rFonts w:ascii="Arial" w:hAnsi="Arial" w:cs="Arial"/>
          <w:sz w:val="22"/>
          <w:szCs w:val="22"/>
        </w:rPr>
        <w:t xml:space="preserve">) nebo v písemné formě na adresu </w:t>
      </w:r>
      <w:r w:rsidR="00DD4FB0" w:rsidRPr="00506666">
        <w:rPr>
          <w:rFonts w:ascii="Arial" w:hAnsi="Arial" w:cs="Arial"/>
          <w:sz w:val="22"/>
          <w:szCs w:val="22"/>
        </w:rPr>
        <w:t>zhotovitele</w:t>
      </w:r>
      <w:r w:rsidRPr="00506666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lastRenderedPageBreak/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77777777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připravit příslušné podklady umožňující kontrolu v plném rozsahu (odst. 3, písm. 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6908C9D2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75E7700F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I. odst. </w:t>
      </w:r>
      <w:r w:rsidR="000708D7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0708D7">
        <w:rPr>
          <w:rFonts w:ascii="Arial" w:eastAsia="Arial" w:hAnsi="Arial" w:cs="Arial"/>
          <w:bCs/>
          <w:sz w:val="22"/>
          <w:szCs w:val="22"/>
        </w:rPr>
        <w:t>nebo dle čl. II. odst. 3 smlouvy</w:t>
      </w:r>
    </w:p>
    <w:p w14:paraId="7A095192" w14:textId="57A0D96C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lastRenderedPageBreak/>
        <w:t xml:space="preserve">V případě porušení smluvních povinností uvedených v kterémkoliv písmenu 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> předchozího odst. 1 tohoto článku smlouvy je objednatel oprávněn po zhotoviteli požadovat zaplacení pokuty ve výši</w:t>
      </w:r>
      <w:r w:rsidR="001B6073">
        <w:rPr>
          <w:rFonts w:ascii="Arial" w:hAnsi="Arial"/>
          <w:sz w:val="22"/>
          <w:szCs w:val="22"/>
        </w:rPr>
        <w:t xml:space="preserve"> </w:t>
      </w:r>
      <w:r w:rsidRPr="00005DBE">
        <w:rPr>
          <w:rFonts w:ascii="Arial" w:hAnsi="Arial"/>
          <w:sz w:val="22"/>
          <w:szCs w:val="22"/>
        </w:rPr>
        <w:t xml:space="preserve">50.000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35BE7C5E" w14:textId="3FE9B3F5" w:rsidR="00F4534E" w:rsidRDefault="00F4534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případě závažného porušení smluvních povinností</w:t>
      </w:r>
      <w:r w:rsidR="00E90435" w:rsidRPr="00E9682F">
        <w:rPr>
          <w:rFonts w:ascii="Arial" w:hAnsi="Arial" w:cs="Arial"/>
          <w:sz w:val="22"/>
          <w:szCs w:val="22"/>
        </w:rPr>
        <w:t xml:space="preserve"> ve smyslu</w:t>
      </w:r>
      <w:r w:rsidR="000A3E6E" w:rsidRPr="00E9682F">
        <w:rPr>
          <w:rFonts w:ascii="Arial" w:hAnsi="Arial" w:cs="Arial"/>
          <w:sz w:val="22"/>
          <w:szCs w:val="22"/>
        </w:rPr>
        <w:t xml:space="preserve"> čl. XII odst. </w:t>
      </w:r>
      <w:r w:rsidR="00CE401A">
        <w:rPr>
          <w:rFonts w:ascii="Arial" w:hAnsi="Arial" w:cs="Arial"/>
          <w:sz w:val="22"/>
          <w:szCs w:val="22"/>
        </w:rPr>
        <w:t>5</w:t>
      </w:r>
      <w:r w:rsidR="000A3E6E"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>(vyjma doby plnění) ze strany zhotovitele, přísluší obje</w:t>
      </w:r>
      <w:r w:rsidR="00AA6C9F">
        <w:rPr>
          <w:rFonts w:ascii="Arial" w:hAnsi="Arial" w:cs="Arial"/>
          <w:sz w:val="22"/>
          <w:szCs w:val="22"/>
        </w:rPr>
        <w:t>dnateli smluvní pokuta ve výši 1</w:t>
      </w:r>
      <w:r w:rsidRPr="00E9682F">
        <w:rPr>
          <w:rFonts w:ascii="Arial" w:hAnsi="Arial" w:cs="Arial"/>
          <w:sz w:val="22"/>
          <w:szCs w:val="22"/>
        </w:rPr>
        <w:t xml:space="preserve">0 % z ceny plnění uvedené v čl. IV. </w:t>
      </w:r>
      <w:r w:rsidR="00876EAE">
        <w:rPr>
          <w:rFonts w:ascii="Arial" w:hAnsi="Arial" w:cs="Arial"/>
          <w:sz w:val="22"/>
          <w:szCs w:val="22"/>
        </w:rPr>
        <w:t>odst. 1</w:t>
      </w:r>
      <w:r w:rsidRPr="00E9682F">
        <w:rPr>
          <w:rFonts w:ascii="Arial" w:hAnsi="Arial" w:cs="Arial"/>
          <w:sz w:val="22"/>
          <w:szCs w:val="22"/>
        </w:rPr>
        <w:t>, a to za každé jednotlivé porušení.</w:t>
      </w:r>
    </w:p>
    <w:p w14:paraId="12B86A16" w14:textId="37CD77F2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poruší jakoukoliv svoji smluvní povinnost uvedenou v čl. VII. odst. 4 smlouvy, je povinen uhradit objednateli smluvní pokutu ve výši 5</w:t>
      </w:r>
      <w:r w:rsidR="001006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11208E6B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 případě, že zhotovitel nesplní lhůty pro odstranění vad stanovené objednavatelem dle 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9</w:t>
      </w:r>
      <w:r w:rsidR="00C913CF" w:rsidRPr="00E9682F">
        <w:rPr>
          <w:rFonts w:ascii="Arial" w:hAnsi="Arial"/>
          <w:sz w:val="22"/>
          <w:szCs w:val="22"/>
        </w:rPr>
        <w:t>.</w:t>
      </w:r>
      <w:r w:rsidR="00D667B3" w:rsidRPr="00E9682F">
        <w:rPr>
          <w:rFonts w:ascii="Arial" w:hAnsi="Arial"/>
          <w:sz w:val="22"/>
          <w:szCs w:val="22"/>
        </w:rPr>
        <w:t>000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77777777" w:rsidR="00126CC2" w:rsidRPr="00E9682F" w:rsidRDefault="00A05DE6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425DD5CB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>v případě, že by na základě této smlouvy vzniklo autorské dílo 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 a dílo sám neužít.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77777777" w:rsidR="00297DA4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>zákona č. 121/2000 Sb., o právu autorském, 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</w:t>
      </w:r>
      <w:r w:rsidR="00D42BA7" w:rsidRPr="00E9682F">
        <w:rPr>
          <w:rFonts w:ascii="Arial" w:hAnsi="Arial" w:cs="Arial"/>
          <w:sz w:val="22"/>
          <w:szCs w:val="22"/>
        </w:rPr>
        <w:lastRenderedPageBreak/>
        <w:t>(obecné nařízení o ochraně osobních údajů; GDPR) a se zákonem č. 110/2019 Sb., o zpracování osobních údajů.</w:t>
      </w:r>
    </w:p>
    <w:p w14:paraId="765685CD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37B7A582" w14:textId="77777777" w:rsidR="00837EC3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</w:t>
      </w:r>
      <w:proofErr w:type="spellStart"/>
      <w:r w:rsidR="003C2A6F" w:rsidRPr="00E9682F">
        <w:rPr>
          <w:rFonts w:ascii="Arial" w:hAnsi="Arial" w:cs="Arial"/>
          <w:sz w:val="22"/>
          <w:szCs w:val="22"/>
        </w:rPr>
        <w:t>pozd</w:t>
      </w:r>
      <w:proofErr w:type="spellEnd"/>
      <w:r w:rsidR="003C2A6F" w:rsidRPr="00E9682F">
        <w:rPr>
          <w:rFonts w:ascii="Arial" w:hAnsi="Arial" w:cs="Arial"/>
          <w:sz w:val="22"/>
          <w:szCs w:val="22"/>
        </w:rPr>
        <w:t xml:space="preserve">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4A451267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 xml:space="preserve">důvodů závažného porušení smluvní povinnosti zhotovitele. Závažným porušením smluvní povinnosti se pro účely této smlouvy rozumí mimo jiné i použití finančních prostředků nebo jejich části zhotovitelem na jiný účel, než je uvedeno v této smlouvě. 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29044D2E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vrátit objednateli příslušnou část finančních prostředků poskytnutých podle této smlouvy</w:t>
      </w:r>
      <w:r w:rsidR="00122532" w:rsidRPr="00E9682F">
        <w:rPr>
          <w:rFonts w:ascii="Arial" w:hAnsi="Arial"/>
          <w:sz w:val="22"/>
          <w:szCs w:val="22"/>
        </w:rPr>
        <w:t xml:space="preserve"> za nesplněný zbytek plnění</w:t>
      </w:r>
      <w:r w:rsidRPr="00E9682F">
        <w:rPr>
          <w:rFonts w:ascii="Arial" w:hAnsi="Arial"/>
          <w:sz w:val="22"/>
          <w:szCs w:val="22"/>
        </w:rPr>
        <w:t>, a to nejdéle do 30 kalendářních dnů ode dne, kdy k odstoupení podle této smlouvy došlo.</w:t>
      </w:r>
      <w:r w:rsidR="00122532" w:rsidRPr="00E9682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 xml:space="preserve"> případě výpovědi smlouvy se postupuje obdobně dle první věty tohoto odstavce, lhůta pro </w:t>
      </w:r>
      <w:r w:rsidR="00066941" w:rsidRPr="00E9682F">
        <w:rPr>
          <w:rFonts w:ascii="Arial" w:hAnsi="Arial"/>
          <w:sz w:val="22"/>
          <w:szCs w:val="22"/>
        </w:rPr>
        <w:t xml:space="preserve">vrácení finančních prostředků se počítá ode dne </w:t>
      </w:r>
      <w:r w:rsidR="00005DBE">
        <w:rPr>
          <w:rFonts w:ascii="Arial" w:hAnsi="Arial"/>
          <w:sz w:val="22"/>
          <w:szCs w:val="22"/>
        </w:rPr>
        <w:t>doručení</w:t>
      </w:r>
      <w:r w:rsidR="00005DBE" w:rsidRPr="00E9682F">
        <w:rPr>
          <w:rFonts w:ascii="Arial" w:hAnsi="Arial"/>
          <w:sz w:val="22"/>
          <w:szCs w:val="22"/>
        </w:rPr>
        <w:t xml:space="preserve"> </w:t>
      </w:r>
      <w:r w:rsidR="00066941" w:rsidRPr="00E9682F">
        <w:rPr>
          <w:rFonts w:ascii="Arial" w:hAnsi="Arial"/>
          <w:sz w:val="22"/>
          <w:szCs w:val="22"/>
        </w:rPr>
        <w:t>výpovědi.</w:t>
      </w:r>
      <w:r w:rsidRPr="00E9682F">
        <w:rPr>
          <w:rFonts w:ascii="Arial" w:hAnsi="Arial"/>
          <w:sz w:val="22"/>
          <w:szCs w:val="22"/>
        </w:rPr>
        <w:t xml:space="preserve"> </w:t>
      </w:r>
      <w:r w:rsidR="00B4171E" w:rsidRPr="00E9682F">
        <w:rPr>
          <w:rFonts w:ascii="Arial" w:hAnsi="Arial"/>
          <w:sz w:val="22"/>
          <w:szCs w:val="22"/>
        </w:rPr>
        <w:t>Tímto ustanovením ne</w:t>
      </w:r>
      <w:r w:rsidR="00B4171E">
        <w:rPr>
          <w:rFonts w:ascii="Arial" w:hAnsi="Arial"/>
          <w:sz w:val="22"/>
          <w:szCs w:val="22"/>
        </w:rPr>
        <w:t>jsou</w:t>
      </w:r>
      <w:r w:rsidR="00B4171E" w:rsidRPr="00E9682F">
        <w:rPr>
          <w:rFonts w:ascii="Arial" w:hAnsi="Arial"/>
          <w:sz w:val="22"/>
          <w:szCs w:val="22"/>
        </w:rPr>
        <w:t xml:space="preserve"> dotčen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práv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na sankce stanovené v článku IX. této smlouvy</w:t>
      </w:r>
      <w:r w:rsidRPr="00E9682F">
        <w:rPr>
          <w:rFonts w:ascii="Arial" w:hAnsi="Arial"/>
          <w:sz w:val="22"/>
          <w:szCs w:val="22"/>
        </w:rPr>
        <w:t>.</w:t>
      </w:r>
    </w:p>
    <w:p w14:paraId="4D5A49D6" w14:textId="54B12489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25119AEE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>. 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2F715F4C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4BFCC5D7" w14:textId="77777777" w:rsidR="005A3AAC" w:rsidRPr="00E9682F" w:rsidRDefault="005A3AA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</w:p>
    <w:p w14:paraId="2DC17617" w14:textId="77777777" w:rsidR="00100689" w:rsidRDefault="00100689" w:rsidP="00100689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bookmarkStart w:id="1" w:name="_Hlk167970763"/>
      <w:r>
        <w:rPr>
          <w:rFonts w:ascii="Arial" w:hAnsi="Arial"/>
          <w:sz w:val="22"/>
          <w:szCs w:val="22"/>
        </w:rPr>
        <w:t>Požadavek písemné formy dle této smlouvy je splněn i tehdy, pokud je příslušné právní ujednání učiněno elektronicky a elektronicky podepsáno.</w:t>
      </w:r>
    </w:p>
    <w:p w14:paraId="71DC2805" w14:textId="77777777" w:rsidR="00100689" w:rsidRPr="00E9682F" w:rsidRDefault="00100689" w:rsidP="00100689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vyhotovuje v elektronické podobě ve formátu (.</w:t>
      </w:r>
      <w:proofErr w:type="spellStart"/>
      <w:r>
        <w:rPr>
          <w:rFonts w:ascii="Arial" w:hAnsi="Arial"/>
          <w:sz w:val="22"/>
          <w:szCs w:val="22"/>
        </w:rPr>
        <w:t>pdf</w:t>
      </w:r>
      <w:proofErr w:type="spellEnd"/>
      <w:r>
        <w:rPr>
          <w:rFonts w:ascii="Arial" w:hAnsi="Arial"/>
          <w:sz w:val="22"/>
          <w:szCs w:val="22"/>
        </w:rPr>
        <w:t>), přičemž každá ze smluvních stran obdrží oboustranně elektronicky podepsaný datový soubor této smlouvy.</w:t>
      </w:r>
    </w:p>
    <w:bookmarkEnd w:id="1"/>
    <w:p w14:paraId="6D9648BB" w14:textId="39F5947D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14:paraId="39711316" w14:textId="77777777" w:rsidR="002B7347" w:rsidRPr="00E9682F" w:rsidRDefault="002B7347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</w:p>
    <w:p w14:paraId="55408069" w14:textId="77777777" w:rsidR="002B7347" w:rsidRDefault="002B7347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047A455D" w14:textId="77777777" w:rsidR="00207CC5" w:rsidRPr="00E9682F" w:rsidRDefault="00207CC5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77777777" w:rsidR="00413015" w:rsidRPr="00E9682F" w:rsidRDefault="00413015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Praze dne …………</w:t>
      </w:r>
      <w:r w:rsidR="00DE1068" w:rsidRPr="00E9682F">
        <w:rPr>
          <w:rFonts w:ascii="Arial" w:hAnsi="Arial" w:cs="Arial"/>
          <w:sz w:val="22"/>
          <w:szCs w:val="22"/>
        </w:rPr>
        <w:t>…………………….</w:t>
      </w:r>
      <w:r w:rsidRPr="00E9682F">
        <w:rPr>
          <w:rFonts w:ascii="Arial" w:hAnsi="Arial" w:cs="Arial"/>
          <w:sz w:val="22"/>
          <w:szCs w:val="22"/>
        </w:rPr>
        <w:tab/>
        <w:t xml:space="preserve">V Praze dne </w:t>
      </w:r>
      <w:r w:rsidR="00DE1068" w:rsidRPr="00E9682F">
        <w:rPr>
          <w:rFonts w:ascii="Arial" w:hAnsi="Arial" w:cs="Arial"/>
          <w:sz w:val="22"/>
          <w:szCs w:val="22"/>
        </w:rPr>
        <w:t>……………………………….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506666" w:rsidRPr="00205C86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B2F4F96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10D0ADB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C66339F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7D74037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506666" w:rsidRPr="00E9682F" w:rsidRDefault="00506666" w:rsidP="00506666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</w:t>
            </w:r>
            <w:proofErr w:type="gramStart"/>
            <w:r w:rsidRPr="00E9682F">
              <w:rPr>
                <w:rFonts w:ascii="Arial" w:hAnsi="Arial" w:cs="Arial"/>
                <w:sz w:val="22"/>
                <w:szCs w:val="22"/>
              </w:rPr>
              <w:t>republika - Ministerstvo</w:t>
            </w:r>
            <w:proofErr w:type="gramEnd"/>
            <w:r w:rsidRPr="00E9682F">
              <w:rPr>
                <w:rFonts w:ascii="Arial" w:hAnsi="Arial" w:cs="Arial"/>
                <w:sz w:val="22"/>
                <w:szCs w:val="22"/>
              </w:rPr>
              <w:t xml:space="preserve"> zemědělství</w:t>
            </w:r>
          </w:p>
          <w:p w14:paraId="4ACF4213" w14:textId="1A0D7EBB" w:rsidR="00506666" w:rsidRPr="00E9682F" w:rsidRDefault="00C81E60" w:rsidP="0050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XXXXXXX</w:t>
            </w:r>
            <w:r w:rsidR="00506666">
              <w:rPr>
                <w:rFonts w:ascii="Arial" w:hAnsi="Arial" w:cs="Arial"/>
                <w:sz w:val="22"/>
                <w:szCs w:val="22"/>
              </w:rPr>
              <w:br/>
              <w:t>ředitelka O</w:t>
            </w:r>
            <w:r w:rsidR="00506666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  <w:p w14:paraId="0C26A33B" w14:textId="77777777" w:rsidR="00506666" w:rsidRPr="00E9682F" w:rsidRDefault="00506666" w:rsidP="00506666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3" w:type="dxa"/>
          </w:tcPr>
          <w:p w14:paraId="66B0DA99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9BF05C9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4DC092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1E15EA1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DF82C2B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4C333C1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FA54D8D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39CFD47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8AD6B94" w14:textId="77777777" w:rsidR="00506666" w:rsidRPr="00E9682F" w:rsidRDefault="00506666" w:rsidP="00506666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04DDFD" w14:textId="77777777" w:rsidR="00506666" w:rsidRDefault="00506666" w:rsidP="00506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3152">
              <w:rPr>
                <w:rFonts w:ascii="Arial" w:hAnsi="Arial" w:cs="Arial"/>
                <w:sz w:val="22"/>
                <w:szCs w:val="22"/>
              </w:rPr>
              <w:t>Agritec</w:t>
            </w:r>
            <w:proofErr w:type="spellEnd"/>
            <w:r w:rsidRPr="00833152">
              <w:rPr>
                <w:rFonts w:ascii="Arial" w:hAnsi="Arial" w:cs="Arial"/>
                <w:sz w:val="22"/>
                <w:szCs w:val="22"/>
              </w:rPr>
              <w:t xml:space="preserve"> Plant </w:t>
            </w:r>
            <w:proofErr w:type="spellStart"/>
            <w:r w:rsidRPr="00833152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833152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7ECF56FC" w14:textId="74E9C38D" w:rsidR="00506666" w:rsidRPr="00205C86" w:rsidRDefault="00C81E60" w:rsidP="005066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XXXXXXX</w:t>
            </w:r>
            <w:r w:rsidR="00506666">
              <w:rPr>
                <w:rFonts w:ascii="Arial" w:hAnsi="Arial" w:cs="Arial"/>
                <w:sz w:val="22"/>
                <w:szCs w:val="22"/>
              </w:rPr>
              <w:br/>
              <w:t>ředitel a jednatel</w:t>
            </w:r>
          </w:p>
        </w:tc>
      </w:tr>
    </w:tbl>
    <w:p w14:paraId="3429DD81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56EF9A56" w14:textId="77777777" w:rsidR="001377F7" w:rsidRDefault="001377F7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105DA622" w14:textId="0A118F34" w:rsidR="00D25FEC" w:rsidRPr="00506666" w:rsidRDefault="00D25FEC" w:rsidP="00C913CF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506666">
        <w:rPr>
          <w:rFonts w:ascii="Arial" w:hAnsi="Arial"/>
          <w:sz w:val="22"/>
          <w:szCs w:val="22"/>
        </w:rPr>
        <w:lastRenderedPageBreak/>
        <w:t xml:space="preserve">Příloha č. 1 Kalkulace nákladů </w:t>
      </w:r>
    </w:p>
    <w:p w14:paraId="05C3C332" w14:textId="0566D5F2" w:rsidR="00D25FEC" w:rsidRPr="00506666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863"/>
      </w:tblGrid>
      <w:tr w:rsidR="00506666" w:rsidRPr="00506666" w14:paraId="5D447481" w14:textId="77777777" w:rsidTr="009A63CB">
        <w:trPr>
          <w:trHeight w:val="37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1DA6A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Položka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04E14F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Kč</w:t>
            </w:r>
          </w:p>
        </w:tc>
      </w:tr>
      <w:tr w:rsidR="00506666" w:rsidRPr="00506666" w14:paraId="118E5228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CC7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Osobní náklady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80F" w14:textId="74604C52" w:rsidR="009A63CB" w:rsidRPr="00506666" w:rsidRDefault="00506666" w:rsidP="008A638D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407 209,0</w:t>
            </w:r>
          </w:p>
        </w:tc>
      </w:tr>
      <w:tr w:rsidR="00506666" w:rsidRPr="00506666" w14:paraId="77BDA915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FAE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Služby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410" w14:textId="7645C6E3" w:rsidR="009A63CB" w:rsidRPr="00506666" w:rsidRDefault="00506666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30 000,0</w:t>
            </w:r>
          </w:p>
        </w:tc>
      </w:tr>
      <w:tr w:rsidR="00506666" w:rsidRPr="00506666" w14:paraId="76DBE924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193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Materiál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37C" w14:textId="354AE631" w:rsidR="009A63CB" w:rsidRPr="00506666" w:rsidRDefault="00506666" w:rsidP="008A638D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14 000,0</w:t>
            </w:r>
          </w:p>
        </w:tc>
      </w:tr>
      <w:tr w:rsidR="00506666" w:rsidRPr="00506666" w14:paraId="254A2518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F5E6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Cestovné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115" w14:textId="1C6441B5" w:rsidR="009A63CB" w:rsidRPr="00506666" w:rsidRDefault="00506666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21 600,0</w:t>
            </w:r>
          </w:p>
        </w:tc>
      </w:tr>
      <w:tr w:rsidR="00506666" w:rsidRPr="00506666" w14:paraId="01C46AAF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19E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Režie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134" w14:textId="384FC8D6" w:rsidR="009A63CB" w:rsidRPr="00506666" w:rsidRDefault="00506666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118 100,0</w:t>
            </w:r>
          </w:p>
        </w:tc>
      </w:tr>
      <w:tr w:rsidR="00506666" w:rsidRPr="00506666" w14:paraId="2A4256C7" w14:textId="77777777" w:rsidTr="009A63CB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98A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celkem bez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54B" w14:textId="3AB95D04" w:rsidR="009A63CB" w:rsidRPr="00506666" w:rsidRDefault="00506666" w:rsidP="00D3098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590 909,0</w:t>
            </w:r>
          </w:p>
        </w:tc>
      </w:tr>
      <w:tr w:rsidR="00506666" w:rsidRPr="00506666" w14:paraId="63101530" w14:textId="77777777" w:rsidTr="009A63CB">
        <w:trPr>
          <w:trHeight w:val="37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38A" w14:textId="7777777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768" w14:textId="785DBEF5" w:rsidR="009A63CB" w:rsidRPr="00506666" w:rsidRDefault="00506666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124 091,0</w:t>
            </w:r>
          </w:p>
        </w:tc>
      </w:tr>
      <w:tr w:rsidR="00086EF0" w:rsidRPr="00506666" w14:paraId="4C95AECA" w14:textId="77777777" w:rsidTr="009A63CB">
        <w:trPr>
          <w:trHeight w:val="39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C6B" w14:textId="1B1DF6B7" w:rsidR="009A63CB" w:rsidRPr="00506666" w:rsidRDefault="009A63CB" w:rsidP="009A63C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6666">
              <w:rPr>
                <w:rFonts w:ascii="Calibri" w:hAnsi="Calibri" w:cs="Calibri"/>
                <w:b/>
                <w:bCs/>
                <w:sz w:val="28"/>
                <w:szCs w:val="28"/>
              </w:rPr>
              <w:t>Celkem</w:t>
            </w:r>
            <w:r w:rsidR="001006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19FC" w14:textId="684E5E76" w:rsidR="009A63CB" w:rsidRPr="00506666" w:rsidRDefault="00506666" w:rsidP="009A63C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506666">
              <w:rPr>
                <w:rFonts w:ascii="Calibri" w:hAnsi="Calibri" w:cs="Calibri"/>
                <w:sz w:val="28"/>
                <w:szCs w:val="28"/>
              </w:rPr>
              <w:t>715</w:t>
            </w:r>
            <w:r w:rsidR="00321E1B" w:rsidRPr="00506666">
              <w:rPr>
                <w:rFonts w:ascii="Calibri" w:hAnsi="Calibri" w:cs="Calibri"/>
                <w:sz w:val="28"/>
                <w:szCs w:val="28"/>
              </w:rPr>
              <w:t xml:space="preserve"> 000</w:t>
            </w:r>
            <w:r w:rsidR="009A63CB" w:rsidRPr="00506666">
              <w:rPr>
                <w:rFonts w:ascii="Calibri" w:hAnsi="Calibri" w:cs="Calibri"/>
                <w:sz w:val="28"/>
                <w:szCs w:val="28"/>
              </w:rPr>
              <w:t>,0</w:t>
            </w:r>
          </w:p>
        </w:tc>
      </w:tr>
    </w:tbl>
    <w:p w14:paraId="552A55B1" w14:textId="4EA41EA5" w:rsidR="00D25FEC" w:rsidRPr="00506666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bookmarkEnd w:id="0"/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F8048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4B46" w14:textId="77777777" w:rsidR="00343BF7" w:rsidRDefault="00343BF7">
      <w:r>
        <w:separator/>
      </w:r>
    </w:p>
  </w:endnote>
  <w:endnote w:type="continuationSeparator" w:id="0">
    <w:p w14:paraId="39AD5A02" w14:textId="77777777" w:rsidR="00343BF7" w:rsidRDefault="0034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E406" w14:textId="2DB9864D" w:rsidR="005F7779" w:rsidRDefault="005F77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C4A">
      <w:rPr>
        <w:noProof/>
      </w:rPr>
      <w:t>1</w:t>
    </w:r>
    <w: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516D9" w14:textId="77777777" w:rsidR="00343BF7" w:rsidRDefault="00343BF7">
      <w:r>
        <w:separator/>
      </w:r>
    </w:p>
  </w:footnote>
  <w:footnote w:type="continuationSeparator" w:id="0">
    <w:p w14:paraId="1AE856FC" w14:textId="77777777" w:rsidR="00343BF7" w:rsidRDefault="0034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E4734E"/>
    <w:multiLevelType w:val="hybridMultilevel"/>
    <w:tmpl w:val="502AF3CE"/>
    <w:lvl w:ilvl="0" w:tplc="2DCC5F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C1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6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8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3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4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6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7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8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26"/>
  </w:num>
  <w:num w:numId="2" w16cid:durableId="1824858625">
    <w:abstractNumId w:val="27"/>
  </w:num>
  <w:num w:numId="3" w16cid:durableId="50080634">
    <w:abstractNumId w:val="20"/>
  </w:num>
  <w:num w:numId="4" w16cid:durableId="624578744">
    <w:abstractNumId w:val="25"/>
  </w:num>
  <w:num w:numId="5" w16cid:durableId="1014528291">
    <w:abstractNumId w:val="2"/>
  </w:num>
  <w:num w:numId="6" w16cid:durableId="516776609">
    <w:abstractNumId w:val="15"/>
  </w:num>
  <w:num w:numId="7" w16cid:durableId="1597442386">
    <w:abstractNumId w:val="23"/>
  </w:num>
  <w:num w:numId="8" w16cid:durableId="1440101306">
    <w:abstractNumId w:val="10"/>
  </w:num>
  <w:num w:numId="9" w16cid:durableId="512230035">
    <w:abstractNumId w:val="7"/>
  </w:num>
  <w:num w:numId="10" w16cid:durableId="505873448">
    <w:abstractNumId w:val="0"/>
  </w:num>
  <w:num w:numId="11" w16cid:durableId="1180657345">
    <w:abstractNumId w:val="6"/>
  </w:num>
  <w:num w:numId="12" w16cid:durableId="283578810">
    <w:abstractNumId w:val="16"/>
  </w:num>
  <w:num w:numId="13" w16cid:durableId="145632105">
    <w:abstractNumId w:val="4"/>
  </w:num>
  <w:num w:numId="14" w16cid:durableId="494881298">
    <w:abstractNumId w:val="5"/>
  </w:num>
  <w:num w:numId="15" w16cid:durableId="2031687426">
    <w:abstractNumId w:val="22"/>
  </w:num>
  <w:num w:numId="16" w16cid:durableId="1835533769">
    <w:abstractNumId w:val="13"/>
  </w:num>
  <w:num w:numId="17" w16cid:durableId="1653413739">
    <w:abstractNumId w:val="1"/>
  </w:num>
  <w:num w:numId="18" w16cid:durableId="2042129100">
    <w:abstractNumId w:val="12"/>
  </w:num>
  <w:num w:numId="19" w16cid:durableId="1679841665">
    <w:abstractNumId w:val="21"/>
  </w:num>
  <w:num w:numId="20" w16cid:durableId="86849099">
    <w:abstractNumId w:val="28"/>
  </w:num>
  <w:num w:numId="21" w16cid:durableId="1407874009">
    <w:abstractNumId w:val="24"/>
  </w:num>
  <w:num w:numId="22" w16cid:durableId="994525842">
    <w:abstractNumId w:val="18"/>
  </w:num>
  <w:num w:numId="23" w16cid:durableId="1836455689">
    <w:abstractNumId w:val="8"/>
  </w:num>
  <w:num w:numId="24" w16cid:durableId="496504505">
    <w:abstractNumId w:val="19"/>
  </w:num>
  <w:num w:numId="25" w16cid:durableId="241725732">
    <w:abstractNumId w:val="3"/>
  </w:num>
  <w:num w:numId="26" w16cid:durableId="508721249">
    <w:abstractNumId w:val="11"/>
  </w:num>
  <w:num w:numId="27" w16cid:durableId="1293248641">
    <w:abstractNumId w:val="29"/>
  </w:num>
  <w:num w:numId="28" w16cid:durableId="316418232">
    <w:abstractNumId w:val="17"/>
  </w:num>
  <w:num w:numId="29" w16cid:durableId="2018651335">
    <w:abstractNumId w:val="14"/>
  </w:num>
  <w:num w:numId="30" w16cid:durableId="1597249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5DBE"/>
    <w:rsid w:val="00006E65"/>
    <w:rsid w:val="0001282A"/>
    <w:rsid w:val="00013591"/>
    <w:rsid w:val="000149B4"/>
    <w:rsid w:val="00030E1B"/>
    <w:rsid w:val="00031CC4"/>
    <w:rsid w:val="000363A2"/>
    <w:rsid w:val="0003744D"/>
    <w:rsid w:val="0004334D"/>
    <w:rsid w:val="000442EA"/>
    <w:rsid w:val="00046C56"/>
    <w:rsid w:val="00052A66"/>
    <w:rsid w:val="00060293"/>
    <w:rsid w:val="00060342"/>
    <w:rsid w:val="000655CA"/>
    <w:rsid w:val="00066941"/>
    <w:rsid w:val="000708D7"/>
    <w:rsid w:val="000736D1"/>
    <w:rsid w:val="00086EF0"/>
    <w:rsid w:val="00092977"/>
    <w:rsid w:val="000A3E6E"/>
    <w:rsid w:val="000B0BF3"/>
    <w:rsid w:val="000B1D72"/>
    <w:rsid w:val="000B4526"/>
    <w:rsid w:val="000B5F96"/>
    <w:rsid w:val="000B6D54"/>
    <w:rsid w:val="000C1939"/>
    <w:rsid w:val="000E2FB2"/>
    <w:rsid w:val="000E4899"/>
    <w:rsid w:val="000E59D5"/>
    <w:rsid w:val="000F0D59"/>
    <w:rsid w:val="000F1817"/>
    <w:rsid w:val="000F3897"/>
    <w:rsid w:val="00100689"/>
    <w:rsid w:val="001104D8"/>
    <w:rsid w:val="00112FEB"/>
    <w:rsid w:val="0011790C"/>
    <w:rsid w:val="00117AC3"/>
    <w:rsid w:val="00122532"/>
    <w:rsid w:val="001236F0"/>
    <w:rsid w:val="00126CC2"/>
    <w:rsid w:val="00126DF7"/>
    <w:rsid w:val="00133B4A"/>
    <w:rsid w:val="001377F7"/>
    <w:rsid w:val="0014168D"/>
    <w:rsid w:val="00141F64"/>
    <w:rsid w:val="00143B65"/>
    <w:rsid w:val="00144CC1"/>
    <w:rsid w:val="001462A7"/>
    <w:rsid w:val="0014763F"/>
    <w:rsid w:val="00147C61"/>
    <w:rsid w:val="00150835"/>
    <w:rsid w:val="00153BA2"/>
    <w:rsid w:val="00157F3F"/>
    <w:rsid w:val="00161B72"/>
    <w:rsid w:val="00177112"/>
    <w:rsid w:val="00184023"/>
    <w:rsid w:val="001845D5"/>
    <w:rsid w:val="00184994"/>
    <w:rsid w:val="00185B71"/>
    <w:rsid w:val="00186D71"/>
    <w:rsid w:val="00192172"/>
    <w:rsid w:val="001A3121"/>
    <w:rsid w:val="001A49E2"/>
    <w:rsid w:val="001A63A6"/>
    <w:rsid w:val="001B6073"/>
    <w:rsid w:val="001B683B"/>
    <w:rsid w:val="001B6AE4"/>
    <w:rsid w:val="001C1D41"/>
    <w:rsid w:val="001C4F40"/>
    <w:rsid w:val="001D104B"/>
    <w:rsid w:val="001D21CC"/>
    <w:rsid w:val="001D5F3A"/>
    <w:rsid w:val="001E04BC"/>
    <w:rsid w:val="001E1060"/>
    <w:rsid w:val="001E52A8"/>
    <w:rsid w:val="001E62F8"/>
    <w:rsid w:val="001E6F41"/>
    <w:rsid w:val="001E79BB"/>
    <w:rsid w:val="001F1197"/>
    <w:rsid w:val="001F3D22"/>
    <w:rsid w:val="0020298C"/>
    <w:rsid w:val="00204935"/>
    <w:rsid w:val="00205C86"/>
    <w:rsid w:val="00207CC5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41936"/>
    <w:rsid w:val="00242BD6"/>
    <w:rsid w:val="002522A1"/>
    <w:rsid w:val="00252BEE"/>
    <w:rsid w:val="00255631"/>
    <w:rsid w:val="002557BD"/>
    <w:rsid w:val="00255B56"/>
    <w:rsid w:val="00255CFF"/>
    <w:rsid w:val="00270771"/>
    <w:rsid w:val="002772F2"/>
    <w:rsid w:val="00284145"/>
    <w:rsid w:val="0029668B"/>
    <w:rsid w:val="00297DA4"/>
    <w:rsid w:val="002A38D6"/>
    <w:rsid w:val="002A395B"/>
    <w:rsid w:val="002A3ABC"/>
    <w:rsid w:val="002A6D6D"/>
    <w:rsid w:val="002B022F"/>
    <w:rsid w:val="002B1557"/>
    <w:rsid w:val="002B2AD0"/>
    <w:rsid w:val="002B49E6"/>
    <w:rsid w:val="002B6032"/>
    <w:rsid w:val="002B7347"/>
    <w:rsid w:val="002C19BC"/>
    <w:rsid w:val="002C7000"/>
    <w:rsid w:val="002D3433"/>
    <w:rsid w:val="002F0AAB"/>
    <w:rsid w:val="002F0D25"/>
    <w:rsid w:val="002F2114"/>
    <w:rsid w:val="002F305E"/>
    <w:rsid w:val="002F32E5"/>
    <w:rsid w:val="002F4BAD"/>
    <w:rsid w:val="002F5AF3"/>
    <w:rsid w:val="00301D24"/>
    <w:rsid w:val="0030362E"/>
    <w:rsid w:val="00311BF5"/>
    <w:rsid w:val="00312D0A"/>
    <w:rsid w:val="00314C17"/>
    <w:rsid w:val="003207E2"/>
    <w:rsid w:val="003210C4"/>
    <w:rsid w:val="00321E1B"/>
    <w:rsid w:val="0032280A"/>
    <w:rsid w:val="00323CFA"/>
    <w:rsid w:val="00326331"/>
    <w:rsid w:val="00330BBB"/>
    <w:rsid w:val="00341411"/>
    <w:rsid w:val="00341D33"/>
    <w:rsid w:val="00343BF7"/>
    <w:rsid w:val="003467D5"/>
    <w:rsid w:val="003517BC"/>
    <w:rsid w:val="00353F24"/>
    <w:rsid w:val="003551C6"/>
    <w:rsid w:val="00356395"/>
    <w:rsid w:val="00361F23"/>
    <w:rsid w:val="00362EE2"/>
    <w:rsid w:val="00363A33"/>
    <w:rsid w:val="0036418A"/>
    <w:rsid w:val="00364997"/>
    <w:rsid w:val="00366556"/>
    <w:rsid w:val="00367CB1"/>
    <w:rsid w:val="00370C9F"/>
    <w:rsid w:val="00371354"/>
    <w:rsid w:val="0037535E"/>
    <w:rsid w:val="003770ED"/>
    <w:rsid w:val="003813D5"/>
    <w:rsid w:val="00384B1B"/>
    <w:rsid w:val="0039340D"/>
    <w:rsid w:val="0039418E"/>
    <w:rsid w:val="003A2402"/>
    <w:rsid w:val="003A3D7D"/>
    <w:rsid w:val="003A4DE3"/>
    <w:rsid w:val="003A64AD"/>
    <w:rsid w:val="003A6550"/>
    <w:rsid w:val="003A7FEA"/>
    <w:rsid w:val="003B1FCD"/>
    <w:rsid w:val="003B2E2F"/>
    <w:rsid w:val="003B42FC"/>
    <w:rsid w:val="003C0F29"/>
    <w:rsid w:val="003C2A6F"/>
    <w:rsid w:val="003D10D5"/>
    <w:rsid w:val="003D5036"/>
    <w:rsid w:val="003D594A"/>
    <w:rsid w:val="003D62FE"/>
    <w:rsid w:val="003E1A5D"/>
    <w:rsid w:val="003F2161"/>
    <w:rsid w:val="00401A9B"/>
    <w:rsid w:val="0040232A"/>
    <w:rsid w:val="00406521"/>
    <w:rsid w:val="00413015"/>
    <w:rsid w:val="00414C5E"/>
    <w:rsid w:val="00415BDF"/>
    <w:rsid w:val="00431E3E"/>
    <w:rsid w:val="00433D47"/>
    <w:rsid w:val="004345CF"/>
    <w:rsid w:val="0043687F"/>
    <w:rsid w:val="00436E4C"/>
    <w:rsid w:val="0043750F"/>
    <w:rsid w:val="00442AAF"/>
    <w:rsid w:val="004467A3"/>
    <w:rsid w:val="004505F1"/>
    <w:rsid w:val="004530B4"/>
    <w:rsid w:val="00453435"/>
    <w:rsid w:val="00457207"/>
    <w:rsid w:val="00460199"/>
    <w:rsid w:val="00462BDB"/>
    <w:rsid w:val="004636EB"/>
    <w:rsid w:val="004659A1"/>
    <w:rsid w:val="00467ECA"/>
    <w:rsid w:val="004735EB"/>
    <w:rsid w:val="00474255"/>
    <w:rsid w:val="00474693"/>
    <w:rsid w:val="00475787"/>
    <w:rsid w:val="00491EB9"/>
    <w:rsid w:val="00494DB7"/>
    <w:rsid w:val="004965A0"/>
    <w:rsid w:val="004A6378"/>
    <w:rsid w:val="004A663A"/>
    <w:rsid w:val="004A6A19"/>
    <w:rsid w:val="004A7399"/>
    <w:rsid w:val="004A7CB4"/>
    <w:rsid w:val="004B3F1B"/>
    <w:rsid w:val="004C2F80"/>
    <w:rsid w:val="004C5803"/>
    <w:rsid w:val="004C73E4"/>
    <w:rsid w:val="004E1B50"/>
    <w:rsid w:val="004F10A3"/>
    <w:rsid w:val="004F1D67"/>
    <w:rsid w:val="004F2F81"/>
    <w:rsid w:val="004F4B57"/>
    <w:rsid w:val="00500132"/>
    <w:rsid w:val="00501F03"/>
    <w:rsid w:val="00506666"/>
    <w:rsid w:val="00510DF2"/>
    <w:rsid w:val="00515342"/>
    <w:rsid w:val="00524703"/>
    <w:rsid w:val="00524819"/>
    <w:rsid w:val="005263B9"/>
    <w:rsid w:val="00531FD8"/>
    <w:rsid w:val="00536A63"/>
    <w:rsid w:val="005441C4"/>
    <w:rsid w:val="005453DD"/>
    <w:rsid w:val="00545F2B"/>
    <w:rsid w:val="005649A6"/>
    <w:rsid w:val="00565FCD"/>
    <w:rsid w:val="0057378E"/>
    <w:rsid w:val="00581C73"/>
    <w:rsid w:val="00595B4A"/>
    <w:rsid w:val="005966C1"/>
    <w:rsid w:val="00597385"/>
    <w:rsid w:val="005975CF"/>
    <w:rsid w:val="005A3AAC"/>
    <w:rsid w:val="005A5DFD"/>
    <w:rsid w:val="005A68F7"/>
    <w:rsid w:val="005A7FB1"/>
    <w:rsid w:val="005B2338"/>
    <w:rsid w:val="005B3C3E"/>
    <w:rsid w:val="005C670F"/>
    <w:rsid w:val="005C6DF4"/>
    <w:rsid w:val="005D19F1"/>
    <w:rsid w:val="005D6134"/>
    <w:rsid w:val="005E7C04"/>
    <w:rsid w:val="005F09F5"/>
    <w:rsid w:val="005F258C"/>
    <w:rsid w:val="005F296D"/>
    <w:rsid w:val="005F762F"/>
    <w:rsid w:val="005F7779"/>
    <w:rsid w:val="005F7B5E"/>
    <w:rsid w:val="00600E4D"/>
    <w:rsid w:val="00602975"/>
    <w:rsid w:val="00604ABF"/>
    <w:rsid w:val="0060549F"/>
    <w:rsid w:val="00610CEA"/>
    <w:rsid w:val="006164AB"/>
    <w:rsid w:val="0061713D"/>
    <w:rsid w:val="00621DDD"/>
    <w:rsid w:val="00624C88"/>
    <w:rsid w:val="00627A10"/>
    <w:rsid w:val="00641429"/>
    <w:rsid w:val="00647D64"/>
    <w:rsid w:val="00650EBF"/>
    <w:rsid w:val="00651621"/>
    <w:rsid w:val="00651C02"/>
    <w:rsid w:val="00652CDE"/>
    <w:rsid w:val="00657F92"/>
    <w:rsid w:val="00660F15"/>
    <w:rsid w:val="00663F2F"/>
    <w:rsid w:val="00667FF7"/>
    <w:rsid w:val="006761E5"/>
    <w:rsid w:val="00680621"/>
    <w:rsid w:val="006817AA"/>
    <w:rsid w:val="00681B80"/>
    <w:rsid w:val="00682961"/>
    <w:rsid w:val="006845AE"/>
    <w:rsid w:val="0068691E"/>
    <w:rsid w:val="00687C57"/>
    <w:rsid w:val="00697548"/>
    <w:rsid w:val="006B1E52"/>
    <w:rsid w:val="006B3BF6"/>
    <w:rsid w:val="006C34CB"/>
    <w:rsid w:val="006C4158"/>
    <w:rsid w:val="006C4896"/>
    <w:rsid w:val="006E07EA"/>
    <w:rsid w:val="006E1C71"/>
    <w:rsid w:val="006F0CB5"/>
    <w:rsid w:val="006F31AD"/>
    <w:rsid w:val="006F43DF"/>
    <w:rsid w:val="007038DF"/>
    <w:rsid w:val="00703FD3"/>
    <w:rsid w:val="007073F6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30129"/>
    <w:rsid w:val="0073535F"/>
    <w:rsid w:val="007407FC"/>
    <w:rsid w:val="00747ACB"/>
    <w:rsid w:val="007502DB"/>
    <w:rsid w:val="00752944"/>
    <w:rsid w:val="00760DAD"/>
    <w:rsid w:val="00762F16"/>
    <w:rsid w:val="007642D5"/>
    <w:rsid w:val="0077063D"/>
    <w:rsid w:val="00771AB8"/>
    <w:rsid w:val="00772CED"/>
    <w:rsid w:val="00773DDE"/>
    <w:rsid w:val="0077437C"/>
    <w:rsid w:val="00776DBE"/>
    <w:rsid w:val="00784D61"/>
    <w:rsid w:val="00784F3B"/>
    <w:rsid w:val="00785E5C"/>
    <w:rsid w:val="007868B3"/>
    <w:rsid w:val="00791673"/>
    <w:rsid w:val="00791F35"/>
    <w:rsid w:val="00793FBE"/>
    <w:rsid w:val="007A08D1"/>
    <w:rsid w:val="007A30C6"/>
    <w:rsid w:val="007A4031"/>
    <w:rsid w:val="007A68A0"/>
    <w:rsid w:val="007B3E1B"/>
    <w:rsid w:val="007B5FFC"/>
    <w:rsid w:val="007B78EF"/>
    <w:rsid w:val="007C04E3"/>
    <w:rsid w:val="007C2E99"/>
    <w:rsid w:val="007C3201"/>
    <w:rsid w:val="007C36A8"/>
    <w:rsid w:val="007C3792"/>
    <w:rsid w:val="007C68E8"/>
    <w:rsid w:val="007C6CDE"/>
    <w:rsid w:val="007D3B57"/>
    <w:rsid w:val="007D47E0"/>
    <w:rsid w:val="007E01F3"/>
    <w:rsid w:val="007E071F"/>
    <w:rsid w:val="007F0FF4"/>
    <w:rsid w:val="007F37AC"/>
    <w:rsid w:val="007F5588"/>
    <w:rsid w:val="007F7461"/>
    <w:rsid w:val="007F7F14"/>
    <w:rsid w:val="0080429B"/>
    <w:rsid w:val="008132F2"/>
    <w:rsid w:val="00813813"/>
    <w:rsid w:val="0082331D"/>
    <w:rsid w:val="00834999"/>
    <w:rsid w:val="00837EC3"/>
    <w:rsid w:val="00850501"/>
    <w:rsid w:val="00860526"/>
    <w:rsid w:val="008634A8"/>
    <w:rsid w:val="00864D16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910B7"/>
    <w:rsid w:val="0089279E"/>
    <w:rsid w:val="00893C90"/>
    <w:rsid w:val="008A17E3"/>
    <w:rsid w:val="008A4647"/>
    <w:rsid w:val="008A638D"/>
    <w:rsid w:val="008B7543"/>
    <w:rsid w:val="008D1161"/>
    <w:rsid w:val="008D4DE4"/>
    <w:rsid w:val="008D6FC2"/>
    <w:rsid w:val="008D7766"/>
    <w:rsid w:val="008F06D8"/>
    <w:rsid w:val="009001F7"/>
    <w:rsid w:val="0090177C"/>
    <w:rsid w:val="0090291C"/>
    <w:rsid w:val="009029A4"/>
    <w:rsid w:val="00906276"/>
    <w:rsid w:val="0091399A"/>
    <w:rsid w:val="009225D1"/>
    <w:rsid w:val="00930D2D"/>
    <w:rsid w:val="00942B61"/>
    <w:rsid w:val="00942C7D"/>
    <w:rsid w:val="00951EBB"/>
    <w:rsid w:val="00953B55"/>
    <w:rsid w:val="009554C0"/>
    <w:rsid w:val="0096732E"/>
    <w:rsid w:val="009770B3"/>
    <w:rsid w:val="009858E9"/>
    <w:rsid w:val="00993DA9"/>
    <w:rsid w:val="00995ED4"/>
    <w:rsid w:val="009A1E44"/>
    <w:rsid w:val="009A4E06"/>
    <w:rsid w:val="009A63CB"/>
    <w:rsid w:val="009B24B3"/>
    <w:rsid w:val="009B367D"/>
    <w:rsid w:val="009C1A3F"/>
    <w:rsid w:val="009C2862"/>
    <w:rsid w:val="009C417A"/>
    <w:rsid w:val="009C5CD7"/>
    <w:rsid w:val="009D5F1D"/>
    <w:rsid w:val="009D65A6"/>
    <w:rsid w:val="009E0279"/>
    <w:rsid w:val="009E1905"/>
    <w:rsid w:val="009E48FA"/>
    <w:rsid w:val="009E7734"/>
    <w:rsid w:val="009F106A"/>
    <w:rsid w:val="009F427D"/>
    <w:rsid w:val="009F5B19"/>
    <w:rsid w:val="00A02C5F"/>
    <w:rsid w:val="00A03B27"/>
    <w:rsid w:val="00A05DE6"/>
    <w:rsid w:val="00A15118"/>
    <w:rsid w:val="00A15357"/>
    <w:rsid w:val="00A15485"/>
    <w:rsid w:val="00A20132"/>
    <w:rsid w:val="00A203DF"/>
    <w:rsid w:val="00A23797"/>
    <w:rsid w:val="00A23A1F"/>
    <w:rsid w:val="00A300C9"/>
    <w:rsid w:val="00A3272B"/>
    <w:rsid w:val="00A33164"/>
    <w:rsid w:val="00A42088"/>
    <w:rsid w:val="00A513D1"/>
    <w:rsid w:val="00A54400"/>
    <w:rsid w:val="00A70749"/>
    <w:rsid w:val="00A7391F"/>
    <w:rsid w:val="00A86B77"/>
    <w:rsid w:val="00AA4B76"/>
    <w:rsid w:val="00AA6C9F"/>
    <w:rsid w:val="00AA73CA"/>
    <w:rsid w:val="00AB0E30"/>
    <w:rsid w:val="00AB3804"/>
    <w:rsid w:val="00AB7449"/>
    <w:rsid w:val="00AC10CD"/>
    <w:rsid w:val="00AC35BA"/>
    <w:rsid w:val="00AC4F32"/>
    <w:rsid w:val="00AD13B7"/>
    <w:rsid w:val="00AD1543"/>
    <w:rsid w:val="00AD528B"/>
    <w:rsid w:val="00AD7958"/>
    <w:rsid w:val="00AE4AC3"/>
    <w:rsid w:val="00AF1FEC"/>
    <w:rsid w:val="00AF3284"/>
    <w:rsid w:val="00AF3AEA"/>
    <w:rsid w:val="00AF4E98"/>
    <w:rsid w:val="00AF6121"/>
    <w:rsid w:val="00AF6663"/>
    <w:rsid w:val="00B02DEC"/>
    <w:rsid w:val="00B11A6D"/>
    <w:rsid w:val="00B13F00"/>
    <w:rsid w:val="00B142CB"/>
    <w:rsid w:val="00B1549C"/>
    <w:rsid w:val="00B15AF3"/>
    <w:rsid w:val="00B2018C"/>
    <w:rsid w:val="00B20419"/>
    <w:rsid w:val="00B221C9"/>
    <w:rsid w:val="00B24582"/>
    <w:rsid w:val="00B341DC"/>
    <w:rsid w:val="00B35559"/>
    <w:rsid w:val="00B369CE"/>
    <w:rsid w:val="00B4171E"/>
    <w:rsid w:val="00B4258A"/>
    <w:rsid w:val="00B43C23"/>
    <w:rsid w:val="00B45AE1"/>
    <w:rsid w:val="00B50279"/>
    <w:rsid w:val="00B519B3"/>
    <w:rsid w:val="00B55DFD"/>
    <w:rsid w:val="00B56A62"/>
    <w:rsid w:val="00B61E83"/>
    <w:rsid w:val="00B64510"/>
    <w:rsid w:val="00B6595B"/>
    <w:rsid w:val="00B66448"/>
    <w:rsid w:val="00B66E92"/>
    <w:rsid w:val="00B771E4"/>
    <w:rsid w:val="00B86885"/>
    <w:rsid w:val="00B86BE0"/>
    <w:rsid w:val="00B90509"/>
    <w:rsid w:val="00B90561"/>
    <w:rsid w:val="00B935BA"/>
    <w:rsid w:val="00B95054"/>
    <w:rsid w:val="00BA0643"/>
    <w:rsid w:val="00BA0727"/>
    <w:rsid w:val="00BA1D37"/>
    <w:rsid w:val="00BA3115"/>
    <w:rsid w:val="00BA6DB7"/>
    <w:rsid w:val="00BB06C1"/>
    <w:rsid w:val="00BB0B83"/>
    <w:rsid w:val="00BB4AC0"/>
    <w:rsid w:val="00BC1739"/>
    <w:rsid w:val="00BC3902"/>
    <w:rsid w:val="00BC5ED5"/>
    <w:rsid w:val="00BC6776"/>
    <w:rsid w:val="00BC75F8"/>
    <w:rsid w:val="00BD0096"/>
    <w:rsid w:val="00BD173C"/>
    <w:rsid w:val="00BD4CCF"/>
    <w:rsid w:val="00BD54AE"/>
    <w:rsid w:val="00BE1165"/>
    <w:rsid w:val="00BE1EA7"/>
    <w:rsid w:val="00BE30BB"/>
    <w:rsid w:val="00BE6738"/>
    <w:rsid w:val="00BE7887"/>
    <w:rsid w:val="00BF465C"/>
    <w:rsid w:val="00BF6556"/>
    <w:rsid w:val="00BF65BA"/>
    <w:rsid w:val="00BF6CAE"/>
    <w:rsid w:val="00C016ED"/>
    <w:rsid w:val="00C10878"/>
    <w:rsid w:val="00C1310C"/>
    <w:rsid w:val="00C1333E"/>
    <w:rsid w:val="00C14992"/>
    <w:rsid w:val="00C15282"/>
    <w:rsid w:val="00C165DC"/>
    <w:rsid w:val="00C1692A"/>
    <w:rsid w:val="00C265CA"/>
    <w:rsid w:val="00C3106B"/>
    <w:rsid w:val="00C32249"/>
    <w:rsid w:val="00C41428"/>
    <w:rsid w:val="00C42F3C"/>
    <w:rsid w:val="00C5121D"/>
    <w:rsid w:val="00C51723"/>
    <w:rsid w:val="00C5377E"/>
    <w:rsid w:val="00C552CA"/>
    <w:rsid w:val="00C57C0F"/>
    <w:rsid w:val="00C664FA"/>
    <w:rsid w:val="00C7354A"/>
    <w:rsid w:val="00C73811"/>
    <w:rsid w:val="00C81E60"/>
    <w:rsid w:val="00C8418F"/>
    <w:rsid w:val="00C87044"/>
    <w:rsid w:val="00C913CF"/>
    <w:rsid w:val="00C916C0"/>
    <w:rsid w:val="00C91A50"/>
    <w:rsid w:val="00C95089"/>
    <w:rsid w:val="00C96A03"/>
    <w:rsid w:val="00C96D6B"/>
    <w:rsid w:val="00CA113E"/>
    <w:rsid w:val="00CA2B19"/>
    <w:rsid w:val="00CA32D2"/>
    <w:rsid w:val="00CA3FA6"/>
    <w:rsid w:val="00CA7657"/>
    <w:rsid w:val="00CB3701"/>
    <w:rsid w:val="00CB5915"/>
    <w:rsid w:val="00CB59DC"/>
    <w:rsid w:val="00CC508A"/>
    <w:rsid w:val="00CC52A8"/>
    <w:rsid w:val="00CD241C"/>
    <w:rsid w:val="00CE401A"/>
    <w:rsid w:val="00CE4BDD"/>
    <w:rsid w:val="00CE6663"/>
    <w:rsid w:val="00CF125A"/>
    <w:rsid w:val="00CF33FB"/>
    <w:rsid w:val="00D04FA0"/>
    <w:rsid w:val="00D0612A"/>
    <w:rsid w:val="00D07708"/>
    <w:rsid w:val="00D1019B"/>
    <w:rsid w:val="00D10C4B"/>
    <w:rsid w:val="00D2111D"/>
    <w:rsid w:val="00D247E2"/>
    <w:rsid w:val="00D25FEC"/>
    <w:rsid w:val="00D2728E"/>
    <w:rsid w:val="00D27E74"/>
    <w:rsid w:val="00D30950"/>
    <w:rsid w:val="00D30986"/>
    <w:rsid w:val="00D30E47"/>
    <w:rsid w:val="00D34314"/>
    <w:rsid w:val="00D374A1"/>
    <w:rsid w:val="00D42BA7"/>
    <w:rsid w:val="00D43FC3"/>
    <w:rsid w:val="00D51C4A"/>
    <w:rsid w:val="00D51F51"/>
    <w:rsid w:val="00D54C3B"/>
    <w:rsid w:val="00D62C9A"/>
    <w:rsid w:val="00D63837"/>
    <w:rsid w:val="00D6604A"/>
    <w:rsid w:val="00D667B3"/>
    <w:rsid w:val="00D70E46"/>
    <w:rsid w:val="00D726BE"/>
    <w:rsid w:val="00D82486"/>
    <w:rsid w:val="00D82F2A"/>
    <w:rsid w:val="00D8604F"/>
    <w:rsid w:val="00D9100D"/>
    <w:rsid w:val="00D97708"/>
    <w:rsid w:val="00DA0C82"/>
    <w:rsid w:val="00DA6112"/>
    <w:rsid w:val="00DA67FB"/>
    <w:rsid w:val="00DA7D1A"/>
    <w:rsid w:val="00DB023D"/>
    <w:rsid w:val="00DB0F1C"/>
    <w:rsid w:val="00DB76AF"/>
    <w:rsid w:val="00DD29F7"/>
    <w:rsid w:val="00DD4FB0"/>
    <w:rsid w:val="00DD50DF"/>
    <w:rsid w:val="00DD7ECC"/>
    <w:rsid w:val="00DE1068"/>
    <w:rsid w:val="00DE380F"/>
    <w:rsid w:val="00DF0242"/>
    <w:rsid w:val="00DF0911"/>
    <w:rsid w:val="00DF1017"/>
    <w:rsid w:val="00DF19DC"/>
    <w:rsid w:val="00DF4B8F"/>
    <w:rsid w:val="00DF6A01"/>
    <w:rsid w:val="00E00040"/>
    <w:rsid w:val="00E02544"/>
    <w:rsid w:val="00E040FB"/>
    <w:rsid w:val="00E065E6"/>
    <w:rsid w:val="00E06DC1"/>
    <w:rsid w:val="00E115CD"/>
    <w:rsid w:val="00E142B5"/>
    <w:rsid w:val="00E1463E"/>
    <w:rsid w:val="00E16FA7"/>
    <w:rsid w:val="00E22905"/>
    <w:rsid w:val="00E23C96"/>
    <w:rsid w:val="00E24DFC"/>
    <w:rsid w:val="00E327AA"/>
    <w:rsid w:val="00E42855"/>
    <w:rsid w:val="00E53DF3"/>
    <w:rsid w:val="00E54713"/>
    <w:rsid w:val="00E61B22"/>
    <w:rsid w:val="00E74EDF"/>
    <w:rsid w:val="00E8101E"/>
    <w:rsid w:val="00E83490"/>
    <w:rsid w:val="00E85366"/>
    <w:rsid w:val="00E860FE"/>
    <w:rsid w:val="00E873E4"/>
    <w:rsid w:val="00E87B2D"/>
    <w:rsid w:val="00E90435"/>
    <w:rsid w:val="00E90E24"/>
    <w:rsid w:val="00E92A47"/>
    <w:rsid w:val="00E952F8"/>
    <w:rsid w:val="00E9682F"/>
    <w:rsid w:val="00EA0068"/>
    <w:rsid w:val="00EA62EF"/>
    <w:rsid w:val="00EB37D6"/>
    <w:rsid w:val="00EB4D71"/>
    <w:rsid w:val="00EC14D0"/>
    <w:rsid w:val="00EC1D6B"/>
    <w:rsid w:val="00EC2767"/>
    <w:rsid w:val="00EC730A"/>
    <w:rsid w:val="00ED2367"/>
    <w:rsid w:val="00ED2755"/>
    <w:rsid w:val="00ED2E5D"/>
    <w:rsid w:val="00ED515D"/>
    <w:rsid w:val="00ED664D"/>
    <w:rsid w:val="00ED7FDD"/>
    <w:rsid w:val="00EF0292"/>
    <w:rsid w:val="00F07A10"/>
    <w:rsid w:val="00F15920"/>
    <w:rsid w:val="00F25C9C"/>
    <w:rsid w:val="00F26175"/>
    <w:rsid w:val="00F27E7D"/>
    <w:rsid w:val="00F35066"/>
    <w:rsid w:val="00F352A1"/>
    <w:rsid w:val="00F36066"/>
    <w:rsid w:val="00F37553"/>
    <w:rsid w:val="00F37D32"/>
    <w:rsid w:val="00F40E30"/>
    <w:rsid w:val="00F4506F"/>
    <w:rsid w:val="00F4534E"/>
    <w:rsid w:val="00F46943"/>
    <w:rsid w:val="00F515B1"/>
    <w:rsid w:val="00F60F32"/>
    <w:rsid w:val="00F614CF"/>
    <w:rsid w:val="00F73DCE"/>
    <w:rsid w:val="00F7462E"/>
    <w:rsid w:val="00F8048C"/>
    <w:rsid w:val="00F8295E"/>
    <w:rsid w:val="00F84E20"/>
    <w:rsid w:val="00F85B7A"/>
    <w:rsid w:val="00F87C94"/>
    <w:rsid w:val="00F94920"/>
    <w:rsid w:val="00FA0544"/>
    <w:rsid w:val="00FA0B52"/>
    <w:rsid w:val="00FA2F7A"/>
    <w:rsid w:val="00FA34A6"/>
    <w:rsid w:val="00FA3EB3"/>
    <w:rsid w:val="00FA7185"/>
    <w:rsid w:val="00FB1C0F"/>
    <w:rsid w:val="00FB390E"/>
    <w:rsid w:val="00FB7807"/>
    <w:rsid w:val="00FB799E"/>
    <w:rsid w:val="00FC420B"/>
    <w:rsid w:val="00FC6B53"/>
    <w:rsid w:val="00FD2D78"/>
    <w:rsid w:val="00FD386D"/>
    <w:rsid w:val="00FD5AC2"/>
    <w:rsid w:val="00FE245A"/>
    <w:rsid w:val="00FE4903"/>
    <w:rsid w:val="00FE52F4"/>
    <w:rsid w:val="00FE588B"/>
    <w:rsid w:val="00FE5CF9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paragraph" w:customStyle="1" w:styleId="Default">
    <w:name w:val="Default"/>
    <w:rsid w:val="00CB370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file/670633/NAP_CZ_2018_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4462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30729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5</cp:revision>
  <cp:lastPrinted>2016-04-25T08:16:00Z</cp:lastPrinted>
  <dcterms:created xsi:type="dcterms:W3CDTF">2024-08-03T16:50:00Z</dcterms:created>
  <dcterms:modified xsi:type="dcterms:W3CDTF">2024-08-03T16:55:00Z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2024-05-30T13:06:23Z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e3cc221b-dd41-4d96-9fe0-d75f06b5fade</vt:lpwstr>
  </property>
  <property fmtid="{D5CDD505-2E9C-101B-9397-08002B2CF9AE}" pid="8" name="MSIP_Label_8d01bb0b-c2f5-4fc4-bac5-774fe7d62679_ContentBits">
    <vt:lpwstr>0</vt:lpwstr>
  </property>
</Properties>
</file>