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4"/>
          <w:pgMar w:top="823" w:left="996" w:right="1039" w:bottom="799" w:header="0" w:footer="3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47"/>
        <w:gridCol w:w="4358"/>
        <w:gridCol w:w="1027"/>
        <w:gridCol w:w="826"/>
        <w:gridCol w:w="950"/>
        <w:gridCol w:w="912"/>
      </w:tblGrid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216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Ceník potápěčských prací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- 2023-2024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Kč bez DPH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442" w:hRule="exact"/>
        </w:trPr>
        <w:tc>
          <w:tcPr>
            <w:gridSpan w:val="5"/>
            <w:tcBorders>
              <w:left w:val="single" w:sz="4"/>
            </w:tcBorders>
            <w:shd w:val="clear" w:color="auto" w:fill="FFFF01"/>
            <w:vAlign w:val="top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Potápěčské práce stavební - VD Přísečnice OO - kontrola vnějšího pláště, potápěčské práce 2024, č. akce 201 747</w:t>
            </w:r>
          </w:p>
        </w:tc>
        <w:tc>
          <w:tcPr>
            <w:tcBorders>
              <w:right w:val="single" w:sz="4"/>
            </w:tcBorders>
            <w:shd w:val="clear" w:color="auto" w:fill="FFFF01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317 322,50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91,5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182 908,50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31 984,00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69 980,00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3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2 997,00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1 497,00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speciální přilbová souprava do kontaminované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1 497,00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bruska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2 997,00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_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—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2 997,00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5 Potápěčská technika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11 985,00</w:t>
            </w:r>
          </w:p>
        </w:tc>
      </w:tr>
      <w:tr>
        <w:trPr>
          <w:trHeight w:val="43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1 996,00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9 570,00</w:t>
            </w:r>
          </w:p>
        </w:tc>
      </w:tr>
      <w:tr>
        <w:trPr>
          <w:trHeight w:val="43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6 Ostatní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20 465,00</w:t>
            </w:r>
          </w:p>
        </w:tc>
      </w:tr>
      <w:tr>
        <w:trPr>
          <w:trHeight w:val="682" w:hRule="exact"/>
        </w:trPr>
        <w:tc>
          <w:tcPr>
            <w:gridSpan w:val="4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(kilometry) za předpokladu, že budou akce 201 746, 201 747 a 201 748 navazovat na sebe.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gridSpan w:val="6"/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Pozn.: Práce budou prováděny 5 kvalifikovanými pracovníky v časovém fondu 3 pracovní dny. V pracovním dnu se provedou 3</w:t>
            </w:r>
          </w:p>
        </w:tc>
      </w:tr>
      <w:tr>
        <w:trPr>
          <w:trHeight w:val="264" w:hRule="exact"/>
        </w:trPr>
        <w:tc>
          <w:tcPr>
            <w:gridSpan w:val="3"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621" w:h="14400" w:wrap="none" w:vAnchor="text" w:hAnchor="page" w:x="1040" w:y="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ponory. Veškeré ponory musí být realizovány potápěčem a zajištěny jisticím potápěčem.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621" w:h="14400" w:wrap="none" w:vAnchor="text" w:hAnchor="page" w:x="1040" w:y="8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621" w:h="14400" w:wrap="none" w:vAnchor="text" w:hAnchor="page" w:x="1040" w:y="8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632460</wp:posOffset>
            </wp:positionH>
            <wp:positionV relativeFrom="paragraph">
              <wp:posOffset>12700</wp:posOffset>
            </wp:positionV>
            <wp:extent cx="5523230" cy="919607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523230" cy="91960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4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9" w:h="16834"/>
      <w:pgMar w:top="823" w:left="996" w:right="1039" w:bottom="799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6850380</wp:posOffset>
              </wp:positionH>
              <wp:positionV relativeFrom="page">
                <wp:posOffset>10245725</wp:posOffset>
              </wp:positionV>
              <wp:extent cx="52070" cy="13398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39.39999999999998pt;margin-top:806.75pt;width:4.0999999999999996pt;height:10.5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662940</wp:posOffset>
              </wp:positionH>
              <wp:positionV relativeFrom="page">
                <wp:posOffset>288290</wp:posOffset>
              </wp:positionV>
              <wp:extent cx="2636520" cy="17081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36520" cy="1708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Příloha č. 1 SOD č. 836/2024 Oceněný 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.200000000000003pt;margin-top:22.699999999999999pt;width:207.59999999999999pt;height:13.4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Příloha č. 1 SOD č. 836/2024 Oceněný 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ind w:firstLine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