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05578B42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FC13DE">
        <w:rPr>
          <w:rFonts w:cs="Arial"/>
          <w:b/>
          <w:bCs/>
          <w:szCs w:val="20"/>
        </w:rPr>
        <w:t>1/</w:t>
      </w:r>
      <w:r w:rsidR="005046EC">
        <w:rPr>
          <w:rFonts w:cs="Arial"/>
          <w:b/>
          <w:szCs w:val="20"/>
        </w:rPr>
        <w:t>202</w:t>
      </w:r>
      <w:r w:rsidR="00FB6A4B">
        <w:rPr>
          <w:rFonts w:cs="Arial"/>
          <w:b/>
          <w:szCs w:val="20"/>
        </w:rPr>
        <w:t>5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10010C4B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2F3C8B">
        <w:rPr>
          <w:rFonts w:cs="Arial"/>
          <w:szCs w:val="20"/>
        </w:rPr>
        <w:t>xxx</w:t>
      </w:r>
      <w:proofErr w:type="spellEnd"/>
    </w:p>
    <w:p w14:paraId="2DA02883" w14:textId="5DE5EB91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2F3C8B">
        <w:rPr>
          <w:rFonts w:cs="Arial"/>
          <w:szCs w:val="20"/>
        </w:rPr>
        <w:t>xxx</w:t>
      </w:r>
      <w:proofErr w:type="spellEnd"/>
    </w:p>
    <w:p w14:paraId="743EE561" w14:textId="77777777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27397B50" w14:textId="5D8F241D" w:rsidR="005C5BBC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FC13DE">
        <w:rPr>
          <w:rFonts w:ascii="Arial" w:hAnsi="Arial" w:cs="Arial"/>
          <w:b/>
          <w:sz w:val="20"/>
          <w:szCs w:val="20"/>
        </w:rPr>
        <w:tab/>
        <w:t>Národní galerie v Praze</w:t>
      </w:r>
    </w:p>
    <w:p w14:paraId="43B24818" w14:textId="7314D994" w:rsidR="00FC13DE" w:rsidRDefault="00FC13DE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Staroměstské nám. 12</w:t>
      </w:r>
    </w:p>
    <w:p w14:paraId="55773EA2" w14:textId="5371C3AD" w:rsidR="00FC13DE" w:rsidRPr="00FC13DE" w:rsidRDefault="00FC13DE" w:rsidP="00FC13DE">
      <w:pPr>
        <w:pStyle w:val="Bezmezer"/>
        <w:spacing w:before="160" w:line="276" w:lineRule="auto"/>
        <w:ind w:left="1418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110 15 Praha 1</w:t>
      </w:r>
    </w:p>
    <w:p w14:paraId="377D7F3B" w14:textId="291C4B67" w:rsidR="00512645" w:rsidRPr="00512645" w:rsidRDefault="005C5BBC" w:rsidP="00512645">
      <w:pPr>
        <w:pStyle w:val="Bezmezer"/>
        <w:ind w:left="1418" w:hanging="141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342D5B" w:rsidRPr="00512645">
        <w:rPr>
          <w:rFonts w:ascii="Arial" w:hAnsi="Arial" w:cs="Arial"/>
          <w:sz w:val="20"/>
          <w:szCs w:val="20"/>
        </w:rPr>
        <w:t>IČ</w:t>
      </w:r>
      <w:r w:rsidR="00290454" w:rsidRPr="00512645">
        <w:rPr>
          <w:rFonts w:ascii="Arial" w:hAnsi="Arial" w:cs="Arial"/>
          <w:sz w:val="20"/>
          <w:szCs w:val="20"/>
        </w:rPr>
        <w:t>:</w:t>
      </w:r>
      <w:r w:rsidR="00FC13DE">
        <w:rPr>
          <w:rFonts w:ascii="Arial" w:hAnsi="Arial" w:cs="Arial"/>
          <w:sz w:val="20"/>
          <w:szCs w:val="20"/>
        </w:rPr>
        <w:t xml:space="preserve"> 00023281</w:t>
      </w:r>
    </w:p>
    <w:p w14:paraId="6409976B" w14:textId="2032888E" w:rsidR="001D15A4" w:rsidRPr="009A2FC7" w:rsidRDefault="00DE58E0" w:rsidP="00F56875">
      <w:pPr>
        <w:pStyle w:val="Bezmezer"/>
        <w:spacing w:before="160" w:line="276" w:lineRule="auto"/>
        <w:ind w:left="1418"/>
        <w:contextualSpacing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9A2FC7">
        <w:rPr>
          <w:rFonts w:ascii="Arial" w:hAnsi="Arial" w:cs="Arial"/>
          <w:sz w:val="20"/>
          <w:szCs w:val="20"/>
        </w:rPr>
        <w:t>T</w:t>
      </w:r>
      <w:r w:rsidR="00784015" w:rsidRPr="009A2FC7">
        <w:rPr>
          <w:rFonts w:ascii="Arial" w:hAnsi="Arial" w:cs="Arial"/>
          <w:sz w:val="20"/>
          <w:szCs w:val="20"/>
        </w:rPr>
        <w:t xml:space="preserve">elefon: </w:t>
      </w:r>
      <w:proofErr w:type="spellStart"/>
      <w:r w:rsidR="002F3C8B">
        <w:rPr>
          <w:rFonts w:ascii="Arial" w:hAnsi="Arial" w:cs="Arial"/>
          <w:sz w:val="20"/>
          <w:szCs w:val="20"/>
        </w:rPr>
        <w:t>xxx</w:t>
      </w:r>
      <w:proofErr w:type="spellEnd"/>
      <w:r w:rsidR="00FC13DE">
        <w:rPr>
          <w:rFonts w:ascii="Arial" w:hAnsi="Arial" w:cs="Arial"/>
          <w:sz w:val="20"/>
          <w:szCs w:val="20"/>
        </w:rPr>
        <w:t xml:space="preserve"> </w:t>
      </w:r>
    </w:p>
    <w:p w14:paraId="5F02CC2B" w14:textId="09D8EFCD" w:rsidR="005C5BBC" w:rsidRDefault="00DE58E0" w:rsidP="005C5BBC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9A2FC7">
        <w:rPr>
          <w:rFonts w:ascii="Arial" w:hAnsi="Arial" w:cs="Arial"/>
          <w:sz w:val="20"/>
          <w:szCs w:val="20"/>
        </w:rPr>
        <w:t>E</w:t>
      </w:r>
      <w:r w:rsidR="00784015" w:rsidRPr="009A2FC7">
        <w:rPr>
          <w:rFonts w:ascii="Arial" w:hAnsi="Arial" w:cs="Arial"/>
          <w:sz w:val="20"/>
          <w:szCs w:val="20"/>
        </w:rPr>
        <w:t>-mail:</w:t>
      </w:r>
      <w:r w:rsidR="00FC13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3C8B">
        <w:rPr>
          <w:rFonts w:ascii="Arial" w:hAnsi="Arial" w:cs="Arial"/>
          <w:sz w:val="20"/>
          <w:szCs w:val="20"/>
        </w:rPr>
        <w:t>xxx</w:t>
      </w:r>
      <w:proofErr w:type="spellEnd"/>
    </w:p>
    <w:p w14:paraId="36FB974A" w14:textId="41D35BB9" w:rsidR="005C5BBC" w:rsidRPr="00FB6A4B" w:rsidRDefault="00DE58E0" w:rsidP="005716AE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 w:rsidRPr="00FB6A4B">
        <w:rPr>
          <w:rFonts w:ascii="Arial" w:hAnsi="Arial" w:cs="Arial"/>
          <w:sz w:val="20"/>
          <w:szCs w:val="20"/>
        </w:rPr>
        <w:t>Z</w:t>
      </w:r>
      <w:r w:rsidR="00784015" w:rsidRPr="00FB6A4B">
        <w:rPr>
          <w:rFonts w:ascii="Arial" w:hAnsi="Arial" w:cs="Arial"/>
          <w:sz w:val="20"/>
          <w:szCs w:val="20"/>
        </w:rPr>
        <w:t>astoupeným:</w:t>
      </w:r>
      <w:r w:rsidR="00FC13DE" w:rsidRPr="00FB6A4B">
        <w:rPr>
          <w:rFonts w:ascii="Arial" w:hAnsi="Arial" w:cs="Arial"/>
          <w:sz w:val="20"/>
          <w:szCs w:val="20"/>
        </w:rPr>
        <w:t xml:space="preserve"> </w:t>
      </w:r>
      <w:r w:rsidR="00FC13DE" w:rsidRPr="00FB6A4B">
        <w:rPr>
          <w:rFonts w:ascii="Arial" w:hAnsi="Arial" w:cs="Arial"/>
          <w:sz w:val="20"/>
          <w:szCs w:val="20"/>
        </w:rPr>
        <w:tab/>
        <w:t xml:space="preserve">Alicjou </w:t>
      </w:r>
      <w:proofErr w:type="spellStart"/>
      <w:r w:rsidR="00FC13DE" w:rsidRPr="00FB6A4B">
        <w:rPr>
          <w:rFonts w:ascii="Arial" w:hAnsi="Arial" w:cs="Arial"/>
          <w:sz w:val="20"/>
          <w:szCs w:val="20"/>
        </w:rPr>
        <w:t>Knast</w:t>
      </w:r>
      <w:proofErr w:type="spellEnd"/>
      <w:r w:rsidR="00FC13DE" w:rsidRPr="00FB6A4B">
        <w:rPr>
          <w:rFonts w:ascii="Arial" w:hAnsi="Arial" w:cs="Arial"/>
          <w:sz w:val="20"/>
          <w:szCs w:val="20"/>
        </w:rPr>
        <w:t>, generální ředitelkou</w:t>
      </w:r>
    </w:p>
    <w:p w14:paraId="1A1ED64C" w14:textId="77777777" w:rsidR="00FC13DE" w:rsidRPr="005C5BBC" w:rsidRDefault="00FC13DE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0F6E4CE8" w14:textId="30BF400F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Předměty i účel výpůjčky jsou specifikovány v příloze č. 1 této smlouvy o výpůjčce o</w:t>
      </w:r>
      <w:r w:rsidR="00D8620D">
        <w:rPr>
          <w:rFonts w:cs="Arial"/>
          <w:szCs w:val="20"/>
        </w:rPr>
        <w:t xml:space="preserve"> 1</w:t>
      </w:r>
      <w:r w:rsidR="005C0D2C">
        <w:rPr>
          <w:rFonts w:cs="Arial"/>
          <w:szCs w:val="20"/>
        </w:rPr>
        <w:t xml:space="preserve"> </w:t>
      </w:r>
      <w:r w:rsidR="008040FA">
        <w:rPr>
          <w:rFonts w:cs="Arial"/>
          <w:szCs w:val="20"/>
        </w:rPr>
        <w:t>listu</w:t>
      </w:r>
      <w:r w:rsidR="008B6779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495BB769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>Odpovědnost vzniká okamžikem podpisu zápisu o předání (zapůjčení) a trvá až do okamžiku podpisu zápisu o převzetí (vrácení) předmětů.</w:t>
      </w:r>
    </w:p>
    <w:p w14:paraId="45AE471F" w14:textId="69829D8C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zapůjčovaných sbírkových předmětů.</w:t>
      </w:r>
    </w:p>
    <w:p w14:paraId="49EB3DD0" w14:textId="77777777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14:paraId="60AF2E53" w14:textId="36274B0F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F259653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0A6B3B1A" w14:textId="77777777" w:rsidR="00FA7011" w:rsidRPr="005A5B40" w:rsidRDefault="00FA7011" w:rsidP="00FA7011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43853310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 xml:space="preserve">Náklady spojené s balením a dopravou předmětů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3F67BA3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1596201F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B5B100A" w14:textId="61E23DBF" w:rsidR="003A15DC" w:rsidRPr="003A15DC" w:rsidRDefault="003A15DC" w:rsidP="00DF3AF7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DF3AF7">
        <w:rPr>
          <w:lang w:eastAsia="en-US"/>
        </w:rPr>
        <w:tab/>
      </w:r>
      <w:r>
        <w:rPr>
          <w:lang w:eastAsia="en-US"/>
        </w:rPr>
        <w:t>Díla na papíře budou k výpůjčce předána zarámovaná, vypůjčitel nebude s adjustací nijak manipulovat.</w:t>
      </w:r>
    </w:p>
    <w:p w14:paraId="45A72BC6" w14:textId="4141D506" w:rsidR="003A15DC" w:rsidRPr="003A15DC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77182BEB" w14:textId="75A8A581" w:rsidR="00636CFD" w:rsidRPr="005C5BBC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636CFD" w:rsidRPr="005C5BBC">
        <w:rPr>
          <w:rFonts w:cs="Arial"/>
          <w:szCs w:val="20"/>
        </w:rPr>
        <w:t xml:space="preserve">. </w:t>
      </w:r>
      <w:r w:rsidR="00DF3AF7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je povinen umožnit půjčiteli prohlídku předmětů výpůjčky, kdykoliv o to půjčitel požádá.</w:t>
      </w:r>
    </w:p>
    <w:p w14:paraId="7559C569" w14:textId="77C39526" w:rsidR="00636CFD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7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Předměty výpůjčky budou uloženy</w:t>
      </w:r>
      <w:r w:rsidR="005A5B40">
        <w:rPr>
          <w:rFonts w:cs="Arial"/>
          <w:szCs w:val="20"/>
        </w:rPr>
        <w:t xml:space="preserve"> a následně vystaveny tak, aby </w:t>
      </w:r>
      <w:r w:rsidR="00636CFD" w:rsidRPr="005C5BBC">
        <w:rPr>
          <w:rFonts w:cs="Arial"/>
          <w:szCs w:val="20"/>
        </w:rPr>
        <w:t>intenzita osvětlení nepřekročila</w:t>
      </w:r>
      <w:r w:rsidR="00784015" w:rsidRPr="005C5BBC">
        <w:rPr>
          <w:rFonts w:cs="Arial"/>
          <w:szCs w:val="20"/>
        </w:rPr>
        <w:t xml:space="preserve"> </w:t>
      </w:r>
      <w:r w:rsidR="007F2733">
        <w:rPr>
          <w:rFonts w:cs="Arial"/>
          <w:szCs w:val="20"/>
        </w:rPr>
        <w:t>15</w:t>
      </w:r>
      <w:r>
        <w:rPr>
          <w:rFonts w:cs="Arial"/>
          <w:szCs w:val="20"/>
        </w:rPr>
        <w:t>0</w:t>
      </w:r>
      <w:r w:rsidR="00D8620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luxů, </w:t>
      </w:r>
      <w:r w:rsidR="005A5B40">
        <w:rPr>
          <w:rFonts w:cs="Arial"/>
          <w:szCs w:val="20"/>
        </w:rPr>
        <w:t xml:space="preserve">při vlhkosti </w:t>
      </w:r>
      <w:r w:rsidR="00636CFD" w:rsidRPr="005C5BBC">
        <w:rPr>
          <w:rFonts w:cs="Arial"/>
          <w:szCs w:val="20"/>
        </w:rPr>
        <w:t>5</w:t>
      </w:r>
      <w:r w:rsidR="005A5B40">
        <w:rPr>
          <w:rFonts w:cs="Arial"/>
          <w:szCs w:val="20"/>
        </w:rPr>
        <w:t>0 +-5</w:t>
      </w:r>
      <w:r w:rsidR="00F56875">
        <w:rPr>
          <w:rFonts w:cs="Arial"/>
          <w:szCs w:val="20"/>
        </w:rPr>
        <w:t xml:space="preserve"> </w:t>
      </w:r>
      <w:r w:rsidR="005A5B40">
        <w:rPr>
          <w:rFonts w:cs="Arial"/>
          <w:szCs w:val="20"/>
        </w:rPr>
        <w:t>% a teplotě 18 až 22 °C.</w:t>
      </w:r>
    </w:p>
    <w:p w14:paraId="42C46EB6" w14:textId="77777777" w:rsidR="00FA7011" w:rsidRPr="00FA7011" w:rsidRDefault="00FA7011" w:rsidP="00FA7011">
      <w:pPr>
        <w:pStyle w:val="TEXTMUO"/>
        <w:rPr>
          <w:lang w:eastAsia="en-US"/>
        </w:rPr>
      </w:pP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reprodukovány.</w:t>
      </w:r>
    </w:p>
    <w:p w14:paraId="7EE00481" w14:textId="7506D0B1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0283DF28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7A0B27" w:rsidRPr="007A0B27">
        <w:rPr>
          <w:rFonts w:cs="Arial"/>
          <w:szCs w:val="20"/>
        </w:rPr>
        <w:t>Zavazuje se dále, že 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 w:rsidR="007A0B27">
        <w:rPr>
          <w:rFonts w:cs="Arial"/>
          <w:szCs w:val="20"/>
        </w:rPr>
        <w:t>,</w:t>
      </w:r>
      <w:r w:rsidR="007A0B27" w:rsidRPr="007A0B27">
        <w:rPr>
          <w:rFonts w:cs="Arial"/>
          <w:szCs w:val="20"/>
        </w:rPr>
        <w:t xml:space="preserve"> 2 plakáty a 2 pozvánky na výstavu.</w:t>
      </w:r>
    </w:p>
    <w:p w14:paraId="5D209254" w14:textId="77777777" w:rsidR="00FA7011" w:rsidRDefault="00FA7011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07DDA571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61E3A7C9" w:rsidR="00636CFD" w:rsidRPr="00B12808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DF3AF7">
      <w:pPr>
        <w:pStyle w:val="Normlnweb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3B880897" w14:textId="31854CE4" w:rsidR="001D15A4" w:rsidRPr="00B12808" w:rsidRDefault="001D15A4" w:rsidP="00DF3AF7">
      <w:pPr>
        <w:spacing w:after="120" w:line="276" w:lineRule="auto"/>
        <w:ind w:left="426" w:hanging="426"/>
        <w:jc w:val="both"/>
        <w:rPr>
          <w:b/>
          <w:iCs/>
        </w:rPr>
      </w:pPr>
      <w:r w:rsidRPr="00DF3AF7">
        <w:rPr>
          <w:bCs/>
          <w:iCs/>
        </w:rPr>
        <w:t xml:space="preserve">4. </w:t>
      </w:r>
      <w:r w:rsidR="00DF3AF7" w:rsidRPr="00DF3AF7">
        <w:rPr>
          <w:bCs/>
          <w:iCs/>
        </w:rPr>
        <w:tab/>
      </w:r>
      <w:r w:rsidRPr="00B12808">
        <w:rPr>
          <w:b/>
          <w:iCs/>
        </w:rPr>
        <w:t>Tuto smlouvu dle zákona č. 340/2015 Sb., o registru smluv, zveřejní pouze půjčitel.</w:t>
      </w:r>
    </w:p>
    <w:p w14:paraId="5C703445" w14:textId="08A80B87" w:rsidR="00354CC0" w:rsidRPr="00B12808" w:rsidRDefault="001D15A4" w:rsidP="00DF3AF7">
      <w:pPr>
        <w:spacing w:after="120" w:line="276" w:lineRule="auto"/>
        <w:ind w:left="426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187E8018" w:rsidR="001D15A4" w:rsidRPr="00B12808" w:rsidRDefault="001D15A4" w:rsidP="00DF3AF7">
      <w:pPr>
        <w:spacing w:after="120" w:line="276" w:lineRule="auto"/>
        <w:ind w:left="426"/>
        <w:jc w:val="both"/>
        <w:rPr>
          <w:b/>
          <w:iCs/>
        </w:rPr>
      </w:pPr>
      <w:r w:rsidRPr="00B12808">
        <w:rPr>
          <w:b/>
          <w:iCs/>
        </w:rPr>
        <w:t>Provede-li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zveřejnění přílohy č. 1 této smlouvy vypůjčitel, nebo zveřejní-li citlivé</w:t>
      </w:r>
      <w:r w:rsidR="00354CC0" w:rsidRPr="00B12808">
        <w:rPr>
          <w:b/>
          <w:iCs/>
        </w:rPr>
        <w:t xml:space="preserve"> údaje </w:t>
      </w:r>
      <w:r w:rsidRPr="00B12808">
        <w:rPr>
          <w:b/>
          <w:iCs/>
        </w:rPr>
        <w:t>v pojistné smlouvě, které m</w:t>
      </w:r>
      <w:r w:rsidR="00354CC0" w:rsidRPr="00B12808">
        <w:rPr>
          <w:b/>
          <w:iCs/>
        </w:rPr>
        <w:t xml:space="preserve">ohou vést k ohrožení sbírkových předmětů </w:t>
      </w:r>
      <w:r w:rsidRPr="00B12808">
        <w:rPr>
          <w:b/>
          <w:iCs/>
        </w:rPr>
        <w:t>půjčitele (viz</w:t>
      </w:r>
      <w:r w:rsidR="00B12808">
        <w:rPr>
          <w:b/>
          <w:iCs/>
        </w:rPr>
        <w:t xml:space="preserve"> </w:t>
      </w:r>
      <w:r w:rsidRPr="00B12808">
        <w:rPr>
          <w:b/>
          <w:iCs/>
        </w:rPr>
        <w:t>odstavec III. této smlouvy, bod č.1),</w:t>
      </w:r>
      <w:r w:rsidR="00354CC0" w:rsidRPr="00B12808">
        <w:rPr>
          <w:b/>
          <w:iCs/>
        </w:rPr>
        <w:t xml:space="preserve"> odpovídá půjčiteli bez omezení za </w:t>
      </w:r>
      <w:r w:rsidRPr="00B12808">
        <w:rPr>
          <w:b/>
          <w:iCs/>
        </w:rPr>
        <w:t>veškerou újmu, která půjčiteli</w:t>
      </w:r>
      <w:r w:rsidR="00354CC0" w:rsidRPr="00B12808">
        <w:rPr>
          <w:b/>
          <w:iCs/>
        </w:rPr>
        <w:t xml:space="preserve"> v souvislosti s tímto (neoprávněným) </w:t>
      </w:r>
      <w:r w:rsidRPr="00B12808">
        <w:rPr>
          <w:b/>
          <w:iCs/>
        </w:rPr>
        <w:t>zveřejněním vznikne a půjčitel je dále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oprávněn od této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smlouvy odstoupit</w:t>
      </w:r>
      <w:r w:rsidRPr="00B12808">
        <w:rPr>
          <w:b/>
          <w:i/>
          <w:iCs/>
        </w:rPr>
        <w:t>.</w:t>
      </w:r>
    </w:p>
    <w:p w14:paraId="4E163AD6" w14:textId="77777777" w:rsidR="009502E4" w:rsidRPr="00916BBC" w:rsidRDefault="00700DDC" w:rsidP="009502E4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9502E4" w:rsidRPr="00916BBC">
        <w:rPr>
          <w:rFonts w:cs="Arial"/>
          <w:szCs w:val="20"/>
        </w:rPr>
        <w:t>Smlouva je vyhotovena ve dvou exemplářích. Jeden obdrží půjčitel, jeden vypůjčitel.</w:t>
      </w:r>
    </w:p>
    <w:p w14:paraId="0B7F08C0" w14:textId="77777777" w:rsidR="00636CFD" w:rsidRPr="005C5BBC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6AB0297F" w14:textId="77777777" w:rsidR="00636CFD" w:rsidRPr="00B12808" w:rsidRDefault="00636CFD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03545F76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D8620D">
        <w:rPr>
          <w:rFonts w:cs="Arial"/>
          <w:color w:val="000000"/>
          <w:szCs w:val="20"/>
        </w:rPr>
        <w:t xml:space="preserve"> Praze</w:t>
      </w:r>
      <w:r w:rsidR="005716AE">
        <w:rPr>
          <w:rFonts w:cs="Arial"/>
          <w:b/>
          <w:bCs/>
          <w:color w:val="FF0000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39D09A9D" w14:textId="77777777" w:rsidR="005A5B40" w:rsidRDefault="005A5B40" w:rsidP="005A5B40">
      <w:pPr>
        <w:pStyle w:val="TEXTMUO"/>
        <w:rPr>
          <w:lang w:eastAsia="en-US"/>
        </w:rPr>
      </w:pPr>
    </w:p>
    <w:p w14:paraId="12C839C7" w14:textId="77777777" w:rsidR="00DE58E0" w:rsidRDefault="00DE58E0" w:rsidP="005A5B40">
      <w:pPr>
        <w:pStyle w:val="TEXTMUO"/>
        <w:rPr>
          <w:lang w:eastAsia="en-US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3D878A" w14:textId="2563B7BC" w:rsidR="00F27B40" w:rsidRPr="00C458B7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D8620D">
        <w:rPr>
          <w:rFonts w:ascii="Arial" w:hAnsi="Arial" w:cs="Arial"/>
          <w:b/>
        </w:rPr>
        <w:t xml:space="preserve"> 1</w:t>
      </w:r>
      <w:r w:rsidR="00F27B40" w:rsidRPr="00C458B7">
        <w:rPr>
          <w:rFonts w:ascii="Arial" w:hAnsi="Arial" w:cs="Arial"/>
          <w:b/>
        </w:rPr>
        <w:t>/202</w:t>
      </w:r>
      <w:r w:rsidR="00FB6A4B">
        <w:rPr>
          <w:rFonts w:ascii="Arial" w:hAnsi="Arial" w:cs="Arial"/>
          <w:b/>
        </w:rPr>
        <w:t>5</w:t>
      </w:r>
    </w:p>
    <w:p w14:paraId="7318C243" w14:textId="422F3658" w:rsidR="008258C3" w:rsidRDefault="002F3C8B" w:rsidP="00190A74">
      <w:pPr>
        <w:pStyle w:val="Nadpis1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  <w:t>xxx</w:t>
      </w:r>
    </w:p>
    <w:sectPr w:rsidR="008258C3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49C39" w14:textId="77777777" w:rsidR="00A54A5E" w:rsidRDefault="00A54A5E" w:rsidP="00B421CD">
      <w:r>
        <w:separator/>
      </w:r>
    </w:p>
  </w:endnote>
  <w:endnote w:type="continuationSeparator" w:id="0">
    <w:p w14:paraId="4E6FD8A7" w14:textId="77777777" w:rsidR="00A54A5E" w:rsidRDefault="00A54A5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E0652" w14:textId="77777777" w:rsidR="00A54A5E" w:rsidRDefault="00A54A5E" w:rsidP="00B421CD">
      <w:r>
        <w:separator/>
      </w:r>
    </w:p>
  </w:footnote>
  <w:footnote w:type="continuationSeparator" w:id="0">
    <w:p w14:paraId="28688783" w14:textId="77777777" w:rsidR="00A54A5E" w:rsidRDefault="00A54A5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212A5"/>
    <w:multiLevelType w:val="hybridMultilevel"/>
    <w:tmpl w:val="0A6E93FA"/>
    <w:lvl w:ilvl="0" w:tplc="FE407474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0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39"/>
  </w:num>
  <w:num w:numId="15" w16cid:durableId="1457481341">
    <w:abstractNumId w:val="28"/>
  </w:num>
  <w:num w:numId="16" w16cid:durableId="1955743300">
    <w:abstractNumId w:val="36"/>
  </w:num>
  <w:num w:numId="17" w16cid:durableId="1888838361">
    <w:abstractNumId w:val="17"/>
  </w:num>
  <w:num w:numId="18" w16cid:durableId="1650791549">
    <w:abstractNumId w:val="25"/>
  </w:num>
  <w:num w:numId="19" w16cid:durableId="1691568215">
    <w:abstractNumId w:val="24"/>
  </w:num>
  <w:num w:numId="20" w16cid:durableId="954361374">
    <w:abstractNumId w:val="26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7"/>
  </w:num>
  <w:num w:numId="25" w16cid:durableId="611402731">
    <w:abstractNumId w:val="38"/>
  </w:num>
  <w:num w:numId="26" w16cid:durableId="928807596">
    <w:abstractNumId w:val="34"/>
  </w:num>
  <w:num w:numId="27" w16cid:durableId="440807797">
    <w:abstractNumId w:val="23"/>
  </w:num>
  <w:num w:numId="28" w16cid:durableId="1952515958">
    <w:abstractNumId w:val="29"/>
  </w:num>
  <w:num w:numId="29" w16cid:durableId="1522627099">
    <w:abstractNumId w:val="35"/>
  </w:num>
  <w:num w:numId="30" w16cid:durableId="1637487205">
    <w:abstractNumId w:val="16"/>
  </w:num>
  <w:num w:numId="31" w16cid:durableId="948585187">
    <w:abstractNumId w:val="27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1"/>
  </w:num>
  <w:num w:numId="37" w16cid:durableId="820118850">
    <w:abstractNumId w:val="30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2"/>
  </w:num>
  <w:num w:numId="41" w16cid:durableId="1704668293">
    <w:abstractNumId w:val="41"/>
  </w:num>
  <w:num w:numId="42" w16cid:durableId="15691439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27133"/>
    <w:rsid w:val="00035357"/>
    <w:rsid w:val="0004738F"/>
    <w:rsid w:val="000760D4"/>
    <w:rsid w:val="00091BFD"/>
    <w:rsid w:val="00096AA3"/>
    <w:rsid w:val="000A184A"/>
    <w:rsid w:val="000E44D8"/>
    <w:rsid w:val="000F342D"/>
    <w:rsid w:val="000F34D6"/>
    <w:rsid w:val="001343F9"/>
    <w:rsid w:val="00137C81"/>
    <w:rsid w:val="0015434E"/>
    <w:rsid w:val="00190A74"/>
    <w:rsid w:val="00197F0F"/>
    <w:rsid w:val="001B360E"/>
    <w:rsid w:val="001B62FF"/>
    <w:rsid w:val="001D15A4"/>
    <w:rsid w:val="001D400A"/>
    <w:rsid w:val="002040D8"/>
    <w:rsid w:val="002251CD"/>
    <w:rsid w:val="00235BC8"/>
    <w:rsid w:val="002376BA"/>
    <w:rsid w:val="00247B98"/>
    <w:rsid w:val="002856AF"/>
    <w:rsid w:val="00290454"/>
    <w:rsid w:val="002A0FBE"/>
    <w:rsid w:val="002B1DB1"/>
    <w:rsid w:val="002C7E68"/>
    <w:rsid w:val="002D0F20"/>
    <w:rsid w:val="002D17A7"/>
    <w:rsid w:val="002E171F"/>
    <w:rsid w:val="002F3C8B"/>
    <w:rsid w:val="0031537F"/>
    <w:rsid w:val="0033271E"/>
    <w:rsid w:val="00342D5B"/>
    <w:rsid w:val="003438AB"/>
    <w:rsid w:val="00354CC0"/>
    <w:rsid w:val="003A15DC"/>
    <w:rsid w:val="003A3C46"/>
    <w:rsid w:val="003C25D7"/>
    <w:rsid w:val="003D1280"/>
    <w:rsid w:val="003D30C8"/>
    <w:rsid w:val="003F1FF0"/>
    <w:rsid w:val="00404823"/>
    <w:rsid w:val="0041501E"/>
    <w:rsid w:val="00417A79"/>
    <w:rsid w:val="004226DD"/>
    <w:rsid w:val="00423CEC"/>
    <w:rsid w:val="00423E79"/>
    <w:rsid w:val="00425BC5"/>
    <w:rsid w:val="00457C25"/>
    <w:rsid w:val="004A1DBB"/>
    <w:rsid w:val="004A4C2C"/>
    <w:rsid w:val="004B4F6F"/>
    <w:rsid w:val="004D4EC4"/>
    <w:rsid w:val="004F070C"/>
    <w:rsid w:val="005040C8"/>
    <w:rsid w:val="005046EC"/>
    <w:rsid w:val="00505277"/>
    <w:rsid w:val="00506D83"/>
    <w:rsid w:val="005113BE"/>
    <w:rsid w:val="00512645"/>
    <w:rsid w:val="00516A50"/>
    <w:rsid w:val="0053200D"/>
    <w:rsid w:val="005459C2"/>
    <w:rsid w:val="00547A41"/>
    <w:rsid w:val="00550A4F"/>
    <w:rsid w:val="00563958"/>
    <w:rsid w:val="005639FE"/>
    <w:rsid w:val="005716AE"/>
    <w:rsid w:val="005A5823"/>
    <w:rsid w:val="005A5B40"/>
    <w:rsid w:val="005C0D2C"/>
    <w:rsid w:val="005C5BBC"/>
    <w:rsid w:val="005D4D6A"/>
    <w:rsid w:val="005D5C3D"/>
    <w:rsid w:val="006035AD"/>
    <w:rsid w:val="00636CFD"/>
    <w:rsid w:val="006501D2"/>
    <w:rsid w:val="006911DF"/>
    <w:rsid w:val="006915F7"/>
    <w:rsid w:val="00697C3A"/>
    <w:rsid w:val="006B1CF3"/>
    <w:rsid w:val="006D192F"/>
    <w:rsid w:val="006E13DC"/>
    <w:rsid w:val="006F796B"/>
    <w:rsid w:val="00700DDC"/>
    <w:rsid w:val="0074503F"/>
    <w:rsid w:val="00761CD8"/>
    <w:rsid w:val="00763EF3"/>
    <w:rsid w:val="00784015"/>
    <w:rsid w:val="007A0B27"/>
    <w:rsid w:val="007A2230"/>
    <w:rsid w:val="007A4DE8"/>
    <w:rsid w:val="007A6E6B"/>
    <w:rsid w:val="007C04C3"/>
    <w:rsid w:val="007C5673"/>
    <w:rsid w:val="007F2733"/>
    <w:rsid w:val="008040FA"/>
    <w:rsid w:val="008258C3"/>
    <w:rsid w:val="00836E3C"/>
    <w:rsid w:val="00837E39"/>
    <w:rsid w:val="008529E0"/>
    <w:rsid w:val="00855413"/>
    <w:rsid w:val="00866F7B"/>
    <w:rsid w:val="0088314D"/>
    <w:rsid w:val="00891E54"/>
    <w:rsid w:val="008B6779"/>
    <w:rsid w:val="008C0F5B"/>
    <w:rsid w:val="008C3C49"/>
    <w:rsid w:val="008E0BED"/>
    <w:rsid w:val="008F1588"/>
    <w:rsid w:val="00903590"/>
    <w:rsid w:val="00904648"/>
    <w:rsid w:val="009105A6"/>
    <w:rsid w:val="009502E4"/>
    <w:rsid w:val="00966A49"/>
    <w:rsid w:val="00985A10"/>
    <w:rsid w:val="009A2FC7"/>
    <w:rsid w:val="009A72B3"/>
    <w:rsid w:val="009C4B07"/>
    <w:rsid w:val="009C67F0"/>
    <w:rsid w:val="009E48B6"/>
    <w:rsid w:val="00A22122"/>
    <w:rsid w:val="00A22741"/>
    <w:rsid w:val="00A262FE"/>
    <w:rsid w:val="00A27BE2"/>
    <w:rsid w:val="00A30524"/>
    <w:rsid w:val="00A349FF"/>
    <w:rsid w:val="00A40B41"/>
    <w:rsid w:val="00A50EAA"/>
    <w:rsid w:val="00A537C8"/>
    <w:rsid w:val="00A5435B"/>
    <w:rsid w:val="00A54A5E"/>
    <w:rsid w:val="00A7404F"/>
    <w:rsid w:val="00AC3DCA"/>
    <w:rsid w:val="00AC7028"/>
    <w:rsid w:val="00AF12E9"/>
    <w:rsid w:val="00AF1579"/>
    <w:rsid w:val="00AF34F3"/>
    <w:rsid w:val="00AF7B7D"/>
    <w:rsid w:val="00B12808"/>
    <w:rsid w:val="00B20C11"/>
    <w:rsid w:val="00B421CD"/>
    <w:rsid w:val="00B43B05"/>
    <w:rsid w:val="00B94C09"/>
    <w:rsid w:val="00BC3E0D"/>
    <w:rsid w:val="00BD106F"/>
    <w:rsid w:val="00BF4172"/>
    <w:rsid w:val="00C21497"/>
    <w:rsid w:val="00C35BC0"/>
    <w:rsid w:val="00C458B7"/>
    <w:rsid w:val="00C543E8"/>
    <w:rsid w:val="00C8663F"/>
    <w:rsid w:val="00CB19D2"/>
    <w:rsid w:val="00CB2DE6"/>
    <w:rsid w:val="00CB5A6E"/>
    <w:rsid w:val="00D36939"/>
    <w:rsid w:val="00D6587F"/>
    <w:rsid w:val="00D7153E"/>
    <w:rsid w:val="00D75225"/>
    <w:rsid w:val="00D8620D"/>
    <w:rsid w:val="00D94BB3"/>
    <w:rsid w:val="00DA3AFC"/>
    <w:rsid w:val="00DE58E0"/>
    <w:rsid w:val="00DF3AF7"/>
    <w:rsid w:val="00E03B3D"/>
    <w:rsid w:val="00E420A1"/>
    <w:rsid w:val="00E50E0B"/>
    <w:rsid w:val="00EA04EB"/>
    <w:rsid w:val="00EF7666"/>
    <w:rsid w:val="00F24228"/>
    <w:rsid w:val="00F27B40"/>
    <w:rsid w:val="00F315D5"/>
    <w:rsid w:val="00F56875"/>
    <w:rsid w:val="00F57836"/>
    <w:rsid w:val="00F6307A"/>
    <w:rsid w:val="00F95FAB"/>
    <w:rsid w:val="00FA7011"/>
    <w:rsid w:val="00FB6A4B"/>
    <w:rsid w:val="00FC13DE"/>
    <w:rsid w:val="00FC6B45"/>
    <w:rsid w:val="00FC6CBE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4780</Characters>
  <Application>Microsoft Office Word</Application>
  <DocSecurity>4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2023-12-07T12:53:00Z</cp:lastPrinted>
  <dcterms:created xsi:type="dcterms:W3CDTF">2024-08-05T08:54:00Z</dcterms:created>
  <dcterms:modified xsi:type="dcterms:W3CDTF">2024-08-05T08:54:00Z</dcterms:modified>
</cp:coreProperties>
</file>