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700"/>
        <w:gridCol w:w="2240"/>
        <w:gridCol w:w="4480"/>
      </w:tblGrid>
      <w:tr w:rsidR="009055F1" w:rsidRPr="009055F1" w:rsidTr="009055F1">
        <w:trPr>
          <w:trHeight w:val="73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9055F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 xml:space="preserve">Změna rozsahu původní veřejné zakázky (předmětu díla dle </w:t>
            </w:r>
            <w:proofErr w:type="spellStart"/>
            <w:r w:rsidRPr="009055F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SoD</w:t>
            </w:r>
            <w:proofErr w:type="spellEnd"/>
            <w:r w:rsidRPr="009055F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)</w:t>
            </w:r>
          </w:p>
        </w:tc>
      </w:tr>
      <w:tr w:rsidR="009055F1" w:rsidRPr="009055F1" w:rsidTr="009055F1">
        <w:trPr>
          <w:trHeight w:val="203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9055F1" w:rsidRPr="009055F1" w:rsidTr="009055F1">
        <w:trPr>
          <w:trHeight w:val="73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Vícepráce</w:t>
            </w:r>
          </w:p>
        </w:tc>
      </w:tr>
      <w:tr w:rsidR="009055F1" w:rsidRPr="009055F1" w:rsidTr="009055F1">
        <w:trPr>
          <w:trHeight w:val="3229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Předmět víceprací:</w:t>
            </w: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9055F1">
              <w:rPr>
                <w:rFonts w:ascii="Tahoma" w:eastAsia="Times New Roman" w:hAnsi="Tahoma" w:cs="Tahoma"/>
                <w:i/>
                <w:iCs/>
                <w:color w:val="FF0000"/>
                <w:sz w:val="20"/>
                <w:szCs w:val="20"/>
                <w:lang w:eastAsia="cs-CZ"/>
              </w:rPr>
              <w:t>(jednotlivé změny budou označeny pořadovými čísly)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1) Podhled Armstrong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Celio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C36,                                                                        2) Rastr -profily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Ventatec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15SG + příslušenství,                                                               3) Doprava osob a materiálu,                                                                           4)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Uklid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po stavbě,                                                                                            5)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Režie,manegment,</w:t>
            </w:r>
            <w:proofErr w:type="gram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koordinace,zabezpečení</w:t>
            </w:r>
            <w:proofErr w:type="spellEnd"/>
            <w:proofErr w:type="gram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staveniště,                                   6) Led svítidlo 40W IP20 600x600,                                                                   7) Kabel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bezhalogenový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3Jx1,5,                                                                       8) Krabice 100x100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bezhalogenová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                                                               9) Pohybové čidlo 12m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Theben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Luxa 180st,                                                               10) Obklad trámů sádrokartonem dvoustranný do 0,5/0,5m desky protipožární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tl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12,5 mm,                                                                                                    11) Elektro montáže </w:t>
            </w:r>
          </w:p>
        </w:tc>
      </w:tr>
      <w:tr w:rsidR="009055F1" w:rsidRPr="009055F1" w:rsidTr="009055F1">
        <w:trPr>
          <w:trHeight w:val="51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Zdůvodnění víceprací + cena:</w:t>
            </w: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9055F1">
              <w:rPr>
                <w:rFonts w:ascii="Tahoma" w:eastAsia="Times New Roman" w:hAnsi="Tahoma" w:cs="Tahoma"/>
                <w:i/>
                <w:iCs/>
                <w:color w:val="FF0000"/>
                <w:sz w:val="20"/>
                <w:szCs w:val="20"/>
                <w:lang w:eastAsia="cs-CZ"/>
              </w:rPr>
              <w:t>(pro každou změnu dle pořadového čísla)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1) Podhled Armstrong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Celio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C36,  Cena: 257.004,-                                                                     2) Rastr -profily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Ventatec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15SG + příslušenství,  Cena: 29.040,-                                                             3) Doprava osob a materiálu, Cena: 5.000,-                                                                          4)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Uklid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po stavbě, Cena: 1.800,-                                                                                            5)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Režie,manegment,</w:t>
            </w:r>
            <w:proofErr w:type="gram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koordinace,zabezpečení</w:t>
            </w:r>
            <w:proofErr w:type="spellEnd"/>
            <w:proofErr w:type="gram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staveniště,  Cena: 4.000,-                                  6) Led svítidlo 40W IP20 600x600,  Cena: 24.050,-                                                                  7) Kabel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bezhalogenový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3Jx1,5,  Cena: 2.000,-                                                                       8) Krabice 100x100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bezhalogenová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Cena: 980,-                                                                9) Pohybové čidlo 12m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Theben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Luxa 180st, Cena: 7.250,-                                     10) Obklad trámů sádrokartonem dvoustranný do 0,5/0,5m desky protipožární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tl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12,5 mm, Cena: 30.400,-                                                                                                   11) Elektro montáže, Cena: 5.140,-                                                                      </w:t>
            </w:r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Vyjádření projektanta </w:t>
            </w: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                                                                                     Projektant počítal s demontáží a zpětnou montáží kovových podhledů v suterénu budovy z důvodu realizace elektroinstalace. Při demontáži bylo zjištěno, že stávající konstrukce je již v nevyhovujícím stavu, bylo by nutné ji opravit, přebrousit a  natřít, vzhledově již nevyhovuje dnešním požadavkům na estetiku z důvodu masivnosti. Stávající předpokládané hlavní trasy kabelů  je nutné po demontáži stropního podhledu, obkladu, zjištění přesných poloh překladů a technických rozvodů upravit.</w:t>
            </w:r>
          </w:p>
        </w:tc>
      </w:tr>
      <w:tr w:rsidR="009055F1" w:rsidRPr="009055F1" w:rsidTr="009055F1">
        <w:trPr>
          <w:trHeight w:val="73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Cena víceprací celkem</w:t>
            </w:r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Kč bez DPH):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366 664,00</w:t>
            </w:r>
          </w:p>
        </w:tc>
      </w:tr>
      <w:tr w:rsidR="009055F1" w:rsidRPr="009055F1" w:rsidTr="009055F1">
        <w:trPr>
          <w:trHeight w:val="87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Vícepráce zapříčiněné chybou PD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9055F1" w:rsidRPr="009055F1" w:rsidTr="009055F1">
        <w:trPr>
          <w:trHeight w:val="40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9055F1" w:rsidRPr="009055F1" w:rsidTr="009055F1">
        <w:trPr>
          <w:trHeight w:val="42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9055F1" w:rsidRPr="009055F1" w:rsidTr="009055F1">
        <w:trPr>
          <w:trHeight w:val="40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9055F1" w:rsidRPr="009055F1" w:rsidTr="009055F1">
        <w:trPr>
          <w:trHeight w:val="13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Jméno a podpis AD: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Marcel Chobot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9055F1" w:rsidRPr="009055F1" w:rsidTr="009055F1">
        <w:trPr>
          <w:trHeight w:val="1530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9055F1" w:rsidRPr="009055F1" w:rsidTr="009055F1">
        <w:trPr>
          <w:trHeight w:val="73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Méněpráce</w:t>
            </w:r>
            <w:proofErr w:type="spellEnd"/>
          </w:p>
        </w:tc>
      </w:tr>
      <w:tr w:rsidR="009055F1" w:rsidRPr="009055F1" w:rsidTr="009055F1">
        <w:trPr>
          <w:trHeight w:val="1669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související s vícepracemi, předmět + cena:</w:t>
            </w: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9055F1">
              <w:rPr>
                <w:rFonts w:ascii="Tahoma" w:eastAsia="Times New Roman" w:hAnsi="Tahoma" w:cs="Tahoma"/>
                <w:i/>
                <w:iCs/>
                <w:color w:val="FF0000"/>
                <w:sz w:val="20"/>
                <w:szCs w:val="20"/>
                <w:lang w:eastAsia="cs-CZ"/>
              </w:rPr>
              <w:t>(jednotlivé změny budou označeny pořadovými čísly vč. odkazu na VCP</w:t>
            </w: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1) Očištění a zpětná montáž ocelových mříží, Cena: 4.050,-</w:t>
            </w:r>
          </w:p>
        </w:tc>
      </w:tr>
      <w:tr w:rsidR="009055F1" w:rsidRPr="009055F1" w:rsidTr="009055F1">
        <w:trPr>
          <w:trHeight w:val="223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Ostatní </w:t>
            </w:r>
            <w:proofErr w:type="spell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</w:t>
            </w:r>
            <w:proofErr w:type="spell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(nesouvisející s vícepracemi), předmět, zdůvodnění + cena:</w:t>
            </w: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9055F1">
              <w:rPr>
                <w:rFonts w:ascii="Tahoma" w:eastAsia="Times New Roman" w:hAnsi="Tahoma" w:cs="Tahoma"/>
                <w:i/>
                <w:iCs/>
                <w:color w:val="FF0000"/>
                <w:sz w:val="20"/>
                <w:szCs w:val="20"/>
                <w:lang w:eastAsia="cs-CZ"/>
              </w:rPr>
              <w:t>(jednotlivé změny budou označeny pořadovými čísly)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2) Svítidlo s PIR čidlem, </w:t>
            </w:r>
            <w:proofErr w:type="gramStart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LED, v 1.PP</w:t>
            </w:r>
            <w:proofErr w:type="gramEnd"/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šatnách, WC, Cena: 13.000,-</w:t>
            </w:r>
          </w:p>
        </w:tc>
      </w:tr>
      <w:tr w:rsidR="009055F1" w:rsidRPr="009055F1" w:rsidTr="009055F1">
        <w:trPr>
          <w:trHeight w:val="73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Cena </w:t>
            </w:r>
            <w:proofErr w:type="spellStart"/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méněprací</w:t>
            </w:r>
            <w:proofErr w:type="spellEnd"/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celkem </w:t>
            </w:r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Kč bez DPH):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17 050,00</w:t>
            </w:r>
          </w:p>
        </w:tc>
      </w:tr>
      <w:tr w:rsidR="009055F1" w:rsidRPr="009055F1" w:rsidTr="009055F1">
        <w:trPr>
          <w:trHeight w:val="203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9055F1" w:rsidRPr="009055F1" w:rsidTr="009055F1">
        <w:trPr>
          <w:trHeight w:val="73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Záměna položek dle §222 odst. 7 </w:t>
            </w:r>
          </w:p>
        </w:tc>
      </w:tr>
      <w:tr w:rsidR="009055F1" w:rsidRPr="009055F1" w:rsidTr="009055F1">
        <w:trPr>
          <w:trHeight w:val="1410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Předmět a stručné zdůvodnění záměny, včetně případného snížení ceny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55F1" w:rsidRPr="009055F1" w:rsidRDefault="009055F1" w:rsidP="009055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55F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</w:tbl>
    <w:p w:rsidR="002A465B" w:rsidRDefault="002A465B">
      <w:bookmarkStart w:id="0" w:name="_GoBack"/>
      <w:bookmarkEnd w:id="0"/>
    </w:p>
    <w:sectPr w:rsidR="002A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F1"/>
    <w:rsid w:val="002A465B"/>
    <w:rsid w:val="0090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8BA3C-5E8E-4370-8043-FEBE1F5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2024-08-02T11:24:00Z</dcterms:created>
  <dcterms:modified xsi:type="dcterms:W3CDTF">2024-08-02T11:25:00Z</dcterms:modified>
</cp:coreProperties>
</file>