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9EE3" w14:textId="77777777" w:rsidR="00FB10F4" w:rsidRDefault="00FB10F4">
      <w:pPr>
        <w:spacing w:line="1" w:lineRule="exact"/>
      </w:pPr>
    </w:p>
    <w:p w14:paraId="3A854BCC" w14:textId="77777777" w:rsidR="00FB10F4" w:rsidRDefault="002414C0">
      <w:pPr>
        <w:pStyle w:val="Zkladntext60"/>
        <w:framePr w:w="2275" w:h="1013" w:hRule="exact" w:wrap="none" w:vAnchor="page" w:hAnchor="page" w:x="2560" w:y="723"/>
        <w:ind w:left="5" w:right="29"/>
        <w:jc w:val="both"/>
      </w:pPr>
      <w:r>
        <w:rPr>
          <w:rStyle w:val="Zkladntext6"/>
          <w:b/>
          <w:bCs/>
        </w:rPr>
        <w:t>IW14IN</w:t>
      </w:r>
    </w:p>
    <w:p w14:paraId="26B9A914" w14:textId="77777777" w:rsidR="00FB10F4" w:rsidRDefault="002414C0">
      <w:pPr>
        <w:pStyle w:val="Zkladntext40"/>
        <w:framePr w:w="2275" w:h="1013" w:hRule="exact" w:wrap="none" w:vAnchor="page" w:hAnchor="page" w:x="2560" w:y="723"/>
        <w:spacing w:line="211" w:lineRule="auto"/>
        <w:ind w:left="5" w:right="29"/>
        <w:jc w:val="center"/>
      </w:pPr>
      <w:r>
        <w:rPr>
          <w:rStyle w:val="Zkladntext4"/>
          <w:b/>
          <w:bCs/>
        </w:rPr>
        <w:t>Výtah* MOST</w:t>
      </w:r>
      <w:r>
        <w:rPr>
          <w:rStyle w:val="Zkladntext4"/>
          <w:b/>
          <w:bCs/>
        </w:rPr>
        <w:br/>
        <w:t xml:space="preserve">Servis a </w:t>
      </w:r>
      <w:proofErr w:type="spellStart"/>
      <w:r>
        <w:rPr>
          <w:rStyle w:val="Zkladntext4"/>
          <w:b/>
          <w:bCs/>
        </w:rPr>
        <w:t>ateeMže</w:t>
      </w:r>
      <w:proofErr w:type="spellEnd"/>
      <w:r>
        <w:rPr>
          <w:rStyle w:val="Zkladntext4"/>
          <w:b/>
          <w:bCs/>
        </w:rPr>
        <w:t xml:space="preserve"> výtahů</w:t>
      </w:r>
    </w:p>
    <w:p w14:paraId="3B98212F" w14:textId="77777777" w:rsidR="00FB10F4" w:rsidRDefault="002414C0" w:rsidP="002414C0">
      <w:pPr>
        <w:pStyle w:val="Zkladntext1"/>
        <w:framePr w:w="9265" w:h="987" w:hRule="exact" w:wrap="none" w:vAnchor="page" w:hAnchor="page" w:x="1311" w:y="749"/>
        <w:ind w:left="5342" w:right="840"/>
        <w:jc w:val="center"/>
      </w:pPr>
      <w:r>
        <w:rPr>
          <w:rStyle w:val="Zkladntext"/>
          <w:b/>
          <w:bCs/>
        </w:rPr>
        <w:t>Pionýrů 1501</w:t>
      </w:r>
      <w:r>
        <w:rPr>
          <w:rStyle w:val="Zkladntext"/>
          <w:b/>
          <w:bCs/>
        </w:rPr>
        <w:br/>
      </w:r>
      <w:r>
        <w:rPr>
          <w:rStyle w:val="Zkladntext"/>
          <w:b/>
          <w:bCs/>
        </w:rPr>
        <w:t>Most 434 01</w:t>
      </w:r>
    </w:p>
    <w:p w14:paraId="1D309548" w14:textId="77777777" w:rsidR="00FB10F4" w:rsidRDefault="002414C0">
      <w:pPr>
        <w:pStyle w:val="Zkladntext50"/>
        <w:framePr w:w="9264" w:h="907" w:hRule="exact" w:wrap="none" w:vAnchor="page" w:hAnchor="page" w:x="1308" w:y="3109"/>
        <w:spacing w:after="220"/>
      </w:pPr>
      <w:r>
        <w:rPr>
          <w:rStyle w:val="Zkladntext5"/>
          <w:b/>
          <w:bCs/>
        </w:rPr>
        <w:t>M</w:t>
      </w:r>
      <w:r>
        <w:rPr>
          <w:rStyle w:val="Zkladntext5"/>
          <w:b/>
          <w:bCs/>
        </w:rPr>
        <w:t>ezi níže uvedenými smluvní</w:t>
      </w:r>
      <w:r>
        <w:rPr>
          <w:rStyle w:val="Zkladntext5"/>
          <w:b/>
          <w:bCs/>
        </w:rPr>
        <w:t>m</w:t>
      </w:r>
      <w:r>
        <w:rPr>
          <w:rStyle w:val="Zkladntext5"/>
          <w:b/>
          <w:bCs/>
        </w:rPr>
        <w:t>i</w:t>
      </w:r>
      <w:r>
        <w:rPr>
          <w:rStyle w:val="Zkladntext5"/>
          <w:b/>
          <w:bCs/>
        </w:rPr>
        <w:t xml:space="preserve"> </w:t>
      </w:r>
      <w:r>
        <w:rPr>
          <w:rStyle w:val="Zkladntext5"/>
          <w:b/>
          <w:bCs/>
        </w:rPr>
        <w:t>stranami se uzavírá tato</w:t>
      </w:r>
    </w:p>
    <w:p w14:paraId="6BDB9BDB" w14:textId="77777777" w:rsidR="00FB10F4" w:rsidRDefault="002414C0">
      <w:pPr>
        <w:pStyle w:val="Zkladntext50"/>
        <w:framePr w:w="9264" w:h="907" w:hRule="exact" w:wrap="none" w:vAnchor="page" w:hAnchor="page" w:x="1308" w:y="3109"/>
        <w:spacing w:after="0"/>
      </w:pPr>
      <w:r>
        <w:rPr>
          <w:rStyle w:val="Zkladntext5"/>
          <w:b/>
          <w:bCs/>
        </w:rPr>
        <w:t>S</w:t>
      </w:r>
      <w:r>
        <w:rPr>
          <w:rStyle w:val="Zkladntext5"/>
          <w:b/>
          <w:bCs/>
        </w:rPr>
        <w:t>mlouva o dílo P-10/2024</w:t>
      </w:r>
      <w:r>
        <w:rPr>
          <w:rStyle w:val="Zkladntext5"/>
          <w:b/>
          <w:bCs/>
        </w:rPr>
        <w:br/>
        <w:t>Servis výtahu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7"/>
        <w:gridCol w:w="4622"/>
      </w:tblGrid>
      <w:tr w:rsidR="00FB10F4" w14:paraId="62E72D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7234F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Objednavatel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6631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</w:tr>
      <w:tr w:rsidR="00FB10F4" w14:paraId="63F437B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4831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6DA6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SPORTOVNÍ AREÁLY MOST, a.s.</w:t>
            </w:r>
          </w:p>
        </w:tc>
      </w:tr>
      <w:tr w:rsidR="00FB10F4" w14:paraId="3903E55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A7373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CD68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</w:tr>
      <w:tr w:rsidR="00FB10F4" w14:paraId="1EEC35C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1731F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ind w:left="1220"/>
              <w:rPr>
                <w:sz w:val="18"/>
                <w:szCs w:val="18"/>
              </w:rPr>
            </w:pPr>
            <w:r>
              <w:rPr>
                <w:rStyle w:val="Jin"/>
                <w:color w:val="817DAC"/>
                <w:sz w:val="18"/>
                <w:szCs w:val="18"/>
              </w:rPr>
              <w:t>!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A6187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</w:tr>
      <w:tr w:rsidR="00FB10F4" w14:paraId="513FE8F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82D45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Adresa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9453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Tř. Budovatelů 112/2</w:t>
            </w:r>
          </w:p>
        </w:tc>
      </w:tr>
      <w:tr w:rsidR="00FB10F4" w14:paraId="0A732D6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99AD6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5B952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Most, 434 01</w:t>
            </w:r>
          </w:p>
        </w:tc>
      </w:tr>
      <w:tr w:rsidR="00FB10F4" w14:paraId="515DF9B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154C7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IČ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E555E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250 44 001</w:t>
            </w:r>
          </w:p>
        </w:tc>
      </w:tr>
      <w:tr w:rsidR="00FB10F4" w14:paraId="453FD0B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3054E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50E9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</w:tr>
      <w:tr w:rsidR="00FB10F4" w14:paraId="5BB997E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7B130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DIČ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53FB3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CZ250 44 001</w:t>
            </w:r>
          </w:p>
        </w:tc>
      </w:tr>
      <w:tr w:rsidR="00FB10F4" w14:paraId="761200A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49B7B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DAA7B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</w:tr>
      <w:tr w:rsidR="00FB10F4" w14:paraId="7DDE853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F196D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Zastoupeno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F24AA" w14:textId="368C3654" w:rsidR="00FB10F4" w:rsidRDefault="00FB10F4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</w:p>
        </w:tc>
      </w:tr>
      <w:tr w:rsidR="00FB10F4" w14:paraId="0EDF3D5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89752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FBA1" w14:textId="3C0D1519" w:rsidR="00FB10F4" w:rsidRDefault="00FB10F4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</w:p>
        </w:tc>
      </w:tr>
      <w:tr w:rsidR="00FB10F4" w14:paraId="69A6506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0CAA9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B74A2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</w:tr>
      <w:tr w:rsidR="00FB10F4" w14:paraId="387ABAB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677CD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Telefon/e-mail adresa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AFCA" w14:textId="06BD743E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hyperlink r:id="rId7" w:history="1">
              <w:r w:rsidRPr="00B84CF5">
                <w:rPr>
                  <w:rStyle w:val="Hypertextovodkaz"/>
                  <w:sz w:val="18"/>
                  <w:szCs w:val="18"/>
                  <w:lang w:val="en-US" w:eastAsia="en-US"/>
                </w:rPr>
                <w:t>xxx@sportovnihalamost.cz</w:t>
              </w:r>
            </w:hyperlink>
          </w:p>
        </w:tc>
      </w:tr>
      <w:tr w:rsidR="00FB10F4" w14:paraId="5179A5A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8D7C4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A4E47" w14:textId="77777777" w:rsidR="00FB10F4" w:rsidRDefault="00FB10F4">
            <w:pPr>
              <w:framePr w:w="9259" w:h="3662" w:wrap="none" w:vAnchor="page" w:hAnchor="page" w:x="1308" w:y="4842"/>
              <w:rPr>
                <w:sz w:val="10"/>
                <w:szCs w:val="10"/>
              </w:rPr>
            </w:pPr>
          </w:p>
        </w:tc>
      </w:tr>
      <w:tr w:rsidR="00FB10F4" w14:paraId="386291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3CEEE" w14:textId="77777777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Účet číslo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5833" w14:textId="4BB7F78E" w:rsidR="00FB10F4" w:rsidRDefault="002414C0">
            <w:pPr>
              <w:pStyle w:val="Jin0"/>
              <w:framePr w:w="9259" w:h="3662" w:wrap="none" w:vAnchor="page" w:hAnchor="page" w:x="1308" w:y="4842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sz w:val="18"/>
                <w:szCs w:val="18"/>
              </w:rPr>
              <w:t>xxx</w:t>
            </w:r>
            <w:proofErr w:type="spell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4622"/>
      </w:tblGrid>
      <w:tr w:rsidR="00FB10F4" w14:paraId="741174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BB765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Zhotovitel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7616E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</w:tr>
      <w:tr w:rsidR="00FB10F4" w14:paraId="2E922E9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4C8E8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C6597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</w:tr>
      <w:tr w:rsidR="00FB10F4" w14:paraId="4D815DF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3384B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Obchodní název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675E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Jiří Hasman-Výtahy Most</w:t>
            </w:r>
          </w:p>
        </w:tc>
      </w:tr>
      <w:tr w:rsidR="00FB10F4" w14:paraId="473D32B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F6868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55225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</w:tr>
      <w:tr w:rsidR="00FB10F4" w14:paraId="775DD15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CFE8E2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Adresa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DB5F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Pionýrů 1501, Most</w:t>
            </w:r>
          </w:p>
        </w:tc>
      </w:tr>
      <w:tr w:rsidR="00FB10F4" w14:paraId="41E9610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4939A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F602D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</w:tr>
      <w:tr w:rsidR="00FB10F4" w14:paraId="5A1545E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C6312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IČO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18A58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12 80 22 55</w:t>
            </w:r>
          </w:p>
        </w:tc>
      </w:tr>
      <w:tr w:rsidR="00FB10F4" w14:paraId="5C713F3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6C8F0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79739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</w:tr>
      <w:tr w:rsidR="00FB10F4" w14:paraId="013B989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4300C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DIČ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4263B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CZ490411269</w:t>
            </w:r>
          </w:p>
        </w:tc>
      </w:tr>
      <w:tr w:rsidR="00FB10F4" w14:paraId="4F7FC1D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A0676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D7C1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</w:tr>
      <w:tr w:rsidR="00FB10F4" w14:paraId="4BD13C5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CD7FB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Zastoupen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A7D5" w14:textId="6ED9D9BA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sz w:val="18"/>
                <w:szCs w:val="18"/>
              </w:rPr>
              <w:t>xxx</w:t>
            </w:r>
            <w:proofErr w:type="spellEnd"/>
          </w:p>
        </w:tc>
      </w:tr>
      <w:tr w:rsidR="00FB10F4" w14:paraId="26F7478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5BF83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0D2E4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</w:tr>
      <w:tr w:rsidR="00FB10F4" w14:paraId="701699D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0B413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Bankovní spojení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94486" w14:textId="189DF3FF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sz w:val="18"/>
                <w:szCs w:val="18"/>
              </w:rPr>
              <w:t>xxx</w:t>
            </w:r>
            <w:proofErr w:type="spellEnd"/>
          </w:p>
        </w:tc>
      </w:tr>
      <w:tr w:rsidR="00FB10F4" w14:paraId="66A6B86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828FE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95D21" w14:textId="77777777" w:rsidR="00FB10F4" w:rsidRDefault="00FB10F4">
            <w:pPr>
              <w:framePr w:w="9254" w:h="3432" w:wrap="none" w:vAnchor="page" w:hAnchor="page" w:x="1317" w:y="8926"/>
              <w:rPr>
                <w:sz w:val="10"/>
                <w:szCs w:val="10"/>
              </w:rPr>
            </w:pPr>
          </w:p>
        </w:tc>
      </w:tr>
      <w:tr w:rsidR="00FB10F4" w14:paraId="119567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DBD69" w14:textId="77777777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Účet číslo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2522" w14:textId="6F555FB1" w:rsidR="00FB10F4" w:rsidRDefault="002414C0">
            <w:pPr>
              <w:pStyle w:val="Jin0"/>
              <w:framePr w:w="9254" w:h="3432" w:wrap="none" w:vAnchor="page" w:hAnchor="page" w:x="1317" w:y="8926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sz w:val="18"/>
                <w:szCs w:val="18"/>
              </w:rPr>
              <w:t>xxx</w:t>
            </w:r>
            <w:proofErr w:type="spellEnd"/>
          </w:p>
        </w:tc>
      </w:tr>
    </w:tbl>
    <w:p w14:paraId="2BBD5875" w14:textId="77777777" w:rsidR="00FB10F4" w:rsidRDefault="00FB10F4">
      <w:pPr>
        <w:spacing w:line="1" w:lineRule="exact"/>
        <w:sectPr w:rsidR="00FB10F4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F74092" w14:textId="77777777" w:rsidR="00FB10F4" w:rsidRDefault="00FB10F4">
      <w:pPr>
        <w:spacing w:line="1" w:lineRule="exact"/>
      </w:pPr>
    </w:p>
    <w:p w14:paraId="47C72994" w14:textId="3FF8E623" w:rsidR="00FB10F4" w:rsidRDefault="00FB10F4" w:rsidP="002414C0">
      <w:pPr>
        <w:pStyle w:val="Nadpis10"/>
        <w:framePr w:w="3322" w:h="1013" w:hRule="exact" w:wrap="none" w:vAnchor="page" w:hAnchor="page" w:x="1481" w:y="695"/>
        <w:jc w:val="both"/>
      </w:pPr>
    </w:p>
    <w:p w14:paraId="3E92F991" w14:textId="77777777" w:rsidR="00FB10F4" w:rsidRDefault="002414C0">
      <w:pPr>
        <w:pStyle w:val="Zkladntext1"/>
        <w:framePr w:w="3072" w:h="989" w:hRule="exact" w:wrap="none" w:vAnchor="page" w:hAnchor="page" w:x="6603" w:y="710"/>
        <w:spacing w:after="0"/>
        <w:jc w:val="center"/>
      </w:pPr>
      <w:r>
        <w:rPr>
          <w:rStyle w:val="Zkladntext"/>
          <w:b/>
          <w:bCs/>
          <w:color w:val="000000"/>
        </w:rPr>
        <w:t>P</w:t>
      </w:r>
      <w:r>
        <w:rPr>
          <w:rStyle w:val="Zkladntext"/>
          <w:b/>
          <w:bCs/>
          <w:color w:val="000000"/>
        </w:rPr>
        <w:t>ionýrů 1501</w:t>
      </w:r>
    </w:p>
    <w:p w14:paraId="277D119C" w14:textId="77777777" w:rsidR="00FB10F4" w:rsidRDefault="002414C0">
      <w:pPr>
        <w:pStyle w:val="Zkladntext1"/>
        <w:framePr w:w="3072" w:h="989" w:hRule="exact" w:wrap="none" w:vAnchor="page" w:hAnchor="page" w:x="6603" w:y="710"/>
        <w:jc w:val="center"/>
      </w:pPr>
      <w:r>
        <w:rPr>
          <w:rStyle w:val="Zkladntext"/>
          <w:b/>
          <w:bCs/>
          <w:color w:val="000000"/>
        </w:rPr>
        <w:t>Most 434 01</w:t>
      </w:r>
    </w:p>
    <w:p w14:paraId="041950A9" w14:textId="7C53FD73" w:rsidR="00FB10F4" w:rsidRDefault="00FB10F4">
      <w:pPr>
        <w:pStyle w:val="Zkladntext1"/>
        <w:framePr w:w="3072" w:h="989" w:hRule="exact" w:wrap="none" w:vAnchor="page" w:hAnchor="page" w:x="6603" w:y="710"/>
        <w:spacing w:after="0"/>
        <w:jc w:val="center"/>
      </w:pPr>
    </w:p>
    <w:p w14:paraId="5A3825B4" w14:textId="77777777" w:rsidR="00FB10F4" w:rsidRDefault="002414C0">
      <w:pPr>
        <w:pStyle w:val="Nadpis20"/>
        <w:framePr w:w="9144" w:h="307" w:hRule="exact" w:wrap="none" w:vAnchor="page" w:hAnchor="page" w:x="1323" w:y="2942"/>
        <w:spacing w:after="0"/>
      </w:pPr>
      <w:bookmarkStart w:id="0" w:name="bookmark2"/>
      <w:r>
        <w:rPr>
          <w:rStyle w:val="Nadpis2"/>
          <w:b/>
          <w:bCs/>
          <w:u w:val="single"/>
        </w:rPr>
        <w:t>Smlouva:</w:t>
      </w:r>
      <w:bookmarkEnd w:id="0"/>
    </w:p>
    <w:p w14:paraId="370B6114" w14:textId="77777777" w:rsidR="00FB10F4" w:rsidRDefault="002414C0">
      <w:pPr>
        <w:pStyle w:val="Zkladntext20"/>
        <w:framePr w:wrap="none" w:vAnchor="page" w:hAnchor="page" w:x="1323" w:y="3695"/>
        <w:spacing w:after="0" w:line="240" w:lineRule="auto"/>
      </w:pPr>
      <w:proofErr w:type="spellStart"/>
      <w:proofErr w:type="gramStart"/>
      <w:r>
        <w:rPr>
          <w:rStyle w:val="Zkladntext2"/>
          <w:b/>
          <w:bCs/>
          <w:i/>
          <w:iCs/>
          <w:color w:val="000000"/>
          <w:u w:val="single"/>
        </w:rPr>
        <w:t>Čl.l</w:t>
      </w:r>
      <w:proofErr w:type="spellEnd"/>
      <w:proofErr w:type="gramEnd"/>
      <w:r>
        <w:rPr>
          <w:rStyle w:val="Zkladntext2"/>
          <w:b/>
          <w:bCs/>
          <w:i/>
          <w:iCs/>
          <w:color w:val="000000"/>
          <w:u w:val="single"/>
        </w:rPr>
        <w:t xml:space="preserve"> Předmět díla</w:t>
      </w:r>
    </w:p>
    <w:p w14:paraId="4A980B51" w14:textId="77777777" w:rsidR="00FB10F4" w:rsidRDefault="002414C0">
      <w:pPr>
        <w:pStyle w:val="Zkladntext1"/>
        <w:framePr w:w="9144" w:h="811" w:hRule="exact" w:wrap="none" w:vAnchor="page" w:hAnchor="page" w:x="1323" w:y="4339"/>
        <w:numPr>
          <w:ilvl w:val="1"/>
          <w:numId w:val="1"/>
        </w:numPr>
        <w:tabs>
          <w:tab w:val="left" w:pos="502"/>
        </w:tabs>
        <w:spacing w:after="0"/>
        <w:ind w:left="380" w:hanging="380"/>
        <w:jc w:val="both"/>
      </w:pPr>
      <w:r>
        <w:rPr>
          <w:rStyle w:val="Zkladntext"/>
          <w:color w:val="000000"/>
        </w:rPr>
        <w:t xml:space="preserve">Předmětem díla je komplexní </w:t>
      </w:r>
      <w:r>
        <w:rPr>
          <w:rStyle w:val="Zkladntext"/>
          <w:color w:val="000000"/>
        </w:rPr>
        <w:t>zajištění provozu, údržby, mazání a odborné prohlídky výtahů ve správě výše uvedené firmy v rozsahu platných norem vč. odpovědnosti za provoz a technický stav: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3422"/>
        <w:gridCol w:w="2482"/>
      </w:tblGrid>
      <w:tr w:rsidR="00FB10F4" w14:paraId="55CA129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D2D2D2"/>
            <w:vAlign w:val="bottom"/>
          </w:tcPr>
          <w:p w14:paraId="45F6EE1A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Počet výtahů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946D2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Umístění výtahu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2D2"/>
            <w:vAlign w:val="bottom"/>
          </w:tcPr>
          <w:p w14:paraId="3DBEA4EE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Cena v Kč za ks/měsíc</w:t>
            </w:r>
          </w:p>
        </w:tc>
      </w:tr>
      <w:tr w:rsidR="00FB10F4" w14:paraId="6A79308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89D79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1 ks výtahu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E0AA4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 xml:space="preserve">zimní stadion </w:t>
            </w:r>
            <w:r>
              <w:rPr>
                <w:rStyle w:val="Jin"/>
                <w:color w:val="000000"/>
                <w:sz w:val="18"/>
                <w:szCs w:val="18"/>
              </w:rPr>
              <w:t>Most-jídelní výtah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0DB2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300,00</w:t>
            </w:r>
          </w:p>
        </w:tc>
      </w:tr>
      <w:tr w:rsidR="00FB10F4" w14:paraId="70D5CC3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72366" w14:textId="77777777" w:rsidR="00FB10F4" w:rsidRDefault="00FB10F4">
            <w:pPr>
              <w:framePr w:w="7354" w:h="2299" w:wrap="none" w:vAnchor="page" w:hAnchor="page" w:x="1707" w:y="5347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5EC07" w14:textId="77777777" w:rsidR="00FB10F4" w:rsidRDefault="00FB10F4">
            <w:pPr>
              <w:framePr w:w="7354" w:h="2299" w:wrap="none" w:vAnchor="page" w:hAnchor="page" w:x="1707" w:y="5347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C9890" w14:textId="77777777" w:rsidR="00FB10F4" w:rsidRDefault="00FB10F4">
            <w:pPr>
              <w:framePr w:w="7354" w:h="2299" w:wrap="none" w:vAnchor="page" w:hAnchor="page" w:x="1707" w:y="5347"/>
              <w:rPr>
                <w:sz w:val="10"/>
                <w:szCs w:val="10"/>
              </w:rPr>
            </w:pPr>
          </w:p>
        </w:tc>
      </w:tr>
      <w:tr w:rsidR="00FB10F4" w14:paraId="4DB8BF1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83637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1 ks výtahu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4CCE6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Style w:val="Jin"/>
                <w:color w:val="000000"/>
                <w:sz w:val="18"/>
                <w:szCs w:val="18"/>
              </w:rPr>
              <w:t>CVČ -výtah</w:t>
            </w:r>
            <w:proofErr w:type="gramEnd"/>
            <w:r>
              <w:rPr>
                <w:rStyle w:val="Jin"/>
                <w:color w:val="000000"/>
                <w:sz w:val="18"/>
                <w:szCs w:val="18"/>
              </w:rPr>
              <w:t xml:space="preserve"> OH na mytí kelímků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6321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620,00</w:t>
            </w:r>
          </w:p>
        </w:tc>
      </w:tr>
      <w:tr w:rsidR="00FB10F4" w14:paraId="43A499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75727" w14:textId="77777777" w:rsidR="00FB10F4" w:rsidRDefault="00FB10F4">
            <w:pPr>
              <w:framePr w:w="7354" w:h="2299" w:wrap="none" w:vAnchor="page" w:hAnchor="page" w:x="1707" w:y="5347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75ACB" w14:textId="77777777" w:rsidR="00FB10F4" w:rsidRDefault="00FB10F4">
            <w:pPr>
              <w:framePr w:w="7354" w:h="2299" w:wrap="none" w:vAnchor="page" w:hAnchor="page" w:x="1707" w:y="5347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2FF9B" w14:textId="77777777" w:rsidR="00FB10F4" w:rsidRDefault="00FB10F4">
            <w:pPr>
              <w:framePr w:w="7354" w:h="2299" w:wrap="none" w:vAnchor="page" w:hAnchor="page" w:x="1707" w:y="5347"/>
              <w:rPr>
                <w:sz w:val="10"/>
                <w:szCs w:val="10"/>
              </w:rPr>
            </w:pPr>
          </w:p>
        </w:tc>
      </w:tr>
      <w:tr w:rsidR="00FB10F4" w14:paraId="592F4A0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AF1F3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1 ks výtahu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0C739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 xml:space="preserve">Sportovní </w:t>
            </w:r>
            <w:proofErr w:type="gramStart"/>
            <w:r>
              <w:rPr>
                <w:rStyle w:val="Jin"/>
                <w:color w:val="000000"/>
                <w:sz w:val="18"/>
                <w:szCs w:val="18"/>
              </w:rPr>
              <w:t>hala -NH</w:t>
            </w:r>
            <w:proofErr w:type="gramEnd"/>
            <w:r>
              <w:rPr>
                <w:rStyle w:val="Jin"/>
                <w:color w:val="000000"/>
                <w:sz w:val="18"/>
                <w:szCs w:val="18"/>
              </w:rPr>
              <w:t xml:space="preserve"> 500 kg/2 stanice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CEA3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300,00</w:t>
            </w:r>
          </w:p>
        </w:tc>
      </w:tr>
      <w:tr w:rsidR="00FB10F4" w14:paraId="6980BEB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7263E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1 ks výtahu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2C123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 xml:space="preserve">Sportovní hala-NH </w:t>
            </w:r>
            <w:proofErr w:type="gramStart"/>
            <w:r>
              <w:rPr>
                <w:rStyle w:val="Jin"/>
                <w:color w:val="000000"/>
                <w:sz w:val="18"/>
                <w:szCs w:val="18"/>
              </w:rPr>
              <w:t>500kg</w:t>
            </w:r>
            <w:proofErr w:type="gramEnd"/>
            <w:r>
              <w:rPr>
                <w:rStyle w:val="Jin"/>
                <w:color w:val="000000"/>
                <w:sz w:val="18"/>
                <w:szCs w:val="18"/>
              </w:rPr>
              <w:t>/3 stanice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8206D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350,00</w:t>
            </w:r>
          </w:p>
        </w:tc>
      </w:tr>
      <w:tr w:rsidR="00FB10F4" w14:paraId="75D81DD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1CA34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1 ks výtahu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6DE32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 xml:space="preserve">Sportovní hala-OT </w:t>
            </w:r>
            <w:proofErr w:type="gramStart"/>
            <w:r>
              <w:rPr>
                <w:rStyle w:val="Jin"/>
                <w:color w:val="000000"/>
                <w:sz w:val="18"/>
                <w:szCs w:val="18"/>
              </w:rPr>
              <w:t>630kg</w:t>
            </w:r>
            <w:proofErr w:type="gram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EB92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400,00</w:t>
            </w:r>
          </w:p>
        </w:tc>
      </w:tr>
      <w:tr w:rsidR="00FB10F4" w14:paraId="5A60D6C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DF78D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1 ks výtahu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EE7D0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Sportovní hala-plošina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FFB1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300,00</w:t>
            </w:r>
          </w:p>
        </w:tc>
      </w:tr>
      <w:tr w:rsidR="00FB10F4" w14:paraId="745950A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1C9A4F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8B8DD" w14:textId="77777777" w:rsidR="00FB10F4" w:rsidRDefault="00FB10F4">
            <w:pPr>
              <w:framePr w:w="7354" w:h="2299" w:wrap="none" w:vAnchor="page" w:hAnchor="page" w:x="1707" w:y="5347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F345" w14:textId="77777777" w:rsidR="00FB10F4" w:rsidRDefault="002414C0">
            <w:pPr>
              <w:pStyle w:val="Jin0"/>
              <w:framePr w:w="7354" w:h="2299" w:wrap="none" w:vAnchor="page" w:hAnchor="page" w:x="1707" w:y="5347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color w:val="000000"/>
                <w:sz w:val="18"/>
                <w:szCs w:val="18"/>
              </w:rPr>
              <w:t>2.270,00</w:t>
            </w:r>
          </w:p>
        </w:tc>
      </w:tr>
    </w:tbl>
    <w:p w14:paraId="217794B9" w14:textId="77777777" w:rsidR="00FB10F4" w:rsidRDefault="002414C0">
      <w:pPr>
        <w:pStyle w:val="Zkladntext1"/>
        <w:framePr w:w="9144" w:h="2261" w:hRule="exact" w:wrap="none" w:vAnchor="page" w:hAnchor="page" w:x="1323" w:y="7857"/>
        <w:numPr>
          <w:ilvl w:val="1"/>
          <w:numId w:val="1"/>
        </w:numPr>
        <w:tabs>
          <w:tab w:val="left" w:pos="502"/>
        </w:tabs>
      </w:pPr>
      <w:r>
        <w:rPr>
          <w:rStyle w:val="Zkladntext"/>
          <w:color w:val="000000"/>
        </w:rPr>
        <w:t>Zabezpečovat údržbu výtahu, drobné práce nutné k řádnému a bezpečnému provozu výtahu.</w:t>
      </w:r>
    </w:p>
    <w:p w14:paraId="03913B7A" w14:textId="77777777" w:rsidR="00FB10F4" w:rsidRDefault="002414C0">
      <w:pPr>
        <w:pStyle w:val="Zkladntext1"/>
        <w:framePr w:w="9144" w:h="2261" w:hRule="exact" w:wrap="none" w:vAnchor="page" w:hAnchor="page" w:x="1323" w:y="7857"/>
        <w:numPr>
          <w:ilvl w:val="1"/>
          <w:numId w:val="1"/>
        </w:numPr>
        <w:tabs>
          <w:tab w:val="left" w:pos="502"/>
        </w:tabs>
        <w:ind w:left="380" w:hanging="380"/>
      </w:pPr>
      <w:r>
        <w:rPr>
          <w:rStyle w:val="Zkladntext"/>
          <w:color w:val="000000"/>
        </w:rPr>
        <w:t>Zabezpečovat mazání výtahu dle mazacího plánu pasportu. Zabezpečovat čištění strojovny výtahu.</w:t>
      </w:r>
    </w:p>
    <w:p w14:paraId="75A3689F" w14:textId="77777777" w:rsidR="00FB10F4" w:rsidRDefault="002414C0">
      <w:pPr>
        <w:pStyle w:val="Zkladntext1"/>
        <w:framePr w:w="9144" w:h="2261" w:hRule="exact" w:wrap="none" w:vAnchor="page" w:hAnchor="page" w:x="1323" w:y="7857"/>
        <w:numPr>
          <w:ilvl w:val="1"/>
          <w:numId w:val="1"/>
        </w:numPr>
        <w:tabs>
          <w:tab w:val="left" w:pos="502"/>
        </w:tabs>
        <w:jc w:val="both"/>
      </w:pPr>
      <w:r>
        <w:rPr>
          <w:rStyle w:val="Zkladntext"/>
          <w:color w:val="000000"/>
        </w:rPr>
        <w:t xml:space="preserve">Zabezpečovat </w:t>
      </w:r>
      <w:r>
        <w:rPr>
          <w:rStyle w:val="Zkladntext"/>
          <w:color w:val="000000"/>
        </w:rPr>
        <w:t>povinnosti majitele výtahu ve smyslu platných norem.</w:t>
      </w:r>
    </w:p>
    <w:p w14:paraId="18F18989" w14:textId="77777777" w:rsidR="00FB10F4" w:rsidRDefault="002414C0">
      <w:pPr>
        <w:pStyle w:val="Zkladntext1"/>
        <w:framePr w:w="9144" w:h="2261" w:hRule="exact" w:wrap="none" w:vAnchor="page" w:hAnchor="page" w:x="1323" w:y="7857"/>
        <w:numPr>
          <w:ilvl w:val="1"/>
          <w:numId w:val="1"/>
        </w:numPr>
        <w:tabs>
          <w:tab w:val="left" w:pos="502"/>
        </w:tabs>
        <w:spacing w:after="0"/>
        <w:ind w:left="380" w:hanging="380"/>
      </w:pPr>
      <w:r>
        <w:rPr>
          <w:rStyle w:val="Zkladntext"/>
          <w:color w:val="000000"/>
        </w:rPr>
        <w:t>Odstraňování poruchy, která byla příčinou zastavení výtahu, bude provedeno do 2 hodin od nahlášení. Větší opravy (pohon, zdemolované dveře atd.) maximálně do 24 hodin, i</w:t>
      </w:r>
    </w:p>
    <w:p w14:paraId="0536044C" w14:textId="77777777" w:rsidR="00FB10F4" w:rsidRDefault="002414C0">
      <w:pPr>
        <w:pStyle w:val="Zkladntext1"/>
        <w:framePr w:w="9144" w:h="1723" w:hRule="exact" w:wrap="none" w:vAnchor="page" w:hAnchor="page" w:x="1323" w:y="10511"/>
        <w:numPr>
          <w:ilvl w:val="1"/>
          <w:numId w:val="1"/>
        </w:numPr>
        <w:tabs>
          <w:tab w:val="left" w:pos="502"/>
        </w:tabs>
        <w:jc w:val="both"/>
      </w:pPr>
      <w:r>
        <w:rPr>
          <w:rStyle w:val="Zkladntext"/>
          <w:color w:val="000000"/>
        </w:rPr>
        <w:t xml:space="preserve">Zabezpečovat odborné </w:t>
      </w:r>
      <w:r>
        <w:rPr>
          <w:rStyle w:val="Zkladntext"/>
          <w:color w:val="000000"/>
        </w:rPr>
        <w:t>prohlídky ve smyslu platných norem v předepsaných lhůtách a termínech.</w:t>
      </w:r>
    </w:p>
    <w:p w14:paraId="044F7B94" w14:textId="77777777" w:rsidR="00FB10F4" w:rsidRDefault="002414C0">
      <w:pPr>
        <w:pStyle w:val="Zkladntext1"/>
        <w:framePr w:w="9144" w:h="1723" w:hRule="exact" w:wrap="none" w:vAnchor="page" w:hAnchor="page" w:x="1323" w:y="10511"/>
        <w:numPr>
          <w:ilvl w:val="1"/>
          <w:numId w:val="1"/>
        </w:numPr>
        <w:tabs>
          <w:tab w:val="left" w:pos="502"/>
        </w:tabs>
        <w:jc w:val="both"/>
      </w:pPr>
      <w:r>
        <w:rPr>
          <w:rStyle w:val="Zkladntext"/>
          <w:color w:val="000000"/>
        </w:rPr>
        <w:t>Zabezpečovat pohotovostní službu včetně sobot, nedělí a svátků, která je v paušální ceně výtahu.</w:t>
      </w:r>
    </w:p>
    <w:p w14:paraId="7844976E" w14:textId="77777777" w:rsidR="00FB10F4" w:rsidRDefault="002414C0">
      <w:pPr>
        <w:pStyle w:val="Zkladntext1"/>
        <w:framePr w:w="9144" w:h="1723" w:hRule="exact" w:wrap="none" w:vAnchor="page" w:hAnchor="page" w:x="1323" w:y="10511"/>
        <w:numPr>
          <w:ilvl w:val="1"/>
          <w:numId w:val="1"/>
        </w:numPr>
        <w:tabs>
          <w:tab w:val="left" w:pos="502"/>
        </w:tabs>
        <w:jc w:val="both"/>
      </w:pPr>
      <w:r>
        <w:rPr>
          <w:rStyle w:val="Zkladntext"/>
          <w:color w:val="000000"/>
        </w:rPr>
        <w:t>Zabezpečovat odborné zkoušky ve smyslu platných norem v předepsaných lhůtách a termínech.</w:t>
      </w:r>
    </w:p>
    <w:p w14:paraId="7A725FC7" w14:textId="77777777" w:rsidR="00FB10F4" w:rsidRDefault="002414C0">
      <w:pPr>
        <w:pStyle w:val="Zkladntext1"/>
        <w:framePr w:w="9144" w:h="1723" w:hRule="exact" w:wrap="none" w:vAnchor="page" w:hAnchor="page" w:x="1323" w:y="10511"/>
        <w:numPr>
          <w:ilvl w:val="1"/>
          <w:numId w:val="1"/>
        </w:numPr>
        <w:tabs>
          <w:tab w:val="left" w:pos="502"/>
        </w:tabs>
        <w:spacing w:after="0"/>
        <w:jc w:val="both"/>
      </w:pPr>
      <w:r>
        <w:rPr>
          <w:rStyle w:val="Zkladntext"/>
          <w:color w:val="000000"/>
        </w:rPr>
        <w:t>Zabezpečit inspekční prohlídky výtahů.</w:t>
      </w:r>
    </w:p>
    <w:p w14:paraId="10D14936" w14:textId="2C122ECF" w:rsidR="00FB10F4" w:rsidRDefault="002414C0">
      <w:pPr>
        <w:pStyle w:val="Nadpis20"/>
        <w:framePr w:w="9144" w:h="312" w:hRule="exact" w:wrap="none" w:vAnchor="page" w:hAnchor="page" w:x="1323" w:y="12979"/>
        <w:spacing w:after="0"/>
      </w:pPr>
      <w:bookmarkStart w:id="1" w:name="bookmark4"/>
      <w:r>
        <w:rPr>
          <w:rStyle w:val="Nadpis2"/>
          <w:b/>
          <w:bCs/>
        </w:rPr>
        <w:t xml:space="preserve">číslo dispečinku: linka zdarma: </w:t>
      </w:r>
      <w:bookmarkEnd w:id="1"/>
      <w:proofErr w:type="spellStart"/>
      <w:r>
        <w:rPr>
          <w:rStyle w:val="Nadpis2"/>
          <w:b/>
          <w:bCs/>
        </w:rPr>
        <w:t>xxx</w:t>
      </w:r>
      <w:proofErr w:type="spellEnd"/>
    </w:p>
    <w:p w14:paraId="47F25018" w14:textId="77777777" w:rsidR="00FB10F4" w:rsidRDefault="00FB10F4">
      <w:pPr>
        <w:spacing w:line="1" w:lineRule="exact"/>
        <w:sectPr w:rsidR="00FB10F4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F77A64" w14:textId="77777777" w:rsidR="00FB10F4" w:rsidRDefault="00FB10F4">
      <w:pPr>
        <w:spacing w:line="1" w:lineRule="exact"/>
      </w:pPr>
    </w:p>
    <w:p w14:paraId="2A615A4B" w14:textId="7C1F5100" w:rsidR="00FB10F4" w:rsidRDefault="00FB10F4" w:rsidP="002414C0">
      <w:pPr>
        <w:pStyle w:val="Nadpis10"/>
        <w:framePr w:w="3322" w:h="1013" w:hRule="exact" w:wrap="none" w:vAnchor="page" w:hAnchor="page" w:x="1524" w:y="714"/>
      </w:pPr>
    </w:p>
    <w:p w14:paraId="73D1BB38" w14:textId="77777777" w:rsidR="00FB10F4" w:rsidRDefault="002414C0">
      <w:pPr>
        <w:pStyle w:val="Zkladntext1"/>
        <w:framePr w:w="3096" w:h="509" w:hRule="exact" w:wrap="none" w:vAnchor="page" w:hAnchor="page" w:x="6655" w:y="733"/>
        <w:spacing w:after="0"/>
        <w:jc w:val="center"/>
      </w:pPr>
      <w:r>
        <w:rPr>
          <w:rStyle w:val="Zkladntext"/>
          <w:b/>
          <w:bCs/>
        </w:rPr>
        <w:t>P</w:t>
      </w:r>
      <w:r>
        <w:rPr>
          <w:rStyle w:val="Zkladntext"/>
          <w:b/>
          <w:bCs/>
        </w:rPr>
        <w:t>ionýrů 1501</w:t>
      </w:r>
    </w:p>
    <w:p w14:paraId="50085A97" w14:textId="77777777" w:rsidR="00FB10F4" w:rsidRDefault="002414C0">
      <w:pPr>
        <w:pStyle w:val="Zkladntext1"/>
        <w:framePr w:w="3096" w:h="509" w:hRule="exact" w:wrap="none" w:vAnchor="page" w:hAnchor="page" w:x="6655" w:y="733"/>
        <w:spacing w:after="0"/>
        <w:jc w:val="center"/>
      </w:pPr>
      <w:r>
        <w:rPr>
          <w:rStyle w:val="Zkladntext"/>
          <w:b/>
          <w:bCs/>
        </w:rPr>
        <w:t>Most 434 01</w:t>
      </w:r>
    </w:p>
    <w:p w14:paraId="6B882772" w14:textId="7FF5194D" w:rsidR="00FB10F4" w:rsidRDefault="00FB10F4">
      <w:pPr>
        <w:pStyle w:val="Zkladntext1"/>
        <w:framePr w:w="3096" w:h="269" w:hRule="exact" w:wrap="none" w:vAnchor="page" w:hAnchor="page" w:x="6655" w:y="1458"/>
        <w:spacing w:after="0"/>
        <w:jc w:val="center"/>
      </w:pPr>
    </w:p>
    <w:p w14:paraId="615E4363" w14:textId="77777777" w:rsidR="00FB10F4" w:rsidRDefault="002414C0">
      <w:pPr>
        <w:pStyle w:val="Zkladntext20"/>
        <w:framePr w:wrap="none" w:vAnchor="page" w:hAnchor="page" w:x="1351" w:y="4299"/>
        <w:spacing w:after="0" w:line="240" w:lineRule="auto"/>
        <w:jc w:val="both"/>
      </w:pPr>
      <w:r>
        <w:rPr>
          <w:rStyle w:val="Zkladntext2"/>
          <w:b/>
          <w:bCs/>
          <w:i/>
          <w:iCs/>
          <w:u w:val="single"/>
        </w:rPr>
        <w:t>Či.2 Cena a způsob fakturace</w:t>
      </w:r>
    </w:p>
    <w:p w14:paraId="784C1A48" w14:textId="77777777" w:rsidR="00FB10F4" w:rsidRDefault="002414C0">
      <w:pPr>
        <w:pStyle w:val="Zkladntext1"/>
        <w:framePr w:w="9216" w:h="811" w:hRule="exact" w:wrap="none" w:vAnchor="page" w:hAnchor="page" w:x="1351" w:y="4986"/>
        <w:numPr>
          <w:ilvl w:val="1"/>
          <w:numId w:val="2"/>
        </w:numPr>
        <w:tabs>
          <w:tab w:val="left" w:pos="482"/>
        </w:tabs>
        <w:jc w:val="both"/>
      </w:pPr>
      <w:r>
        <w:rPr>
          <w:rStyle w:val="Zkladntext"/>
        </w:rPr>
        <w:t>Zhotovitel a objednavatel se na základě Zák.č.256/1990 Sb. 0 cenách, dohodli na</w:t>
      </w:r>
    </w:p>
    <w:p w14:paraId="1A993CE3" w14:textId="77777777" w:rsidR="00FB10F4" w:rsidRDefault="002414C0">
      <w:pPr>
        <w:pStyle w:val="Zkladntext1"/>
        <w:framePr w:w="9216" w:h="811" w:hRule="exact" w:wrap="none" w:vAnchor="page" w:hAnchor="page" w:x="1351" w:y="4986"/>
        <w:spacing w:after="0"/>
        <w:ind w:firstLine="360"/>
        <w:jc w:val="both"/>
      </w:pPr>
      <w:r>
        <w:rPr>
          <w:rStyle w:val="Zkladntext"/>
        </w:rPr>
        <w:t xml:space="preserve">• Celkem paušální ceně za výtahy včetně </w:t>
      </w:r>
      <w:proofErr w:type="spellStart"/>
      <w:proofErr w:type="gramStart"/>
      <w:r>
        <w:rPr>
          <w:rStyle w:val="Zkladntext"/>
        </w:rPr>
        <w:t>tel.karty</w:t>
      </w:r>
      <w:proofErr w:type="spellEnd"/>
      <w:proofErr w:type="gramEnd"/>
      <w:r>
        <w:rPr>
          <w:rStyle w:val="Zkladntext"/>
        </w:rPr>
        <w:t xml:space="preserve"> 2.270,00 </w:t>
      </w:r>
      <w:proofErr w:type="spellStart"/>
      <w:r>
        <w:rPr>
          <w:rStyle w:val="Zkladntext"/>
        </w:rPr>
        <w:t>Kč+DPH</w:t>
      </w:r>
      <w:proofErr w:type="spellEnd"/>
      <w:r>
        <w:rPr>
          <w:rStyle w:val="Zkladntext"/>
        </w:rPr>
        <w:t xml:space="preserve"> za měsíc</w:t>
      </w:r>
    </w:p>
    <w:p w14:paraId="03C18658" w14:textId="77777777" w:rsidR="00FB10F4" w:rsidRDefault="002414C0">
      <w:pPr>
        <w:pStyle w:val="Zkladntext1"/>
        <w:framePr w:wrap="none" w:vAnchor="page" w:hAnchor="page" w:x="1351" w:y="6488"/>
        <w:numPr>
          <w:ilvl w:val="1"/>
          <w:numId w:val="2"/>
        </w:numPr>
        <w:tabs>
          <w:tab w:val="left" w:pos="482"/>
        </w:tabs>
        <w:spacing w:after="0"/>
        <w:jc w:val="both"/>
      </w:pPr>
      <w:r>
        <w:rPr>
          <w:rStyle w:val="Zkladntext"/>
        </w:rPr>
        <w:t xml:space="preserve">Za plnění povinností v této smlouvě v </w:t>
      </w:r>
      <w:proofErr w:type="gramStart"/>
      <w:r>
        <w:rPr>
          <w:rStyle w:val="Zkladntext"/>
        </w:rPr>
        <w:t>bodech :</w:t>
      </w:r>
      <w:proofErr w:type="gramEnd"/>
      <w:r>
        <w:rPr>
          <w:rStyle w:val="Zkladntext"/>
        </w:rPr>
        <w:t xml:space="preserve"> 1.1.-1.7. je stanovena </w:t>
      </w:r>
      <w:r>
        <w:rPr>
          <w:rStyle w:val="Zkladntext"/>
          <w:b/>
          <w:bCs/>
          <w:u w:val="single"/>
        </w:rPr>
        <w:t>čtvrtletní/</w:t>
      </w:r>
      <w:r>
        <w:rPr>
          <w:rStyle w:val="Zkladntext"/>
        </w:rPr>
        <w:t>měsíční</w:t>
      </w:r>
    </w:p>
    <w:p w14:paraId="324B8216" w14:textId="77777777" w:rsidR="00FB10F4" w:rsidRDefault="002414C0">
      <w:pPr>
        <w:pStyle w:val="Zkladntext1"/>
        <w:framePr w:w="9216" w:h="528" w:hRule="exact" w:wrap="none" w:vAnchor="page" w:hAnchor="page" w:x="1351" w:y="7213"/>
        <w:numPr>
          <w:ilvl w:val="0"/>
          <w:numId w:val="3"/>
        </w:numPr>
        <w:tabs>
          <w:tab w:val="left" w:pos="710"/>
          <w:tab w:val="left" w:pos="3504"/>
        </w:tabs>
        <w:spacing w:after="0"/>
        <w:ind w:firstLine="360"/>
        <w:jc w:val="both"/>
      </w:pPr>
      <w:r>
        <w:rPr>
          <w:rStyle w:val="Zkladntext"/>
        </w:rPr>
        <w:t>paušální cena</w:t>
      </w:r>
      <w:r>
        <w:rPr>
          <w:rStyle w:val="Zkladntext"/>
        </w:rPr>
        <w:tab/>
      </w:r>
      <w:r>
        <w:rPr>
          <w:rStyle w:val="Zkladntext"/>
          <w:b/>
          <w:bCs/>
        </w:rPr>
        <w:t>6.810,00+DPH</w:t>
      </w:r>
    </w:p>
    <w:p w14:paraId="15CA4E9A" w14:textId="77777777" w:rsidR="00FB10F4" w:rsidRDefault="002414C0">
      <w:pPr>
        <w:pStyle w:val="Zkladntext1"/>
        <w:framePr w:w="9216" w:h="528" w:hRule="exact" w:wrap="none" w:vAnchor="page" w:hAnchor="page" w:x="1351" w:y="7213"/>
        <w:numPr>
          <w:ilvl w:val="0"/>
          <w:numId w:val="3"/>
        </w:numPr>
        <w:tabs>
          <w:tab w:val="left" w:pos="710"/>
        </w:tabs>
        <w:spacing w:after="0"/>
        <w:ind w:firstLine="360"/>
        <w:jc w:val="both"/>
      </w:pPr>
      <w:r>
        <w:rPr>
          <w:rStyle w:val="Zkladntext"/>
          <w:b/>
          <w:bCs/>
        </w:rPr>
        <w:t>Paušál je včetně dopravy a zajištění havarijního dispečinku pro výtahy!!!</w:t>
      </w:r>
    </w:p>
    <w:p w14:paraId="0D361DCD" w14:textId="77777777" w:rsidR="00FB10F4" w:rsidRDefault="002414C0">
      <w:pPr>
        <w:pStyle w:val="Zkladntext30"/>
        <w:framePr w:w="9216" w:h="5314" w:hRule="exact" w:wrap="none" w:vAnchor="page" w:hAnchor="page" w:x="1351" w:y="8192"/>
        <w:numPr>
          <w:ilvl w:val="1"/>
          <w:numId w:val="4"/>
        </w:numPr>
        <w:tabs>
          <w:tab w:val="left" w:pos="549"/>
        </w:tabs>
        <w:jc w:val="both"/>
      </w:pPr>
      <w:r>
        <w:rPr>
          <w:rStyle w:val="Zkladntext3"/>
          <w:b/>
          <w:bCs/>
          <w:i/>
          <w:iCs/>
        </w:rPr>
        <w:t xml:space="preserve">Samostatně budou fakturovány součástí a náhradní díly, jejichž jednotková cena přesahuje částku </w:t>
      </w:r>
      <w:proofErr w:type="gramStart"/>
      <w:r>
        <w:rPr>
          <w:rStyle w:val="Zkladntext3"/>
          <w:b/>
          <w:bCs/>
          <w:i/>
          <w:iCs/>
        </w:rPr>
        <w:t>180,OO</w:t>
      </w:r>
      <w:proofErr w:type="gramEnd"/>
      <w:r>
        <w:rPr>
          <w:rStyle w:val="Zkladntext3"/>
          <w:b/>
          <w:bCs/>
          <w:i/>
          <w:iCs/>
        </w:rPr>
        <w:t xml:space="preserve">,Kč, současně bude fakturována hodinová zúčtovací sazba 410,00Kč na pracovníka/hodinu. Náhradní díly budou fakturovány za nákupní cenu od výrobce. Materiál zničený objednavatelem bude účtován zvláštní fakturou na vrub objednavatele, (tlačítko, </w:t>
      </w:r>
      <w:proofErr w:type="spellStart"/>
      <w:proofErr w:type="gramStart"/>
      <w:r>
        <w:rPr>
          <w:rStyle w:val="Zkladntext3"/>
          <w:b/>
          <w:bCs/>
          <w:i/>
          <w:iCs/>
        </w:rPr>
        <w:t>světlo,dveře</w:t>
      </w:r>
      <w:proofErr w:type="gramEnd"/>
      <w:r>
        <w:rPr>
          <w:rStyle w:val="Zkladntext3"/>
          <w:b/>
          <w:bCs/>
          <w:i/>
          <w:iCs/>
        </w:rPr>
        <w:t>,apod</w:t>
      </w:r>
      <w:proofErr w:type="spellEnd"/>
      <w:r>
        <w:rPr>
          <w:rStyle w:val="Zkladntext3"/>
          <w:b/>
          <w:bCs/>
          <w:i/>
          <w:iCs/>
        </w:rPr>
        <w:t>.) Dále budou fakturovány samostatně odborné zkoušky a inspekční prohlídky výtahů, které proběhnout dle platných norem.</w:t>
      </w:r>
    </w:p>
    <w:p w14:paraId="7021E942" w14:textId="77777777" w:rsidR="00FB10F4" w:rsidRDefault="002414C0">
      <w:pPr>
        <w:pStyle w:val="Zkladntext1"/>
        <w:framePr w:w="9216" w:h="5314" w:hRule="exact" w:wrap="none" w:vAnchor="page" w:hAnchor="page" w:x="1351" w:y="8192"/>
        <w:numPr>
          <w:ilvl w:val="1"/>
          <w:numId w:val="4"/>
        </w:numPr>
        <w:tabs>
          <w:tab w:val="left" w:pos="491"/>
        </w:tabs>
        <w:spacing w:after="100"/>
        <w:jc w:val="both"/>
      </w:pPr>
      <w:r>
        <w:rPr>
          <w:rStyle w:val="Zkladntext"/>
        </w:rPr>
        <w:t xml:space="preserve">Náhradní díly pro větší opravy, tj. výměna motoru, stroje, </w:t>
      </w:r>
      <w:proofErr w:type="spellStart"/>
      <w:r>
        <w:rPr>
          <w:rStyle w:val="Zkladntext"/>
        </w:rPr>
        <w:t>trakč</w:t>
      </w:r>
      <w:proofErr w:type="spellEnd"/>
      <w:r>
        <w:rPr>
          <w:rStyle w:val="Zkladntext"/>
        </w:rPr>
        <w:t>. kola, rozvaděče, nosných orgánů, vlečných kabelů a kabiny, vymění zhotovitel po konzultací s objednavatelem.</w:t>
      </w:r>
    </w:p>
    <w:p w14:paraId="5FFE741F" w14:textId="77777777" w:rsidR="00FB10F4" w:rsidRDefault="002414C0">
      <w:pPr>
        <w:pStyle w:val="Zkladntext1"/>
        <w:framePr w:w="9216" w:h="5314" w:hRule="exact" w:wrap="none" w:vAnchor="page" w:hAnchor="page" w:x="1351" w:y="8192"/>
        <w:numPr>
          <w:ilvl w:val="1"/>
          <w:numId w:val="4"/>
        </w:numPr>
        <w:tabs>
          <w:tab w:val="left" w:pos="544"/>
        </w:tabs>
        <w:jc w:val="both"/>
      </w:pPr>
      <w:r>
        <w:rPr>
          <w:rStyle w:val="Zkladntext"/>
          <w:rFonts w:ascii="Verdana" w:eastAsia="Verdana" w:hAnsi="Verdana" w:cs="Verdana"/>
          <w:b/>
          <w:bCs/>
          <w:i/>
          <w:iCs/>
          <w:sz w:val="18"/>
          <w:szCs w:val="18"/>
        </w:rPr>
        <w:t xml:space="preserve">Faktu/^ bude vždy zhotovitel vystavovat </w:t>
      </w:r>
      <w:proofErr w:type="spellStart"/>
      <w:r>
        <w:rPr>
          <w:rStyle w:val="Zkladntext"/>
          <w:rFonts w:ascii="Verdana" w:eastAsia="Verdana" w:hAnsi="Verdana" w:cs="Verdana"/>
          <w:b/>
          <w:bCs/>
          <w:i/>
          <w:iCs/>
          <w:sz w:val="18"/>
          <w:szCs w:val="18"/>
          <w:u w:val="single"/>
        </w:rPr>
        <w:t>Ix</w:t>
      </w:r>
      <w:proofErr w:type="spellEnd"/>
      <w:r>
        <w:rPr>
          <w:rStyle w:val="Zkladntext"/>
          <w:rFonts w:ascii="Verdana" w:eastAsia="Verdana" w:hAnsi="Verdana" w:cs="Verdana"/>
          <w:b/>
          <w:bCs/>
          <w:i/>
          <w:iCs/>
          <w:sz w:val="18"/>
          <w:szCs w:val="18"/>
          <w:u w:val="single"/>
        </w:rPr>
        <w:t xml:space="preserve"> čtvrtletně</w:t>
      </w:r>
      <w:r>
        <w:rPr>
          <w:rStyle w:val="Zkladntext"/>
          <w:rFonts w:ascii="Verdana" w:eastAsia="Verdana" w:hAnsi="Verdana" w:cs="Verdana"/>
          <w:b/>
          <w:bCs/>
          <w:i/>
          <w:iCs/>
          <w:sz w:val="18"/>
          <w:szCs w:val="18"/>
        </w:rPr>
        <w:t>.</w:t>
      </w:r>
      <w:r>
        <w:rPr>
          <w:rStyle w:val="Zkladntext"/>
        </w:rPr>
        <w:t xml:space="preserve"> Faktura bude mít </w:t>
      </w:r>
      <w:proofErr w:type="gramStart"/>
      <w:r>
        <w:rPr>
          <w:rStyle w:val="Zkladntext"/>
        </w:rPr>
        <w:t>14 denní</w:t>
      </w:r>
      <w:proofErr w:type="gramEnd"/>
      <w:r>
        <w:rPr>
          <w:rStyle w:val="Zkladntext"/>
        </w:rPr>
        <w:t xml:space="preserve"> splatnost a bude obsahovat náležitosti daňového dokladu podle § 28 Zákona o DPH, pokud tomu tak nebude, je objednavatel oprávněn fakturu ve lhůtě splatnosti vrátit zpět k opravě nebo doplnění. Po doručení opravené faktury poběží nová </w:t>
      </w:r>
      <w:proofErr w:type="gramStart"/>
      <w:r>
        <w:rPr>
          <w:rStyle w:val="Zkladntext"/>
        </w:rPr>
        <w:t>14 denní</w:t>
      </w:r>
      <w:proofErr w:type="gramEnd"/>
      <w:r>
        <w:rPr>
          <w:rStyle w:val="Zkladntext"/>
        </w:rPr>
        <w:t xml:space="preserve"> lhůta splatnosti.</w:t>
      </w:r>
    </w:p>
    <w:p w14:paraId="3FB9BFE0" w14:textId="77777777" w:rsidR="00FB10F4" w:rsidRDefault="002414C0">
      <w:pPr>
        <w:pStyle w:val="Zkladntext1"/>
        <w:framePr w:w="9216" w:h="5314" w:hRule="exact" w:wrap="none" w:vAnchor="page" w:hAnchor="page" w:x="1351" w:y="8192"/>
        <w:numPr>
          <w:ilvl w:val="1"/>
          <w:numId w:val="4"/>
        </w:numPr>
        <w:tabs>
          <w:tab w:val="left" w:pos="486"/>
        </w:tabs>
        <w:jc w:val="both"/>
      </w:pPr>
      <w:r>
        <w:rPr>
          <w:rStyle w:val="Zkladntext"/>
        </w:rPr>
        <w:t xml:space="preserve">Smluvní strany se dohodly, že paušální cena se každoročně může upravit o výši indexu spotřebitelských cen/index cen </w:t>
      </w:r>
      <w:proofErr w:type="gramStart"/>
      <w:r>
        <w:rPr>
          <w:rStyle w:val="Zkladntext"/>
        </w:rPr>
        <w:t>výrobců.(</w:t>
      </w:r>
      <w:proofErr w:type="gramEnd"/>
      <w:r>
        <w:rPr>
          <w:rStyle w:val="Zkladntext"/>
        </w:rPr>
        <w:t>inflace) za předchozí rok publikovaný Českým statistickým úřadem(/pouze směrem nahoru). Takto změněná cena bude zhotovitelem fakturována od následujícího měsíce po oficiálním zveřejnění míry inflace ČSÚ.</w:t>
      </w:r>
    </w:p>
    <w:p w14:paraId="5402BC75" w14:textId="77777777" w:rsidR="00FB10F4" w:rsidRDefault="002414C0">
      <w:pPr>
        <w:pStyle w:val="Zkladntext1"/>
        <w:framePr w:w="9216" w:h="5314" w:hRule="exact" w:wrap="none" w:vAnchor="page" w:hAnchor="page" w:x="1351" w:y="8192"/>
        <w:numPr>
          <w:ilvl w:val="1"/>
          <w:numId w:val="4"/>
        </w:numPr>
        <w:tabs>
          <w:tab w:val="left" w:pos="482"/>
        </w:tabs>
        <w:spacing w:after="0"/>
        <w:jc w:val="both"/>
      </w:pPr>
      <w:r>
        <w:rPr>
          <w:rStyle w:val="Zkladntext"/>
        </w:rPr>
        <w:t>Zhotoviteli dle této smlouvy vzniká nárok na náhradu nákladů za zmařený výjezd pohotovostního mechanika a je oprávněn tyto náklady objednateli účtovat dle skutečnosti.</w:t>
      </w:r>
    </w:p>
    <w:p w14:paraId="0804A44E" w14:textId="77777777" w:rsidR="00FB10F4" w:rsidRDefault="00FB10F4">
      <w:pPr>
        <w:spacing w:line="1" w:lineRule="exact"/>
        <w:sectPr w:rsidR="00FB10F4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2008F9" w14:textId="77777777" w:rsidR="00FB10F4" w:rsidRDefault="00FB10F4">
      <w:pPr>
        <w:spacing w:line="1" w:lineRule="exact"/>
      </w:pPr>
    </w:p>
    <w:p w14:paraId="2904FA9F" w14:textId="5C13E21C" w:rsidR="00FB10F4" w:rsidRDefault="00FB10F4" w:rsidP="002414C0">
      <w:pPr>
        <w:pStyle w:val="Nadpis10"/>
        <w:framePr w:wrap="none" w:vAnchor="page" w:hAnchor="page" w:x="1538" w:y="694"/>
      </w:pPr>
    </w:p>
    <w:p w14:paraId="3F0F6826" w14:textId="77777777" w:rsidR="00FB10F4" w:rsidRDefault="002414C0">
      <w:pPr>
        <w:pStyle w:val="Zkladntext1"/>
        <w:framePr w:w="3077" w:h="994" w:hRule="exact" w:wrap="none" w:vAnchor="page" w:hAnchor="page" w:x="6636" w:y="714"/>
        <w:spacing w:after="40"/>
        <w:jc w:val="center"/>
      </w:pPr>
      <w:r>
        <w:rPr>
          <w:rStyle w:val="Zkladntext"/>
          <w:b/>
          <w:bCs/>
        </w:rPr>
        <w:t>Pionýrů 1501</w:t>
      </w:r>
    </w:p>
    <w:p w14:paraId="4D1B5118" w14:textId="77777777" w:rsidR="00FB10F4" w:rsidRDefault="002414C0">
      <w:pPr>
        <w:pStyle w:val="Zkladntext1"/>
        <w:framePr w:w="3077" w:h="994" w:hRule="exact" w:wrap="none" w:vAnchor="page" w:hAnchor="page" w:x="6636" w:y="714"/>
        <w:spacing w:after="280"/>
        <w:ind w:firstLine="780"/>
      </w:pPr>
      <w:r>
        <w:rPr>
          <w:rStyle w:val="Zkladntext"/>
          <w:b/>
          <w:bCs/>
        </w:rPr>
        <w:t xml:space="preserve">Most 434 01 </w:t>
      </w:r>
      <w:r>
        <w:rPr>
          <w:rStyle w:val="Zkladntext"/>
          <w:b/>
          <w:bCs/>
          <w:color w:val="646463"/>
        </w:rPr>
        <w:t>j</w:t>
      </w:r>
    </w:p>
    <w:p w14:paraId="08CAFA25" w14:textId="77777777" w:rsidR="00FB10F4" w:rsidRDefault="002414C0">
      <w:pPr>
        <w:pStyle w:val="Zkladntext20"/>
        <w:framePr w:wrap="none" w:vAnchor="page" w:hAnchor="page" w:x="1346" w:y="2821"/>
        <w:spacing w:after="0" w:line="240" w:lineRule="auto"/>
      </w:pPr>
      <w:r>
        <w:rPr>
          <w:rStyle w:val="Zkladntext2"/>
          <w:b/>
          <w:bCs/>
          <w:i/>
          <w:iCs/>
          <w:u w:val="single"/>
        </w:rPr>
        <w:t>Ó.3 Další ujednání</w:t>
      </w:r>
    </w:p>
    <w:p w14:paraId="6DEB1EED" w14:textId="77777777" w:rsidR="00FB10F4" w:rsidRDefault="002414C0">
      <w:pPr>
        <w:pStyle w:val="Zkladntext1"/>
        <w:framePr w:w="9178" w:h="581" w:hRule="exact" w:wrap="none" w:vAnchor="page" w:hAnchor="page" w:x="1346" w:y="3253"/>
        <w:numPr>
          <w:ilvl w:val="1"/>
          <w:numId w:val="5"/>
        </w:numPr>
        <w:tabs>
          <w:tab w:val="left" w:pos="462"/>
        </w:tabs>
        <w:spacing w:after="0" w:line="252" w:lineRule="auto"/>
      </w:pPr>
      <w:r>
        <w:rPr>
          <w:rStyle w:val="Zkladntext"/>
        </w:rPr>
        <w:t xml:space="preserve">Úhrada škod, které vzniknou následkem neplnění povinností jedné ze stran, se bude řídit zákonem č. 89/2012 Sb., občanský </w:t>
      </w:r>
      <w:r>
        <w:rPr>
          <w:rStyle w:val="Zkladntext"/>
        </w:rPr>
        <w:t>zákoník.</w:t>
      </w:r>
    </w:p>
    <w:p w14:paraId="700E60DB" w14:textId="77777777" w:rsidR="00FB10F4" w:rsidRDefault="002414C0">
      <w:pPr>
        <w:pStyle w:val="Zkladntext1"/>
        <w:framePr w:w="9178" w:h="749" w:hRule="exact" w:wrap="none" w:vAnchor="page" w:hAnchor="page" w:x="1346" w:y="4054"/>
        <w:numPr>
          <w:ilvl w:val="1"/>
          <w:numId w:val="5"/>
        </w:numPr>
        <w:tabs>
          <w:tab w:val="left" w:pos="458"/>
        </w:tabs>
        <w:spacing w:after="0"/>
      </w:pPr>
      <w:r>
        <w:rPr>
          <w:rStyle w:val="Zkladntext"/>
        </w:rPr>
        <w:t xml:space="preserve">Zhotovitel si vyhrazuje právo na změny cen po vzájemné dohodě a to v případech, které se musí odůvodnit (např. zvýšení míry inflace, zvýšení cen mazacích </w:t>
      </w:r>
      <w:proofErr w:type="spellStart"/>
      <w:proofErr w:type="gramStart"/>
      <w:r>
        <w:rPr>
          <w:rStyle w:val="Zkladntext"/>
        </w:rPr>
        <w:t>olejů,mazacích</w:t>
      </w:r>
      <w:proofErr w:type="spellEnd"/>
      <w:proofErr w:type="gramEnd"/>
      <w:r>
        <w:rPr>
          <w:rStyle w:val="Zkladntext"/>
        </w:rPr>
        <w:t xml:space="preserve"> tuků, pohonných hmot a pod.).</w:t>
      </w:r>
    </w:p>
    <w:p w14:paraId="72A6AE03" w14:textId="77777777" w:rsidR="00FB10F4" w:rsidRDefault="002414C0">
      <w:pPr>
        <w:pStyle w:val="Zkladntext20"/>
        <w:framePr w:w="9178" w:h="5515" w:hRule="exact" w:wrap="none" w:vAnchor="page" w:hAnchor="page" w:x="1346" w:y="5240"/>
        <w:numPr>
          <w:ilvl w:val="1"/>
          <w:numId w:val="5"/>
        </w:numPr>
        <w:tabs>
          <w:tab w:val="left" w:pos="458"/>
        </w:tabs>
        <w:jc w:val="both"/>
      </w:pPr>
      <w:r>
        <w:rPr>
          <w:rStyle w:val="Zkladntext2"/>
          <w:rFonts w:ascii="Tahoma" w:eastAsia="Tahoma" w:hAnsi="Tahoma" w:cs="Tahoma"/>
          <w:i/>
          <w:iCs/>
          <w:sz w:val="20"/>
          <w:szCs w:val="20"/>
        </w:rPr>
        <w:t xml:space="preserve">Penalizace: v případě prodlení platby o více než 21 dnů upozorní zhotovitel písemně objednatele na tuto </w:t>
      </w:r>
      <w:r>
        <w:rPr>
          <w:rStyle w:val="Zkladntext2"/>
          <w:b/>
          <w:bCs/>
          <w:i/>
          <w:iCs/>
        </w:rPr>
        <w:t>skutečnost. Pokud prodlení platby přesáhne 30 dnů. Je zhotovitel oprávněn pozastavit plnění této smlouvy, tj. provádění servisních činností, a to až do úplného splnění všech splatných pohledávek zhotovitele objednatelem. Upozornění na prodlení od zhotovitele obdrží objednatel zpravidla alespoň 5 dnů před měsícem pozastavení těchto služeb, zhotovitel je však oprávněn služby pozastavit za shora uvedených podmínek bez ohledu na to, zda objednatel obdržel uvedené upozornění. Za porušení povinnosti objednatele h</w:t>
      </w:r>
      <w:r>
        <w:rPr>
          <w:rStyle w:val="Zkladntext2"/>
          <w:b/>
          <w:bCs/>
          <w:i/>
          <w:iCs/>
        </w:rPr>
        <w:t>radit zhotoviteli dohodnuté platby rodně a včas Je objednatel povinen uhradit zhotoviteli nad rámec ujednání smluvní pokutu ve výši 0,05 % z ceny dle článku 2.2. za každý den, po který bude shora uvedená pozastávka plnění ze strany zhotovitele trvat. Ujednáním o smluvní pokutě není dotčen nárok zhotovitele na úplnou úhradu škod.</w:t>
      </w:r>
    </w:p>
    <w:p w14:paraId="7F6E9E0D" w14:textId="77777777" w:rsidR="00FB10F4" w:rsidRDefault="002414C0">
      <w:pPr>
        <w:pStyle w:val="Zkladntext1"/>
        <w:framePr w:w="9178" w:h="5515" w:hRule="exact" w:wrap="none" w:vAnchor="page" w:hAnchor="page" w:x="1346" w:y="5240"/>
        <w:numPr>
          <w:ilvl w:val="1"/>
          <w:numId w:val="5"/>
        </w:numPr>
        <w:tabs>
          <w:tab w:val="left" w:pos="458"/>
        </w:tabs>
        <w:jc w:val="both"/>
      </w:pPr>
      <w:r>
        <w:rPr>
          <w:rStyle w:val="Zkladntext"/>
        </w:rPr>
        <w:t>Zhotovitel se zavazuje k dodržování bezpečnosti práce.</w:t>
      </w:r>
    </w:p>
    <w:p w14:paraId="51B24764" w14:textId="77777777" w:rsidR="00FB10F4" w:rsidRDefault="002414C0">
      <w:pPr>
        <w:pStyle w:val="Zkladntext1"/>
        <w:framePr w:w="9178" w:h="5515" w:hRule="exact" w:wrap="none" w:vAnchor="page" w:hAnchor="page" w:x="1346" w:y="5240"/>
        <w:numPr>
          <w:ilvl w:val="1"/>
          <w:numId w:val="5"/>
        </w:numPr>
        <w:tabs>
          <w:tab w:val="left" w:pos="458"/>
        </w:tabs>
        <w:ind w:left="440" w:hanging="440"/>
      </w:pPr>
      <w:r>
        <w:rPr>
          <w:rStyle w:val="Zkladntext"/>
        </w:rPr>
        <w:t xml:space="preserve">Objednavatel má povinnost dodat zhotoviteli klíče od strojovny výtahu a klíče od vchodů </w:t>
      </w:r>
      <w:proofErr w:type="gramStart"/>
      <w:r>
        <w:rPr>
          <w:rStyle w:val="Zkladntext"/>
        </w:rPr>
        <w:t>budov</w:t>
      </w:r>
      <w:proofErr w:type="gramEnd"/>
      <w:r>
        <w:rPr>
          <w:rStyle w:val="Zkladntext"/>
        </w:rPr>
        <w:t xml:space="preserve"> a to při každé výměně zámků.</w:t>
      </w:r>
    </w:p>
    <w:p w14:paraId="3F69AC1B" w14:textId="77777777" w:rsidR="00FB10F4" w:rsidRDefault="002414C0">
      <w:pPr>
        <w:pStyle w:val="Zkladntext20"/>
        <w:framePr w:w="9178" w:h="5515" w:hRule="exact" w:wrap="none" w:vAnchor="page" w:hAnchor="page" w:x="1346" w:y="5240"/>
        <w:spacing w:line="269" w:lineRule="auto"/>
      </w:pPr>
      <w:r>
        <w:rPr>
          <w:rStyle w:val="Zkladntext2"/>
          <w:b/>
          <w:bCs/>
          <w:i/>
          <w:iCs/>
          <w:u w:val="single"/>
        </w:rPr>
        <w:t>ČI.4 Závěrečné ujednání</w:t>
      </w:r>
    </w:p>
    <w:p w14:paraId="53FC6D69" w14:textId="77777777" w:rsidR="00FB10F4" w:rsidRDefault="002414C0">
      <w:pPr>
        <w:pStyle w:val="Zkladntext1"/>
        <w:framePr w:w="9178" w:h="5515" w:hRule="exact" w:wrap="none" w:vAnchor="page" w:hAnchor="page" w:x="1346" w:y="5240"/>
        <w:numPr>
          <w:ilvl w:val="1"/>
          <w:numId w:val="6"/>
        </w:numPr>
        <w:tabs>
          <w:tab w:val="left" w:pos="462"/>
        </w:tabs>
      </w:pPr>
      <w:r>
        <w:rPr>
          <w:rStyle w:val="Zkladntext"/>
        </w:rPr>
        <w:t>Smlouva se uzavírá na dobu neurčitou. Tuto smlouvu může vypovědět kterákoliv ze smluvních stran písemně s měsíční výpovědní lhůtou, která počíná běžet první den následujícího měsíce po doručení výpovědi druhé straně.</w:t>
      </w:r>
    </w:p>
    <w:p w14:paraId="15FE3AAD" w14:textId="77777777" w:rsidR="00FB10F4" w:rsidRDefault="002414C0">
      <w:pPr>
        <w:pStyle w:val="Zkladntext1"/>
        <w:framePr w:w="9178" w:h="5515" w:hRule="exact" w:wrap="none" w:vAnchor="page" w:hAnchor="page" w:x="1346" w:y="5240"/>
        <w:numPr>
          <w:ilvl w:val="1"/>
          <w:numId w:val="6"/>
        </w:numPr>
        <w:tabs>
          <w:tab w:val="left" w:pos="462"/>
        </w:tabs>
        <w:spacing w:after="0" w:line="230" w:lineRule="auto"/>
      </w:pPr>
      <w:r>
        <w:rPr>
          <w:rStyle w:val="Zkladntext"/>
        </w:rPr>
        <w:t>Tato smlouva je vyhotovena ve třech stejnopisech, z nichž dva obdrží objednavatel a jeden zhotovitel.</w:t>
      </w:r>
    </w:p>
    <w:p w14:paraId="551DB70B" w14:textId="77777777" w:rsidR="00FB10F4" w:rsidRDefault="002414C0">
      <w:pPr>
        <w:pStyle w:val="Zkladntext1"/>
        <w:framePr w:w="9178" w:h="494" w:hRule="exact" w:wrap="none" w:vAnchor="page" w:hAnchor="page" w:x="1346" w:y="10986"/>
        <w:numPr>
          <w:ilvl w:val="1"/>
          <w:numId w:val="6"/>
        </w:numPr>
        <w:tabs>
          <w:tab w:val="left" w:pos="462"/>
          <w:tab w:val="left" w:pos="7867"/>
        </w:tabs>
        <w:spacing w:after="0" w:line="230" w:lineRule="auto"/>
      </w:pPr>
      <w:r>
        <w:rPr>
          <w:rStyle w:val="Zkladntext"/>
        </w:rPr>
        <w:t xml:space="preserve">Změny a dodatky této smlouvy jsou možné pouze písemnou formou s tím, že </w:t>
      </w:r>
      <w:proofErr w:type="spellStart"/>
      <w:r>
        <w:rPr>
          <w:rStyle w:val="Zkladntext"/>
        </w:rPr>
        <w:t>budpu</w:t>
      </w:r>
      <w:proofErr w:type="spellEnd"/>
      <w:r>
        <w:rPr>
          <w:rStyle w:val="Zkladntext"/>
        </w:rPr>
        <w:t xml:space="preserve"> projednány oběma smluvními </w:t>
      </w:r>
      <w:r>
        <w:rPr>
          <w:rStyle w:val="Zkladntext"/>
        </w:rPr>
        <w:t>stranami.</w:t>
      </w:r>
      <w:r>
        <w:rPr>
          <w:rStyle w:val="Zkladntext"/>
        </w:rPr>
        <w:tab/>
        <w:t>'</w:t>
      </w:r>
    </w:p>
    <w:p w14:paraId="700403AD" w14:textId="77777777" w:rsidR="00FB10F4" w:rsidRDefault="002414C0">
      <w:pPr>
        <w:pStyle w:val="Zkladntext1"/>
        <w:framePr w:w="9178" w:h="509" w:hRule="exact" w:wrap="none" w:vAnchor="page" w:hAnchor="page" w:x="1346" w:y="11710"/>
        <w:numPr>
          <w:ilvl w:val="1"/>
          <w:numId w:val="6"/>
        </w:numPr>
        <w:tabs>
          <w:tab w:val="left" w:pos="462"/>
          <w:tab w:val="left" w:pos="7867"/>
        </w:tabs>
        <w:spacing w:after="0"/>
      </w:pPr>
      <w:r>
        <w:rPr>
          <w:rStyle w:val="Zkladntext"/>
        </w:rPr>
        <w:t>Touto smlouvou se zcela zrušuje jakákoliv smlouva se stejným či podobným předmětem a tato smlouva ji zcela nahrazuje.</w:t>
      </w:r>
      <w:r>
        <w:rPr>
          <w:rStyle w:val="Zkladntext"/>
        </w:rPr>
        <w:tab/>
        <w:t>i</w:t>
      </w:r>
    </w:p>
    <w:p w14:paraId="650DE627" w14:textId="77777777" w:rsidR="00FB10F4" w:rsidRDefault="002414C0">
      <w:pPr>
        <w:pStyle w:val="Titulekobrzku0"/>
        <w:framePr w:wrap="none" w:vAnchor="page" w:hAnchor="page" w:x="1346" w:y="12430"/>
      </w:pPr>
      <w:r>
        <w:rPr>
          <w:rStyle w:val="Titulekobrzku"/>
        </w:rPr>
        <w:t>4.5. Smlouva nabývá účinnosti</w:t>
      </w:r>
    </w:p>
    <w:p w14:paraId="61434BFE" w14:textId="2C86EEC3" w:rsidR="00FB10F4" w:rsidRDefault="002414C0">
      <w:pPr>
        <w:pStyle w:val="Titulekobrzku0"/>
        <w:framePr w:wrap="none" w:vAnchor="page" w:hAnchor="page" w:x="1346" w:y="12920"/>
      </w:pPr>
      <w:r>
        <w:rPr>
          <w:rStyle w:val="Titulekobrzku"/>
        </w:rPr>
        <w:t xml:space="preserve">V Mostě dne: </w:t>
      </w:r>
    </w:p>
    <w:p w14:paraId="6DC749B4" w14:textId="77777777" w:rsidR="00FB10F4" w:rsidRDefault="002414C0">
      <w:pPr>
        <w:pStyle w:val="Titulekobrzku0"/>
        <w:framePr w:wrap="none" w:vAnchor="page" w:hAnchor="page" w:x="4696" w:y="12435"/>
        <w:ind w:left="24"/>
      </w:pPr>
      <w:r>
        <w:rPr>
          <w:rStyle w:val="Titulekobrzku"/>
        </w:rPr>
        <w:t>.7.2024</w:t>
      </w:r>
    </w:p>
    <w:p w14:paraId="116376F4" w14:textId="390C6C1C" w:rsidR="00FB10F4" w:rsidRDefault="00FB10F4" w:rsidP="002414C0">
      <w:pPr>
        <w:pStyle w:val="Titulekobrzku0"/>
        <w:framePr w:w="461" w:h="106" w:hRule="exact" w:wrap="none" w:vAnchor="page" w:hAnchor="page" w:x="5642" w:y="13894"/>
        <w:rPr>
          <w:sz w:val="10"/>
          <w:szCs w:val="10"/>
        </w:rPr>
      </w:pPr>
    </w:p>
    <w:p w14:paraId="2FD72C28" w14:textId="3A37FAD5" w:rsidR="00FB10F4" w:rsidRDefault="00FB10F4">
      <w:pPr>
        <w:pStyle w:val="Titulekobrzku0"/>
        <w:framePr w:wrap="none" w:vAnchor="page" w:hAnchor="page" w:x="5364" w:y="14038"/>
        <w:rPr>
          <w:sz w:val="10"/>
          <w:szCs w:val="10"/>
        </w:rPr>
      </w:pPr>
    </w:p>
    <w:p w14:paraId="7D2BE9C6" w14:textId="2EE57F1C" w:rsidR="00FB10F4" w:rsidRDefault="00FB10F4" w:rsidP="002414C0">
      <w:pPr>
        <w:pStyle w:val="Titulekobrzku0"/>
        <w:framePr w:w="365" w:h="437" w:hRule="exact" w:wrap="none" w:vAnchor="page" w:hAnchor="page" w:x="5738" w:y="13280"/>
        <w:spacing w:after="60"/>
        <w:rPr>
          <w:sz w:val="15"/>
          <w:szCs w:val="15"/>
        </w:rPr>
      </w:pPr>
    </w:p>
    <w:p w14:paraId="18B4516F" w14:textId="77777777" w:rsidR="00FB10F4" w:rsidRDefault="00FB10F4">
      <w:pPr>
        <w:spacing w:line="1" w:lineRule="exact"/>
      </w:pPr>
    </w:p>
    <w:sectPr w:rsidR="00FB10F4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D818" w14:textId="77777777" w:rsidR="002414C0" w:rsidRDefault="002414C0">
      <w:r>
        <w:separator/>
      </w:r>
    </w:p>
  </w:endnote>
  <w:endnote w:type="continuationSeparator" w:id="0">
    <w:p w14:paraId="1B3BBEED" w14:textId="77777777" w:rsidR="002414C0" w:rsidRDefault="0024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E201" w14:textId="77777777" w:rsidR="00FB10F4" w:rsidRDefault="00FB10F4"/>
  </w:footnote>
  <w:footnote w:type="continuationSeparator" w:id="0">
    <w:p w14:paraId="5B3EE722" w14:textId="77777777" w:rsidR="00FB10F4" w:rsidRDefault="00FB10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0C56"/>
    <w:multiLevelType w:val="multilevel"/>
    <w:tmpl w:val="DD3CFC2C"/>
    <w:lvl w:ilvl="0">
      <w:start w:val="1"/>
      <w:numFmt w:val="bullet"/>
      <w:lvlText w:val="•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5252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91A02"/>
    <w:multiLevelType w:val="multilevel"/>
    <w:tmpl w:val="FE326D2C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96A8B"/>
    <w:multiLevelType w:val="multilevel"/>
    <w:tmpl w:val="64EAD34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C57ADD"/>
    <w:multiLevelType w:val="multilevel"/>
    <w:tmpl w:val="6E982F5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836243"/>
    <w:multiLevelType w:val="multilevel"/>
    <w:tmpl w:val="D072448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A12388"/>
    <w:multiLevelType w:val="multilevel"/>
    <w:tmpl w:val="9AA429C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2732659">
    <w:abstractNumId w:val="5"/>
  </w:num>
  <w:num w:numId="2" w16cid:durableId="633340414">
    <w:abstractNumId w:val="3"/>
  </w:num>
  <w:num w:numId="3" w16cid:durableId="1566455431">
    <w:abstractNumId w:val="0"/>
  </w:num>
  <w:num w:numId="4" w16cid:durableId="818503134">
    <w:abstractNumId w:val="1"/>
  </w:num>
  <w:num w:numId="5" w16cid:durableId="1579287478">
    <w:abstractNumId w:val="4"/>
  </w:num>
  <w:num w:numId="6" w16cid:durableId="45595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F4"/>
    <w:rsid w:val="002414C0"/>
    <w:rsid w:val="00FB10F4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3DBE"/>
  <w15:docId w15:val="{B2D9596C-9539-4A8C-9339-E64438E1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color w:val="646463"/>
      <w:sz w:val="52"/>
      <w:szCs w:val="5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252525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52525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color w:val="252525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52525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646463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/>
      <w:iCs/>
      <w:smallCaps w:val="0"/>
      <w:strike w:val="0"/>
      <w:color w:val="252525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color w:val="252525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52525"/>
      <w:sz w:val="20"/>
      <w:szCs w:val="20"/>
      <w:u w:val="none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b/>
      <w:bCs/>
      <w:color w:val="646463"/>
      <w:sz w:val="52"/>
      <w:szCs w:val="52"/>
    </w:rPr>
  </w:style>
  <w:style w:type="paragraph" w:customStyle="1" w:styleId="Zkladntext40">
    <w:name w:val="Základní text (4)"/>
    <w:basedOn w:val="Normln"/>
    <w:link w:val="Zkladntext4"/>
    <w:pPr>
      <w:spacing w:line="209" w:lineRule="auto"/>
    </w:pPr>
    <w:rPr>
      <w:rFonts w:ascii="Arial" w:eastAsia="Arial" w:hAnsi="Arial" w:cs="Arial"/>
      <w:b/>
      <w:bCs/>
      <w:color w:val="252525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Tahoma" w:eastAsia="Tahoma" w:hAnsi="Tahoma" w:cs="Tahoma"/>
      <w:color w:val="252525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after="840"/>
      <w:jc w:val="center"/>
    </w:pPr>
    <w:rPr>
      <w:rFonts w:ascii="Tahoma" w:eastAsia="Tahoma" w:hAnsi="Tahoma" w:cs="Tahoma"/>
      <w:b/>
      <w:bCs/>
      <w:color w:val="252525"/>
      <w:sz w:val="18"/>
      <w:szCs w:val="18"/>
    </w:rPr>
  </w:style>
  <w:style w:type="paragraph" w:customStyle="1" w:styleId="Jin0">
    <w:name w:val="Jiné"/>
    <w:basedOn w:val="Normln"/>
    <w:link w:val="Jin"/>
    <w:pPr>
      <w:spacing w:after="220"/>
    </w:pPr>
    <w:rPr>
      <w:rFonts w:ascii="Tahoma" w:eastAsia="Tahoma" w:hAnsi="Tahoma" w:cs="Tahoma"/>
      <w:color w:val="252525"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color w:val="646463"/>
      <w:sz w:val="52"/>
      <w:szCs w:val="52"/>
    </w:rPr>
  </w:style>
  <w:style w:type="paragraph" w:customStyle="1" w:styleId="Nadpis20">
    <w:name w:val="Nadpis #2"/>
    <w:basedOn w:val="Normln"/>
    <w:link w:val="Nadpis2"/>
    <w:pPr>
      <w:spacing w:after="350"/>
      <w:jc w:val="center"/>
      <w:outlineLvl w:val="1"/>
    </w:pPr>
    <w:rPr>
      <w:rFonts w:ascii="Tahoma" w:eastAsia="Tahoma" w:hAnsi="Tahoma" w:cs="Tahoma"/>
      <w:b/>
      <w:bCs/>
    </w:rPr>
  </w:style>
  <w:style w:type="paragraph" w:customStyle="1" w:styleId="Zkladntext20">
    <w:name w:val="Základní text (2)"/>
    <w:basedOn w:val="Normln"/>
    <w:link w:val="Zkladntext2"/>
    <w:pPr>
      <w:spacing w:after="220" w:line="264" w:lineRule="auto"/>
    </w:pPr>
    <w:rPr>
      <w:rFonts w:ascii="Verdana" w:eastAsia="Verdana" w:hAnsi="Verdana" w:cs="Verdana"/>
      <w:b/>
      <w:bCs/>
      <w:i/>
      <w:iCs/>
      <w:color w:val="252525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100" w:line="264" w:lineRule="auto"/>
    </w:pPr>
    <w:rPr>
      <w:rFonts w:ascii="Verdana" w:eastAsia="Verdana" w:hAnsi="Verdana" w:cs="Verdana"/>
      <w:b/>
      <w:bCs/>
      <w:i/>
      <w:iCs/>
      <w:color w:val="252525"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Tahoma" w:eastAsia="Tahoma" w:hAnsi="Tahoma" w:cs="Tahoma"/>
      <w:color w:val="252525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414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S25C-0i24080208310</dc:title>
  <dc:subject/>
  <dc:creator/>
  <cp:keywords/>
  <cp:lastModifiedBy>Petr Formánek</cp:lastModifiedBy>
  <cp:revision>2</cp:revision>
  <dcterms:created xsi:type="dcterms:W3CDTF">2024-08-02T11:05:00Z</dcterms:created>
  <dcterms:modified xsi:type="dcterms:W3CDTF">2024-08-02T11:12:00Z</dcterms:modified>
</cp:coreProperties>
</file>