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3C9E" w14:textId="77777777" w:rsidR="0062229C" w:rsidRPr="004E4F45" w:rsidRDefault="00385FB6" w:rsidP="0038631A">
      <w:pPr>
        <w:widowControl w:val="0"/>
        <w:autoSpaceDE w:val="0"/>
        <w:autoSpaceDN w:val="0"/>
        <w:adjustRightInd w:val="0"/>
        <w:spacing w:before="360" w:after="120" w:line="240" w:lineRule="auto"/>
        <w:jc w:val="center"/>
        <w:outlineLvl w:val="0"/>
        <w:rPr>
          <w:rFonts w:eastAsia="Times New Roman" w:cstheme="minorHAnsi"/>
          <w:b/>
          <w:bCs/>
          <w:caps/>
          <w:color w:val="000000"/>
          <w:sz w:val="28"/>
          <w:szCs w:val="36"/>
          <w:lang w:eastAsia="cs-CZ"/>
        </w:rPr>
      </w:pPr>
      <w:r w:rsidRPr="004E4F45">
        <w:rPr>
          <w:rFonts w:eastAsia="Times New Roman" w:cstheme="minorHAnsi"/>
          <w:b/>
          <w:bCs/>
          <w:caps/>
          <w:color w:val="000000"/>
          <w:sz w:val="28"/>
          <w:szCs w:val="36"/>
          <w:lang w:eastAsia="cs-CZ"/>
        </w:rPr>
        <w:t>Rámcová dohoda na právní služby</w:t>
      </w:r>
    </w:p>
    <w:p w14:paraId="693129CD" w14:textId="77777777" w:rsidR="0062229C" w:rsidRPr="004E4F45" w:rsidRDefault="0062229C" w:rsidP="0062229C">
      <w:pPr>
        <w:spacing w:after="120"/>
        <w:rPr>
          <w:rFonts w:cstheme="minorHAnsi"/>
          <w:bCs/>
          <w:color w:val="000000" w:themeColor="text1"/>
          <w:szCs w:val="20"/>
        </w:rPr>
      </w:pPr>
    </w:p>
    <w:p w14:paraId="1E1D845A" w14:textId="77777777" w:rsidR="0062229C" w:rsidRPr="004E4F45" w:rsidRDefault="004E4F45" w:rsidP="0062229C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Cs w:val="20"/>
          <w:lang w:eastAsia="en-US"/>
        </w:rPr>
      </w:pPr>
      <w:r w:rsidRPr="004E4F45">
        <w:rPr>
          <w:rFonts w:asciiTheme="minorHAnsi" w:hAnsiTheme="minorHAnsi" w:cstheme="minorHAnsi"/>
          <w:b/>
          <w:color w:val="000000" w:themeColor="text1"/>
          <w:szCs w:val="20"/>
          <w:lang w:eastAsia="en-US"/>
        </w:rPr>
        <w:t>Objednatel: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77"/>
        <w:gridCol w:w="6595"/>
      </w:tblGrid>
      <w:tr w:rsidR="004E4F45" w:rsidRPr="004E4F45" w14:paraId="24B92917" w14:textId="77777777" w:rsidTr="004E4F45">
        <w:trPr>
          <w:trHeight w:val="379"/>
          <w:jc w:val="center"/>
        </w:trPr>
        <w:tc>
          <w:tcPr>
            <w:tcW w:w="1365" w:type="pct"/>
            <w:shd w:val="clear" w:color="auto" w:fill="FFFFFF" w:themeFill="background1"/>
            <w:vAlign w:val="center"/>
            <w:hideMark/>
          </w:tcPr>
          <w:p w14:paraId="6D6B333B" w14:textId="77777777" w:rsidR="0062229C" w:rsidRPr="004E4F45" w:rsidRDefault="004E4F45" w:rsidP="00385FB6">
            <w:pPr>
              <w:spacing w:after="0" w:line="257" w:lineRule="auto"/>
              <w:rPr>
                <w:rFonts w:cstheme="minorHAnsi"/>
                <w:szCs w:val="20"/>
              </w:rPr>
            </w:pPr>
            <w:r w:rsidRPr="004E4F45">
              <w:rPr>
                <w:rFonts w:cstheme="minorHAnsi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FFFFFF" w:themeFill="background1"/>
            <w:vAlign w:val="center"/>
            <w:hideMark/>
          </w:tcPr>
          <w:p w14:paraId="449943A9" w14:textId="77777777" w:rsidR="0062229C" w:rsidRPr="004E4F45" w:rsidRDefault="004E4F45" w:rsidP="00385FB6">
            <w:pPr>
              <w:spacing w:after="0" w:line="257" w:lineRule="auto"/>
              <w:rPr>
                <w:rFonts w:cstheme="minorHAnsi"/>
                <w:b/>
                <w:bCs/>
                <w:szCs w:val="20"/>
              </w:rPr>
            </w:pPr>
            <w:r w:rsidRPr="004E4F45">
              <w:rPr>
                <w:rFonts w:cstheme="minorHAnsi"/>
                <w:b/>
                <w:bCs/>
                <w:szCs w:val="20"/>
              </w:rPr>
              <w:t>České vysoké učení technické v </w:t>
            </w:r>
            <w:r>
              <w:rPr>
                <w:rFonts w:cstheme="minorHAnsi"/>
                <w:b/>
                <w:bCs/>
                <w:szCs w:val="20"/>
              </w:rPr>
              <w:t>P</w:t>
            </w:r>
            <w:r w:rsidRPr="004E4F45">
              <w:rPr>
                <w:rFonts w:cstheme="minorHAnsi"/>
                <w:b/>
                <w:bCs/>
                <w:szCs w:val="20"/>
              </w:rPr>
              <w:t>raze</w:t>
            </w:r>
          </w:p>
          <w:p w14:paraId="46C59385" w14:textId="77777777" w:rsidR="0062229C" w:rsidRPr="004E4F45" w:rsidRDefault="004E4F45" w:rsidP="00385FB6">
            <w:pPr>
              <w:spacing w:after="0" w:line="257" w:lineRule="auto"/>
              <w:rPr>
                <w:rFonts w:cstheme="minorHAnsi"/>
                <w:b/>
                <w:bCs/>
                <w:szCs w:val="20"/>
              </w:rPr>
            </w:pPr>
            <w:r w:rsidRPr="004E4F45">
              <w:rPr>
                <w:rFonts w:cstheme="minorHAnsi"/>
                <w:b/>
                <w:bCs/>
                <w:szCs w:val="20"/>
              </w:rPr>
              <w:t>Český institut informatiky, robotiky a kybernetiky</w:t>
            </w:r>
          </w:p>
        </w:tc>
      </w:tr>
      <w:tr w:rsidR="004E4F45" w:rsidRPr="004E4F45" w14:paraId="6D7506F4" w14:textId="77777777" w:rsidTr="004E4F45">
        <w:trPr>
          <w:trHeight w:val="379"/>
          <w:jc w:val="center"/>
        </w:trPr>
        <w:tc>
          <w:tcPr>
            <w:tcW w:w="1365" w:type="pct"/>
            <w:shd w:val="clear" w:color="auto" w:fill="FFFFFF" w:themeFill="background1"/>
            <w:vAlign w:val="center"/>
            <w:hideMark/>
          </w:tcPr>
          <w:p w14:paraId="6E6A0DAD" w14:textId="77777777" w:rsidR="0062229C" w:rsidRPr="004E4F45" w:rsidRDefault="004E4F45" w:rsidP="00385FB6">
            <w:pPr>
              <w:spacing w:after="0" w:line="257" w:lineRule="auto"/>
              <w:rPr>
                <w:rFonts w:cstheme="minorHAnsi"/>
                <w:szCs w:val="20"/>
              </w:rPr>
            </w:pPr>
            <w:r w:rsidRPr="004E4F45">
              <w:rPr>
                <w:rFonts w:cstheme="minorHAnsi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FFFFFF" w:themeFill="background1"/>
            <w:vAlign w:val="center"/>
            <w:hideMark/>
          </w:tcPr>
          <w:p w14:paraId="759B9A22" w14:textId="77777777" w:rsidR="0062229C" w:rsidRPr="004E4F45" w:rsidRDefault="004E4F45" w:rsidP="00385FB6">
            <w:pPr>
              <w:spacing w:after="0" w:line="257" w:lineRule="auto"/>
              <w:rPr>
                <w:rFonts w:cstheme="minorHAnsi"/>
                <w:bCs/>
                <w:szCs w:val="20"/>
              </w:rPr>
            </w:pPr>
            <w:r w:rsidRPr="004E4F45">
              <w:rPr>
                <w:rFonts w:eastAsia="Times New Roman" w:cstheme="minorHAnsi"/>
                <w:bCs/>
                <w:szCs w:val="20"/>
                <w:lang w:eastAsia="cs-CZ"/>
              </w:rPr>
              <w:t xml:space="preserve">Jugoslávských partyzánů 1580/3, 160 00, </w:t>
            </w:r>
            <w:r>
              <w:rPr>
                <w:rFonts w:eastAsia="Times New Roman" w:cstheme="minorHAnsi"/>
                <w:bCs/>
                <w:szCs w:val="20"/>
                <w:lang w:eastAsia="cs-CZ"/>
              </w:rPr>
              <w:t>P</w:t>
            </w:r>
            <w:r w:rsidRPr="004E4F45">
              <w:rPr>
                <w:rFonts w:eastAsia="Times New Roman" w:cstheme="minorHAnsi"/>
                <w:bCs/>
                <w:szCs w:val="20"/>
                <w:lang w:eastAsia="cs-CZ"/>
              </w:rPr>
              <w:t>raha 6</w:t>
            </w:r>
          </w:p>
        </w:tc>
      </w:tr>
      <w:tr w:rsidR="004E4F45" w:rsidRPr="004E4F45" w14:paraId="14B9A068" w14:textId="77777777" w:rsidTr="004E4F45">
        <w:trPr>
          <w:trHeight w:val="379"/>
          <w:jc w:val="center"/>
        </w:trPr>
        <w:tc>
          <w:tcPr>
            <w:tcW w:w="1365" w:type="pct"/>
            <w:shd w:val="clear" w:color="auto" w:fill="FFFFFF" w:themeFill="background1"/>
            <w:vAlign w:val="center"/>
            <w:hideMark/>
          </w:tcPr>
          <w:p w14:paraId="3D98C18A" w14:textId="77777777" w:rsidR="0062229C" w:rsidRPr="004E4F45" w:rsidRDefault="004E4F45" w:rsidP="00385FB6">
            <w:pPr>
              <w:spacing w:after="0" w:line="257" w:lineRule="auto"/>
              <w:rPr>
                <w:rFonts w:cstheme="minorHAnsi"/>
                <w:szCs w:val="20"/>
              </w:rPr>
            </w:pPr>
            <w:r w:rsidRPr="004E4F45">
              <w:rPr>
                <w:rFonts w:cstheme="minorHAnsi"/>
                <w:szCs w:val="20"/>
              </w:rPr>
              <w:t>Zastoupen:</w:t>
            </w:r>
          </w:p>
        </w:tc>
        <w:tc>
          <w:tcPr>
            <w:tcW w:w="3635" w:type="pct"/>
            <w:shd w:val="clear" w:color="auto" w:fill="FFFFFF" w:themeFill="background1"/>
            <w:vAlign w:val="center"/>
            <w:hideMark/>
          </w:tcPr>
          <w:p w14:paraId="2845B190" w14:textId="2C294BCA" w:rsidR="0062229C" w:rsidRPr="004E4F45" w:rsidRDefault="00AB5210" w:rsidP="00385FB6">
            <w:pPr>
              <w:spacing w:after="0" w:line="257" w:lineRule="auto"/>
              <w:rPr>
                <w:rFonts w:cstheme="minorHAnsi"/>
                <w:szCs w:val="20"/>
              </w:rPr>
            </w:pPr>
            <w:proofErr w:type="spellStart"/>
            <w:r w:rsidRPr="00AB5210">
              <w:rPr>
                <w:rFonts w:cstheme="minorHAnsi"/>
                <w:szCs w:val="20"/>
                <w:highlight w:val="black"/>
              </w:rPr>
              <w:t>xxxxxxx</w:t>
            </w:r>
            <w:proofErr w:type="spellEnd"/>
          </w:p>
        </w:tc>
      </w:tr>
      <w:tr w:rsidR="004E4F45" w:rsidRPr="004E4F45" w14:paraId="53BD82F9" w14:textId="77777777" w:rsidTr="004E4F45">
        <w:trPr>
          <w:trHeight w:val="379"/>
          <w:jc w:val="center"/>
        </w:trPr>
        <w:tc>
          <w:tcPr>
            <w:tcW w:w="1365" w:type="pct"/>
            <w:shd w:val="clear" w:color="auto" w:fill="FFFFFF" w:themeFill="background1"/>
            <w:vAlign w:val="center"/>
            <w:hideMark/>
          </w:tcPr>
          <w:p w14:paraId="304B6703" w14:textId="77777777" w:rsidR="0062229C" w:rsidRPr="004E4F45" w:rsidRDefault="004E4F45" w:rsidP="00385FB6">
            <w:pPr>
              <w:spacing w:after="0" w:line="257" w:lineRule="auto"/>
              <w:rPr>
                <w:rFonts w:cstheme="minorHAnsi"/>
                <w:szCs w:val="20"/>
              </w:rPr>
            </w:pPr>
            <w:r w:rsidRPr="004E4F45">
              <w:rPr>
                <w:rFonts w:cstheme="minorHAnsi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FFFFFF" w:themeFill="background1"/>
            <w:vAlign w:val="center"/>
            <w:hideMark/>
          </w:tcPr>
          <w:p w14:paraId="57BB9E87" w14:textId="77777777" w:rsidR="0062229C" w:rsidRPr="004E4F45" w:rsidRDefault="004E4F45" w:rsidP="00385FB6">
            <w:pPr>
              <w:spacing w:after="0" w:line="257" w:lineRule="auto"/>
              <w:rPr>
                <w:rFonts w:cstheme="minorHAnsi"/>
                <w:szCs w:val="20"/>
              </w:rPr>
            </w:pPr>
            <w:r w:rsidRPr="004E4F45">
              <w:rPr>
                <w:rFonts w:cstheme="minorHAnsi"/>
                <w:szCs w:val="20"/>
              </w:rPr>
              <w:t>68407700</w:t>
            </w:r>
          </w:p>
        </w:tc>
      </w:tr>
    </w:tbl>
    <w:p w14:paraId="285673CF" w14:textId="77777777" w:rsidR="0062229C" w:rsidRPr="004E4F45" w:rsidRDefault="004E4F45" w:rsidP="0062229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d</w:t>
      </w:r>
      <w:r w:rsidRPr="004E4F45">
        <w:rPr>
          <w:rFonts w:eastAsia="Times New Roman" w:cstheme="minorHAnsi"/>
          <w:bCs/>
          <w:lang w:eastAsia="cs-CZ"/>
        </w:rPr>
        <w:t>ále jen „</w:t>
      </w:r>
      <w:r w:rsidR="0038631A">
        <w:rPr>
          <w:rFonts w:eastAsia="Times New Roman" w:cstheme="minorHAnsi"/>
          <w:bCs/>
          <w:lang w:eastAsia="cs-CZ"/>
        </w:rPr>
        <w:t>O</w:t>
      </w:r>
      <w:r w:rsidRPr="004E4F45">
        <w:rPr>
          <w:rFonts w:eastAsia="Times New Roman" w:cstheme="minorHAnsi"/>
          <w:bCs/>
          <w:lang w:eastAsia="cs-CZ"/>
        </w:rPr>
        <w:t>bjednatel“</w:t>
      </w:r>
    </w:p>
    <w:p w14:paraId="17A58E83" w14:textId="77777777" w:rsidR="0062229C" w:rsidRPr="004E4F45" w:rsidRDefault="004E4F45" w:rsidP="0062229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a</w:t>
      </w:r>
    </w:p>
    <w:p w14:paraId="455907EA" w14:textId="77777777" w:rsidR="0062229C" w:rsidRPr="004E4F45" w:rsidRDefault="004E4F45" w:rsidP="0062229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lang w:eastAsia="cs-CZ"/>
        </w:rPr>
      </w:pPr>
      <w:r w:rsidRPr="004E4F45">
        <w:rPr>
          <w:rFonts w:eastAsia="Times New Roman" w:cstheme="minorHAnsi"/>
          <w:b/>
          <w:bCs/>
          <w:lang w:eastAsia="cs-CZ"/>
        </w:rPr>
        <w:t>Poskytovatel: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531"/>
        <w:gridCol w:w="6541"/>
      </w:tblGrid>
      <w:tr w:rsidR="004E4F45" w:rsidRPr="004E4F45" w14:paraId="2956B900" w14:textId="77777777" w:rsidTr="004E4F45">
        <w:trPr>
          <w:trHeight w:val="379"/>
          <w:jc w:val="center"/>
        </w:trPr>
        <w:tc>
          <w:tcPr>
            <w:tcW w:w="1395" w:type="pct"/>
            <w:shd w:val="clear" w:color="auto" w:fill="FFFFFF" w:themeFill="background1"/>
            <w:vAlign w:val="center"/>
            <w:hideMark/>
          </w:tcPr>
          <w:p w14:paraId="03916B10" w14:textId="77777777" w:rsidR="0062229C" w:rsidRPr="004E4F45" w:rsidRDefault="004E4F45" w:rsidP="00385FB6">
            <w:pPr>
              <w:spacing w:after="0" w:line="257" w:lineRule="auto"/>
              <w:rPr>
                <w:rFonts w:cstheme="minorHAnsi"/>
              </w:rPr>
            </w:pPr>
            <w:r w:rsidRPr="004E4F45">
              <w:rPr>
                <w:rFonts w:cstheme="minorHAnsi"/>
              </w:rPr>
              <w:t>Název:</w:t>
            </w:r>
          </w:p>
        </w:tc>
        <w:tc>
          <w:tcPr>
            <w:tcW w:w="3605" w:type="pct"/>
            <w:shd w:val="clear" w:color="auto" w:fill="FFFFFF" w:themeFill="background1"/>
            <w:vAlign w:val="center"/>
            <w:hideMark/>
          </w:tcPr>
          <w:p w14:paraId="7CC4EA20" w14:textId="77777777" w:rsidR="0062229C" w:rsidRPr="00697CD9" w:rsidRDefault="004E4F45" w:rsidP="008901A9">
            <w:pPr>
              <w:spacing w:after="0" w:line="257" w:lineRule="auto"/>
              <w:rPr>
                <w:rFonts w:cstheme="minorHAnsi"/>
                <w:b/>
              </w:rPr>
            </w:pPr>
            <w:r w:rsidRPr="00697CD9">
              <w:rPr>
                <w:rFonts w:cstheme="minorHAnsi"/>
                <w:b/>
              </w:rPr>
              <w:t>KGS legal s.r.o., advokátní kancelář</w:t>
            </w:r>
          </w:p>
        </w:tc>
      </w:tr>
      <w:tr w:rsidR="004E4F45" w:rsidRPr="004E4F45" w14:paraId="64D03243" w14:textId="77777777" w:rsidTr="004E4F45">
        <w:trPr>
          <w:trHeight w:val="379"/>
          <w:jc w:val="center"/>
        </w:trPr>
        <w:tc>
          <w:tcPr>
            <w:tcW w:w="1395" w:type="pct"/>
            <w:shd w:val="clear" w:color="auto" w:fill="FFFFFF" w:themeFill="background1"/>
            <w:vAlign w:val="center"/>
            <w:hideMark/>
          </w:tcPr>
          <w:p w14:paraId="7F03F3B6" w14:textId="77777777" w:rsidR="0062229C" w:rsidRPr="004E4F45" w:rsidRDefault="004E4F45" w:rsidP="00385FB6">
            <w:pPr>
              <w:spacing w:after="0" w:line="257" w:lineRule="auto"/>
              <w:rPr>
                <w:rFonts w:cstheme="minorHAnsi"/>
              </w:rPr>
            </w:pPr>
            <w:r w:rsidRPr="004E4F45">
              <w:rPr>
                <w:rFonts w:cstheme="minorHAnsi"/>
              </w:rPr>
              <w:t>Sídlo:</w:t>
            </w:r>
          </w:p>
        </w:tc>
        <w:tc>
          <w:tcPr>
            <w:tcW w:w="3605" w:type="pct"/>
            <w:shd w:val="clear" w:color="auto" w:fill="FFFFFF" w:themeFill="background1"/>
            <w:vAlign w:val="center"/>
          </w:tcPr>
          <w:p w14:paraId="55A98E98" w14:textId="77777777" w:rsidR="0062229C" w:rsidRPr="004E4F45" w:rsidRDefault="004E4F45" w:rsidP="00385FB6">
            <w:pPr>
              <w:spacing w:after="0" w:line="257" w:lineRule="auto"/>
              <w:rPr>
                <w:rFonts w:cstheme="minorHAnsi"/>
                <w:bCs/>
                <w:highlight w:val="yellow"/>
              </w:rPr>
            </w:pPr>
            <w:r w:rsidRPr="004E4F45">
              <w:rPr>
                <w:rFonts w:cstheme="minorHAnsi"/>
                <w:bCs/>
              </w:rPr>
              <w:t xml:space="preserve">Národní 416/37, </w:t>
            </w:r>
            <w:r>
              <w:rPr>
                <w:rFonts w:cstheme="minorHAnsi"/>
                <w:bCs/>
              </w:rPr>
              <w:t>S</w:t>
            </w:r>
            <w:r w:rsidRPr="004E4F45">
              <w:rPr>
                <w:rFonts w:cstheme="minorHAnsi"/>
                <w:bCs/>
              </w:rPr>
              <w:t xml:space="preserve">taré </w:t>
            </w:r>
            <w:r>
              <w:rPr>
                <w:rFonts w:cstheme="minorHAnsi"/>
                <w:bCs/>
              </w:rPr>
              <w:t>M</w:t>
            </w:r>
            <w:r w:rsidRPr="004E4F45">
              <w:rPr>
                <w:rFonts w:cstheme="minorHAnsi"/>
                <w:bCs/>
              </w:rPr>
              <w:t xml:space="preserve">ěsto, 110 00 </w:t>
            </w:r>
            <w:r>
              <w:rPr>
                <w:rFonts w:cstheme="minorHAnsi"/>
                <w:bCs/>
              </w:rPr>
              <w:t>P</w:t>
            </w:r>
            <w:r w:rsidRPr="004E4F45">
              <w:rPr>
                <w:rFonts w:cstheme="minorHAnsi"/>
                <w:bCs/>
              </w:rPr>
              <w:t>raha 1</w:t>
            </w:r>
          </w:p>
        </w:tc>
      </w:tr>
      <w:tr w:rsidR="004E4F45" w:rsidRPr="004E4F45" w14:paraId="3B8AF9EB" w14:textId="77777777" w:rsidTr="004E4F45">
        <w:trPr>
          <w:trHeight w:val="379"/>
          <w:jc w:val="center"/>
        </w:trPr>
        <w:tc>
          <w:tcPr>
            <w:tcW w:w="1395" w:type="pct"/>
            <w:shd w:val="clear" w:color="auto" w:fill="FFFFFF" w:themeFill="background1"/>
            <w:vAlign w:val="center"/>
            <w:hideMark/>
          </w:tcPr>
          <w:p w14:paraId="22251466" w14:textId="77777777" w:rsidR="008901A9" w:rsidRPr="004E4F45" w:rsidRDefault="004E4F45" w:rsidP="008901A9">
            <w:pPr>
              <w:spacing w:after="0" w:line="257" w:lineRule="auto"/>
              <w:rPr>
                <w:rFonts w:cstheme="minorHAnsi"/>
              </w:rPr>
            </w:pPr>
            <w:r w:rsidRPr="004E4F45">
              <w:rPr>
                <w:rFonts w:cstheme="minorHAnsi"/>
              </w:rPr>
              <w:t>Zastoupen:</w:t>
            </w:r>
          </w:p>
        </w:tc>
        <w:tc>
          <w:tcPr>
            <w:tcW w:w="3605" w:type="pct"/>
            <w:shd w:val="clear" w:color="auto" w:fill="FFFFFF" w:themeFill="background1"/>
            <w:vAlign w:val="center"/>
          </w:tcPr>
          <w:p w14:paraId="038C61A7" w14:textId="66D8883B" w:rsidR="008901A9" w:rsidRPr="004E4F45" w:rsidRDefault="00AB5210" w:rsidP="008901A9">
            <w:pPr>
              <w:spacing w:after="0" w:line="257" w:lineRule="auto"/>
              <w:rPr>
                <w:rFonts w:cstheme="minorHAnsi"/>
                <w:highlight w:val="yellow"/>
              </w:rPr>
            </w:pPr>
            <w:proofErr w:type="spellStart"/>
            <w:r w:rsidRPr="00AB5210">
              <w:rPr>
                <w:rFonts w:cstheme="minorHAnsi"/>
                <w:highlight w:val="black"/>
              </w:rPr>
              <w:t>xxxxx</w:t>
            </w:r>
            <w:proofErr w:type="spellEnd"/>
          </w:p>
        </w:tc>
      </w:tr>
      <w:tr w:rsidR="004E4F45" w:rsidRPr="004E4F45" w14:paraId="7A7F8ED2" w14:textId="77777777" w:rsidTr="004E4F45">
        <w:trPr>
          <w:trHeight w:val="379"/>
          <w:jc w:val="center"/>
        </w:trPr>
        <w:tc>
          <w:tcPr>
            <w:tcW w:w="1395" w:type="pct"/>
            <w:shd w:val="clear" w:color="auto" w:fill="FFFFFF" w:themeFill="background1"/>
            <w:vAlign w:val="center"/>
            <w:hideMark/>
          </w:tcPr>
          <w:p w14:paraId="5DA27354" w14:textId="77777777" w:rsidR="008901A9" w:rsidRPr="004E4F45" w:rsidRDefault="004E4F45" w:rsidP="008901A9">
            <w:pPr>
              <w:spacing w:after="0" w:line="257" w:lineRule="auto"/>
              <w:rPr>
                <w:rFonts w:cstheme="minorHAnsi"/>
              </w:rPr>
            </w:pPr>
            <w:r w:rsidRPr="004E4F45">
              <w:rPr>
                <w:rFonts w:cstheme="minorHAnsi"/>
              </w:rPr>
              <w:t>IČO:</w:t>
            </w:r>
          </w:p>
        </w:tc>
        <w:tc>
          <w:tcPr>
            <w:tcW w:w="3605" w:type="pct"/>
            <w:shd w:val="clear" w:color="auto" w:fill="FFFFFF" w:themeFill="background1"/>
            <w:vAlign w:val="center"/>
          </w:tcPr>
          <w:p w14:paraId="3C2F37E1" w14:textId="77777777" w:rsidR="008901A9" w:rsidRPr="004E4F45" w:rsidRDefault="004E4F45" w:rsidP="008901A9">
            <w:pPr>
              <w:spacing w:after="0" w:line="257" w:lineRule="auto"/>
              <w:rPr>
                <w:rFonts w:cstheme="minorHAnsi"/>
                <w:highlight w:val="yellow"/>
              </w:rPr>
            </w:pPr>
            <w:r w:rsidRPr="004E4F45">
              <w:rPr>
                <w:rFonts w:cstheme="minorHAnsi"/>
              </w:rPr>
              <w:t>06295525</w:t>
            </w:r>
          </w:p>
        </w:tc>
      </w:tr>
      <w:tr w:rsidR="004E4F45" w:rsidRPr="004E4F45" w14:paraId="116C0094" w14:textId="77777777" w:rsidTr="004E4F45">
        <w:trPr>
          <w:trHeight w:val="379"/>
          <w:jc w:val="center"/>
        </w:trPr>
        <w:tc>
          <w:tcPr>
            <w:tcW w:w="1395" w:type="pct"/>
            <w:shd w:val="clear" w:color="auto" w:fill="FFFFFF" w:themeFill="background1"/>
            <w:vAlign w:val="center"/>
            <w:hideMark/>
          </w:tcPr>
          <w:p w14:paraId="0A971790" w14:textId="77777777" w:rsidR="008901A9" w:rsidRPr="004E4F45" w:rsidRDefault="004E4F45" w:rsidP="008901A9">
            <w:pPr>
              <w:spacing w:after="0" w:line="257" w:lineRule="auto"/>
              <w:rPr>
                <w:rFonts w:cstheme="minorHAnsi"/>
              </w:rPr>
            </w:pPr>
            <w:r w:rsidRPr="004E4F45">
              <w:rPr>
                <w:rFonts w:cstheme="minorHAnsi"/>
              </w:rPr>
              <w:t>Číslo bankovního účtu:</w:t>
            </w:r>
          </w:p>
        </w:tc>
        <w:tc>
          <w:tcPr>
            <w:tcW w:w="3605" w:type="pct"/>
            <w:shd w:val="clear" w:color="auto" w:fill="FFFFFF" w:themeFill="background1"/>
            <w:vAlign w:val="center"/>
          </w:tcPr>
          <w:p w14:paraId="616F99CC" w14:textId="61DA5C3B" w:rsidR="008901A9" w:rsidRPr="00AB5210" w:rsidRDefault="00AB5210" w:rsidP="008901A9">
            <w:pPr>
              <w:spacing w:after="0" w:line="257" w:lineRule="auto"/>
              <w:rPr>
                <w:rFonts w:cstheme="minorHAnsi"/>
                <w:highlight w:val="black"/>
              </w:rPr>
            </w:pPr>
            <w:proofErr w:type="spellStart"/>
            <w:r w:rsidRPr="00AB5210">
              <w:rPr>
                <w:rFonts w:cstheme="minorHAnsi"/>
                <w:highlight w:val="black"/>
              </w:rPr>
              <w:t>xxxxxx</w:t>
            </w:r>
            <w:proofErr w:type="spellEnd"/>
          </w:p>
        </w:tc>
      </w:tr>
      <w:tr w:rsidR="004E4F45" w:rsidRPr="004E4F45" w14:paraId="29D28756" w14:textId="77777777" w:rsidTr="004E4F45">
        <w:trPr>
          <w:trHeight w:val="379"/>
          <w:jc w:val="center"/>
        </w:trPr>
        <w:tc>
          <w:tcPr>
            <w:tcW w:w="1395" w:type="pct"/>
            <w:shd w:val="clear" w:color="auto" w:fill="FFFFFF" w:themeFill="background1"/>
            <w:vAlign w:val="center"/>
            <w:hideMark/>
          </w:tcPr>
          <w:p w14:paraId="775EDC98" w14:textId="77777777" w:rsidR="008901A9" w:rsidRPr="004E4F45" w:rsidRDefault="004E4F45" w:rsidP="008901A9">
            <w:pPr>
              <w:spacing w:after="0" w:line="257" w:lineRule="auto"/>
              <w:rPr>
                <w:rFonts w:cstheme="minorHAnsi"/>
              </w:rPr>
            </w:pPr>
            <w:r w:rsidRPr="004E4F45">
              <w:rPr>
                <w:rFonts w:cstheme="minorHAnsi"/>
              </w:rPr>
              <w:t>Zaps</w:t>
            </w:r>
            <w:r>
              <w:rPr>
                <w:rFonts w:cstheme="minorHAnsi"/>
              </w:rPr>
              <w:t>á</w:t>
            </w:r>
            <w:r w:rsidRPr="004E4F45">
              <w:rPr>
                <w:rFonts w:cstheme="minorHAnsi"/>
              </w:rPr>
              <w:t>n v </w:t>
            </w:r>
            <w:r>
              <w:rPr>
                <w:rFonts w:cstheme="minorHAnsi"/>
              </w:rPr>
              <w:t>OR</w:t>
            </w:r>
            <w:r w:rsidRPr="004E4F45">
              <w:rPr>
                <w:rFonts w:cstheme="minorHAnsi"/>
              </w:rPr>
              <w:t>:</w:t>
            </w:r>
          </w:p>
        </w:tc>
        <w:tc>
          <w:tcPr>
            <w:tcW w:w="3605" w:type="pct"/>
            <w:shd w:val="clear" w:color="auto" w:fill="FFFFFF" w:themeFill="background1"/>
            <w:vAlign w:val="center"/>
          </w:tcPr>
          <w:p w14:paraId="0D41A138" w14:textId="77777777" w:rsidR="008901A9" w:rsidRPr="004E4F45" w:rsidRDefault="004E4F45" w:rsidP="008901A9">
            <w:pPr>
              <w:spacing w:after="0" w:line="257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</w:t>
            </w:r>
            <w:r w:rsidRPr="004E4F45">
              <w:rPr>
                <w:rFonts w:cstheme="minorHAnsi"/>
              </w:rPr>
              <w:t xml:space="preserve">od sp. </w:t>
            </w:r>
            <w:r>
              <w:rPr>
                <w:rFonts w:cstheme="minorHAnsi"/>
              </w:rPr>
              <w:t>z</w:t>
            </w:r>
            <w:r w:rsidRPr="004E4F45">
              <w:rPr>
                <w:rFonts w:cstheme="minorHAnsi"/>
              </w:rPr>
              <w:t xml:space="preserve">n. C 279699, vedená u </w:t>
            </w:r>
            <w:r>
              <w:rPr>
                <w:rFonts w:cstheme="minorHAnsi"/>
              </w:rPr>
              <w:t>M</w:t>
            </w:r>
            <w:r w:rsidRPr="004E4F45">
              <w:rPr>
                <w:rFonts w:cstheme="minorHAnsi"/>
              </w:rPr>
              <w:t xml:space="preserve">ěstského soudu v </w:t>
            </w:r>
            <w:r>
              <w:rPr>
                <w:rFonts w:cstheme="minorHAnsi"/>
              </w:rPr>
              <w:t>P</w:t>
            </w:r>
            <w:r w:rsidRPr="004E4F45">
              <w:rPr>
                <w:rFonts w:cstheme="minorHAnsi"/>
              </w:rPr>
              <w:t>raze</w:t>
            </w:r>
          </w:p>
        </w:tc>
      </w:tr>
    </w:tbl>
    <w:p w14:paraId="0C9EA53E" w14:textId="77777777" w:rsidR="0062229C" w:rsidRPr="004E4F45" w:rsidRDefault="0062229C" w:rsidP="0062229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4E4F45">
        <w:rPr>
          <w:rFonts w:eastAsia="Times New Roman" w:cstheme="minorHAnsi"/>
          <w:bCs/>
          <w:color w:val="000000"/>
          <w:lang w:eastAsia="cs-CZ"/>
        </w:rPr>
        <w:t>dále</w:t>
      </w:r>
      <w:r w:rsidRPr="004E4F45">
        <w:rPr>
          <w:rFonts w:eastAsia="Times New Roman" w:cstheme="minorHAnsi"/>
          <w:color w:val="000000"/>
          <w:lang w:eastAsia="cs-CZ"/>
        </w:rPr>
        <w:t xml:space="preserve"> jen „</w:t>
      </w:r>
      <w:r w:rsidR="00385FB6" w:rsidRPr="004E4F45">
        <w:rPr>
          <w:rFonts w:eastAsia="Times New Roman" w:cstheme="minorHAnsi"/>
          <w:color w:val="000000"/>
          <w:lang w:eastAsia="cs-CZ"/>
        </w:rPr>
        <w:t>Poskytovatel</w:t>
      </w:r>
      <w:r w:rsidRPr="004E4F45">
        <w:rPr>
          <w:rFonts w:eastAsia="Times New Roman" w:cstheme="minorHAnsi"/>
          <w:color w:val="000000"/>
          <w:lang w:eastAsia="cs-CZ"/>
        </w:rPr>
        <w:t>“,</w:t>
      </w:r>
    </w:p>
    <w:p w14:paraId="3D35FB70" w14:textId="77777777" w:rsidR="004E4F45" w:rsidRDefault="004E4F45" w:rsidP="0062229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5AFBCF34" w14:textId="77777777" w:rsidR="0062229C" w:rsidRPr="004E4F45" w:rsidRDefault="0062229C" w:rsidP="0062229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4E4F45">
        <w:rPr>
          <w:rFonts w:eastAsia="Times New Roman" w:cstheme="minorHAnsi"/>
          <w:color w:val="000000"/>
          <w:lang w:eastAsia="cs-CZ"/>
        </w:rPr>
        <w:t>společně též jako „smluvní strany“ nebo jednotlivě jako „smluvní strana“</w:t>
      </w:r>
    </w:p>
    <w:p w14:paraId="0948DDBA" w14:textId="77777777" w:rsidR="00385FB6" w:rsidRPr="004E4F45" w:rsidRDefault="00385FB6" w:rsidP="00385FB6">
      <w:pPr>
        <w:widowControl w:val="0"/>
        <w:jc w:val="both"/>
        <w:rPr>
          <w:rFonts w:cstheme="minorHAnsi"/>
        </w:rPr>
      </w:pPr>
      <w:r w:rsidRPr="004E4F45">
        <w:rPr>
          <w:rFonts w:cstheme="minorHAnsi"/>
          <w:bCs/>
        </w:rPr>
        <w:t>uzavřená podle zákona č. 85/1996 Sb., o advokacii, ve znění pozdějších předpisů (dále jen „</w:t>
      </w:r>
      <w:r w:rsidRPr="004E4F45">
        <w:rPr>
          <w:rFonts w:cstheme="minorHAnsi"/>
          <w:b/>
          <w:bCs/>
        </w:rPr>
        <w:t>Zákon o</w:t>
      </w:r>
      <w:r w:rsidR="00697CD9">
        <w:rPr>
          <w:rFonts w:cstheme="minorHAnsi"/>
          <w:b/>
          <w:bCs/>
        </w:rPr>
        <w:t> </w:t>
      </w:r>
      <w:r w:rsidRPr="004E4F45">
        <w:rPr>
          <w:rFonts w:cstheme="minorHAnsi"/>
          <w:b/>
          <w:bCs/>
        </w:rPr>
        <w:t>advokacii</w:t>
      </w:r>
      <w:r w:rsidRPr="004E4F45">
        <w:rPr>
          <w:rFonts w:cstheme="minorHAnsi"/>
          <w:bCs/>
        </w:rPr>
        <w:t xml:space="preserve">“) </w:t>
      </w:r>
      <w:r w:rsidRPr="004E4F45">
        <w:rPr>
          <w:rFonts w:cstheme="minorHAnsi"/>
        </w:rPr>
        <w:t>v rámci veřejné zakázky malého rozsahu zadávané mimo režim zákona č. 134/2016 Sb., o zadávání veřejných zakázek, ve znění pozdějších předpisů</w:t>
      </w:r>
      <w:r w:rsidRPr="004E4F45">
        <w:rPr>
          <w:rFonts w:cstheme="minorHAnsi"/>
          <w:bCs/>
        </w:rPr>
        <w:t xml:space="preserve"> </w:t>
      </w:r>
      <w:r w:rsidRPr="004E4F45">
        <w:rPr>
          <w:rFonts w:cstheme="minorHAnsi"/>
        </w:rPr>
        <w:t>(dále jen „</w:t>
      </w:r>
      <w:r w:rsidRPr="004E4F45">
        <w:rPr>
          <w:rFonts w:cstheme="minorHAnsi"/>
          <w:b/>
        </w:rPr>
        <w:t>Rámcová dohoda</w:t>
      </w:r>
      <w:r w:rsidRPr="004E4F45">
        <w:rPr>
          <w:rFonts w:cstheme="minorHAnsi"/>
        </w:rPr>
        <w:t>“).</w:t>
      </w:r>
    </w:p>
    <w:p w14:paraId="4B6EE842" w14:textId="77777777" w:rsidR="00385FB6" w:rsidRPr="004E4F45" w:rsidRDefault="00385FB6" w:rsidP="00385FB6">
      <w:pPr>
        <w:pStyle w:val="Nadpis2"/>
        <w:keepNext/>
        <w:widowControl w:val="0"/>
        <w:numPr>
          <w:ilvl w:val="0"/>
          <w:numId w:val="15"/>
        </w:numPr>
        <w:spacing w:before="480" w:after="120"/>
        <w:ind w:left="857" w:hanging="573"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4E4F45">
        <w:rPr>
          <w:rFonts w:asciiTheme="minorHAnsi" w:hAnsiTheme="minorHAnsi" w:cstheme="minorHAnsi"/>
          <w:b/>
          <w:color w:val="auto"/>
          <w:sz w:val="22"/>
        </w:rPr>
        <w:t>Předmět</w:t>
      </w:r>
      <w:r w:rsidR="0027543C" w:rsidRPr="004E4F45">
        <w:rPr>
          <w:rFonts w:asciiTheme="minorHAnsi" w:hAnsiTheme="minorHAnsi" w:cstheme="minorHAnsi"/>
          <w:b/>
          <w:color w:val="auto"/>
          <w:sz w:val="22"/>
        </w:rPr>
        <w:t xml:space="preserve"> Rámcové dohody</w:t>
      </w:r>
    </w:p>
    <w:p w14:paraId="78D114F3" w14:textId="77777777" w:rsidR="0027543C" w:rsidRPr="004E4F45" w:rsidRDefault="00385FB6" w:rsidP="0027543C">
      <w:pPr>
        <w:pStyle w:val="Zkladntext"/>
        <w:widowControl/>
        <w:numPr>
          <w:ilvl w:val="1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num" w:pos="567"/>
        </w:tabs>
        <w:autoSpaceDE/>
        <w:autoSpaceDN/>
        <w:adjustRightInd/>
        <w:spacing w:after="120"/>
        <w:ind w:left="567" w:hanging="567"/>
        <w:rPr>
          <w:rFonts w:asciiTheme="minorHAnsi" w:hAnsiTheme="minorHAnsi" w:cstheme="minorHAnsi"/>
          <w:lang w:val="cs-CZ"/>
        </w:rPr>
      </w:pPr>
      <w:r w:rsidRPr="004E4F45">
        <w:rPr>
          <w:rFonts w:asciiTheme="minorHAnsi" w:hAnsiTheme="minorHAnsi" w:cstheme="minorHAnsi"/>
          <w:lang w:val="cs-CZ"/>
        </w:rPr>
        <w:t xml:space="preserve">Poskytovatel je povinen poskytovat </w:t>
      </w:r>
      <w:r w:rsidR="008901A9" w:rsidRPr="004E4F45">
        <w:rPr>
          <w:rFonts w:asciiTheme="minorHAnsi" w:hAnsiTheme="minorHAnsi" w:cstheme="minorHAnsi"/>
          <w:lang w:val="cs-CZ"/>
        </w:rPr>
        <w:t>Objednateli</w:t>
      </w:r>
      <w:r w:rsidRPr="004E4F45">
        <w:rPr>
          <w:rFonts w:asciiTheme="minorHAnsi" w:hAnsiTheme="minorHAnsi" w:cstheme="minorHAnsi"/>
          <w:lang w:val="cs-CZ"/>
        </w:rPr>
        <w:t xml:space="preserve"> podle jeho potřeb a v souladu s jeho pokyny právní služby ve smyslu § 1 a souv. Zákona o advokacii.</w:t>
      </w:r>
      <w:bookmarkStart w:id="0" w:name="_Ref362523893"/>
      <w:r w:rsidRPr="004E4F45">
        <w:rPr>
          <w:rFonts w:asciiTheme="minorHAnsi" w:hAnsiTheme="minorHAnsi" w:cstheme="minorHAnsi"/>
          <w:lang w:val="cs-CZ"/>
        </w:rPr>
        <w:t xml:space="preserve"> </w:t>
      </w:r>
    </w:p>
    <w:p w14:paraId="081D9A7A" w14:textId="77777777" w:rsidR="00385FB6" w:rsidRPr="004E4F45" w:rsidRDefault="00385FB6" w:rsidP="0027543C">
      <w:pPr>
        <w:pStyle w:val="Zkladntext"/>
        <w:widowControl/>
        <w:numPr>
          <w:ilvl w:val="1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num" w:pos="567"/>
        </w:tabs>
        <w:autoSpaceDE/>
        <w:autoSpaceDN/>
        <w:adjustRightInd/>
        <w:spacing w:after="120"/>
        <w:ind w:left="567" w:hanging="567"/>
        <w:rPr>
          <w:rFonts w:asciiTheme="minorHAnsi" w:hAnsiTheme="minorHAnsi" w:cstheme="minorHAnsi"/>
          <w:lang w:val="cs-CZ"/>
        </w:rPr>
      </w:pPr>
      <w:r w:rsidRPr="004E4F45">
        <w:rPr>
          <w:rFonts w:asciiTheme="minorHAnsi" w:hAnsiTheme="minorHAnsi" w:cstheme="minorHAnsi"/>
          <w:lang w:val="cs-CZ"/>
        </w:rPr>
        <w:t xml:space="preserve">Právní služby </w:t>
      </w:r>
      <w:r w:rsidR="0027543C" w:rsidRPr="004E4F45">
        <w:rPr>
          <w:rFonts w:asciiTheme="minorHAnsi" w:hAnsiTheme="minorHAnsi" w:cstheme="minorHAnsi"/>
          <w:lang w:val="cs-CZ"/>
        </w:rPr>
        <w:t xml:space="preserve">budou poskytovány advokáty Poskytovatele, případně advokátními koncipienty Poskytovatele </w:t>
      </w:r>
      <w:bookmarkEnd w:id="0"/>
      <w:r w:rsidR="0027543C" w:rsidRPr="004E4F45">
        <w:rPr>
          <w:rFonts w:asciiTheme="minorHAnsi" w:hAnsiTheme="minorHAnsi" w:cstheme="minorHAnsi"/>
          <w:lang w:val="cs-CZ"/>
        </w:rPr>
        <w:t>pod kontrolou alespoň jednoho advokáta.</w:t>
      </w:r>
      <w:r w:rsidR="00C154B0" w:rsidRPr="004E4F45">
        <w:rPr>
          <w:rFonts w:asciiTheme="minorHAnsi" w:hAnsiTheme="minorHAnsi" w:cstheme="minorHAnsi"/>
          <w:lang w:val="cs-CZ"/>
        </w:rPr>
        <w:t xml:space="preserve"> Poskytovatel je povinen konkrétní úkol na případnou žádost Objednatele provést výlučně advokátem.</w:t>
      </w:r>
      <w:r w:rsidR="0027543C" w:rsidRPr="004E4F45">
        <w:rPr>
          <w:rFonts w:asciiTheme="minorHAnsi" w:hAnsiTheme="minorHAnsi" w:cstheme="minorHAnsi"/>
          <w:lang w:val="cs-CZ"/>
        </w:rPr>
        <w:t xml:space="preserve"> Smluvní strany se dohodly, že nedodržení závazků vyplývajících z tohoto odstavce Rámcové dohody opravňuje Objednatele okamžitě odstoupit od Rámcové dohody, a to i bez jakýchkoliv předchozích úkonů učiněných Objednatelem vůči Poskytovateli.</w:t>
      </w:r>
    </w:p>
    <w:p w14:paraId="72BBF8E2" w14:textId="77777777" w:rsidR="00385FB6" w:rsidRPr="004E4F45" w:rsidRDefault="00385FB6" w:rsidP="00385FB6">
      <w:pPr>
        <w:pStyle w:val="Zkladntext"/>
        <w:widowControl/>
        <w:numPr>
          <w:ilvl w:val="1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num" w:pos="567"/>
        </w:tabs>
        <w:autoSpaceDE/>
        <w:autoSpaceDN/>
        <w:adjustRightInd/>
        <w:spacing w:after="120"/>
        <w:ind w:left="567" w:hanging="567"/>
        <w:rPr>
          <w:rFonts w:asciiTheme="minorHAnsi" w:hAnsiTheme="minorHAnsi" w:cstheme="minorHAnsi"/>
          <w:lang w:val="cs-CZ"/>
        </w:rPr>
      </w:pPr>
      <w:r w:rsidRPr="004E4F45">
        <w:rPr>
          <w:rFonts w:asciiTheme="minorHAnsi" w:hAnsiTheme="minorHAnsi" w:cstheme="minorHAnsi"/>
          <w:lang w:val="cs-CZ"/>
        </w:rPr>
        <w:t>Právní služby bude Poskytovatel poskytovat na základě pokyn</w:t>
      </w:r>
      <w:r w:rsidR="0027543C" w:rsidRPr="004E4F45">
        <w:rPr>
          <w:rFonts w:asciiTheme="minorHAnsi" w:hAnsiTheme="minorHAnsi" w:cstheme="minorHAnsi"/>
          <w:lang w:val="cs-CZ"/>
        </w:rPr>
        <w:t>ů</w:t>
      </w:r>
      <w:r w:rsidRPr="004E4F45">
        <w:rPr>
          <w:rFonts w:asciiTheme="minorHAnsi" w:hAnsiTheme="minorHAnsi" w:cstheme="minorHAnsi"/>
          <w:lang w:val="cs-CZ"/>
        </w:rPr>
        <w:t xml:space="preserve"> </w:t>
      </w:r>
      <w:r w:rsidR="0027543C" w:rsidRPr="004E4F45">
        <w:rPr>
          <w:rFonts w:asciiTheme="minorHAnsi" w:hAnsiTheme="minorHAnsi" w:cstheme="minorHAnsi"/>
          <w:lang w:val="cs-CZ"/>
        </w:rPr>
        <w:t>Objednatele</w:t>
      </w:r>
      <w:r w:rsidRPr="004E4F45">
        <w:rPr>
          <w:rFonts w:asciiTheme="minorHAnsi" w:hAnsiTheme="minorHAnsi" w:cstheme="minorHAnsi"/>
          <w:lang w:val="cs-CZ"/>
        </w:rPr>
        <w:t xml:space="preserve">. </w:t>
      </w:r>
      <w:r w:rsidR="008901A9" w:rsidRPr="004E4F45">
        <w:rPr>
          <w:rFonts w:asciiTheme="minorHAnsi" w:hAnsiTheme="minorHAnsi" w:cstheme="minorHAnsi"/>
          <w:lang w:val="cs-CZ"/>
        </w:rPr>
        <w:t>Objednatel</w:t>
      </w:r>
      <w:r w:rsidRPr="004E4F45">
        <w:rPr>
          <w:rFonts w:asciiTheme="minorHAnsi" w:hAnsiTheme="minorHAnsi" w:cstheme="minorHAnsi"/>
          <w:lang w:val="cs-CZ"/>
        </w:rPr>
        <w:t xml:space="preserve"> je oprávněn vznést výhrady k písemným výstupům právních služeb Poskytovatele a Poskytovatel je povinen vzít tyto výhrady v</w:t>
      </w:r>
      <w:r w:rsidR="00697CD9" w:rsidRPr="004E4F45">
        <w:rPr>
          <w:rFonts w:asciiTheme="minorHAnsi" w:hAnsiTheme="minorHAnsi" w:cstheme="minorHAnsi"/>
          <w:lang w:val="cs-CZ"/>
        </w:rPr>
        <w:t xml:space="preserve"> </w:t>
      </w:r>
      <w:r w:rsidRPr="004E4F45">
        <w:rPr>
          <w:rFonts w:asciiTheme="minorHAnsi" w:hAnsiTheme="minorHAnsi" w:cstheme="minorHAnsi"/>
          <w:lang w:val="cs-CZ"/>
        </w:rPr>
        <w:t>potaz.</w:t>
      </w:r>
    </w:p>
    <w:p w14:paraId="3047E9A4" w14:textId="77777777" w:rsidR="00385FB6" w:rsidRPr="004E4F45" w:rsidRDefault="00385FB6" w:rsidP="00385FB6">
      <w:pPr>
        <w:pStyle w:val="Zkladntext"/>
        <w:widowControl/>
        <w:numPr>
          <w:ilvl w:val="1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num" w:pos="567"/>
        </w:tabs>
        <w:autoSpaceDE/>
        <w:autoSpaceDN/>
        <w:adjustRightInd/>
        <w:spacing w:after="120"/>
        <w:ind w:left="567" w:hanging="567"/>
        <w:rPr>
          <w:rFonts w:asciiTheme="minorHAnsi" w:hAnsiTheme="minorHAnsi" w:cstheme="minorHAnsi"/>
          <w:lang w:val="cs-CZ"/>
        </w:rPr>
      </w:pPr>
      <w:r w:rsidRPr="004E4F45">
        <w:rPr>
          <w:rFonts w:asciiTheme="minorHAnsi" w:hAnsiTheme="minorHAnsi" w:cstheme="minorHAnsi"/>
          <w:lang w:val="cs-CZ"/>
        </w:rPr>
        <w:lastRenderedPageBreak/>
        <w:t xml:space="preserve">Poskytovatel je povinen oznámit </w:t>
      </w:r>
      <w:r w:rsidR="008901A9" w:rsidRPr="004E4F45">
        <w:rPr>
          <w:rFonts w:asciiTheme="minorHAnsi" w:hAnsiTheme="minorHAnsi" w:cstheme="minorHAnsi"/>
          <w:lang w:val="cs-CZ"/>
        </w:rPr>
        <w:t>Objednateli</w:t>
      </w:r>
      <w:r w:rsidRPr="004E4F45">
        <w:rPr>
          <w:rFonts w:asciiTheme="minorHAnsi" w:hAnsiTheme="minorHAnsi" w:cstheme="minorHAnsi"/>
          <w:lang w:val="cs-CZ"/>
        </w:rPr>
        <w:t xml:space="preserve"> bez zbytečného odkladu všechny okolnosti, které zjistil nebo měl zjistit při poskytování právních služeb, a které mohou mít vliv na změnu pokynů nebo zájmů </w:t>
      </w:r>
      <w:r w:rsidR="0027543C" w:rsidRPr="004E4F45">
        <w:rPr>
          <w:rFonts w:asciiTheme="minorHAnsi" w:hAnsiTheme="minorHAnsi" w:cstheme="minorHAnsi"/>
          <w:lang w:val="cs-CZ"/>
        </w:rPr>
        <w:t>Objednatele</w:t>
      </w:r>
      <w:r w:rsidRPr="004E4F45">
        <w:rPr>
          <w:rFonts w:asciiTheme="minorHAnsi" w:hAnsiTheme="minorHAnsi" w:cstheme="minorHAnsi"/>
          <w:lang w:val="cs-CZ"/>
        </w:rPr>
        <w:t>.</w:t>
      </w:r>
    </w:p>
    <w:p w14:paraId="51DB1603" w14:textId="77777777" w:rsidR="00385FB6" w:rsidRPr="004E4F45" w:rsidRDefault="00385FB6" w:rsidP="00385FB6">
      <w:pPr>
        <w:pStyle w:val="Zkladntext"/>
        <w:widowControl/>
        <w:numPr>
          <w:ilvl w:val="1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num" w:pos="567"/>
        </w:tabs>
        <w:autoSpaceDE/>
        <w:autoSpaceDN/>
        <w:adjustRightInd/>
        <w:spacing w:after="120"/>
        <w:ind w:left="567" w:hanging="567"/>
        <w:rPr>
          <w:rFonts w:asciiTheme="minorHAnsi" w:hAnsiTheme="minorHAnsi" w:cstheme="minorHAnsi"/>
          <w:lang w:val="cs-CZ"/>
        </w:rPr>
      </w:pPr>
      <w:r w:rsidRPr="004E4F45">
        <w:rPr>
          <w:rFonts w:asciiTheme="minorHAnsi" w:hAnsiTheme="minorHAnsi" w:cstheme="minorHAnsi"/>
          <w:lang w:val="cs-CZ"/>
        </w:rPr>
        <w:t xml:space="preserve">Místem plnění je </w:t>
      </w:r>
      <w:r w:rsidR="0027543C" w:rsidRPr="004E4F45">
        <w:rPr>
          <w:rFonts w:asciiTheme="minorHAnsi" w:hAnsiTheme="minorHAnsi" w:cstheme="minorHAnsi"/>
          <w:lang w:val="cs-CZ"/>
        </w:rPr>
        <w:t xml:space="preserve">Česká republika, zejména území města Prahy, </w:t>
      </w:r>
      <w:r w:rsidRPr="004E4F45">
        <w:rPr>
          <w:rFonts w:asciiTheme="minorHAnsi" w:hAnsiTheme="minorHAnsi" w:cstheme="minorHAnsi"/>
          <w:lang w:val="cs-CZ"/>
        </w:rPr>
        <w:t xml:space="preserve">sídlo </w:t>
      </w:r>
      <w:r w:rsidR="0027543C" w:rsidRPr="004E4F45">
        <w:rPr>
          <w:rFonts w:asciiTheme="minorHAnsi" w:hAnsiTheme="minorHAnsi" w:cstheme="minorHAnsi"/>
          <w:lang w:val="cs-CZ"/>
        </w:rPr>
        <w:t>Objednatele</w:t>
      </w:r>
      <w:r w:rsidRPr="004E4F45">
        <w:rPr>
          <w:rFonts w:asciiTheme="minorHAnsi" w:hAnsiTheme="minorHAnsi" w:cstheme="minorHAnsi"/>
          <w:lang w:val="cs-CZ"/>
        </w:rPr>
        <w:t>, sídlo Poskytovatele</w:t>
      </w:r>
      <w:r w:rsidR="0027543C" w:rsidRPr="004E4F45">
        <w:rPr>
          <w:rFonts w:asciiTheme="minorHAnsi" w:hAnsiTheme="minorHAnsi" w:cstheme="minorHAnsi"/>
          <w:lang w:val="cs-CZ"/>
        </w:rPr>
        <w:t xml:space="preserve"> či</w:t>
      </w:r>
      <w:r w:rsidRPr="004E4F45">
        <w:rPr>
          <w:rFonts w:asciiTheme="minorHAnsi" w:hAnsiTheme="minorHAnsi" w:cstheme="minorHAnsi"/>
          <w:lang w:val="cs-CZ"/>
        </w:rPr>
        <w:t xml:space="preserve"> případně jiná místa dle dohody Smluvních stran</w:t>
      </w:r>
      <w:r w:rsidR="0027543C" w:rsidRPr="004E4F45">
        <w:rPr>
          <w:rFonts w:asciiTheme="minorHAnsi" w:hAnsiTheme="minorHAnsi" w:cstheme="minorHAnsi"/>
          <w:lang w:val="cs-CZ"/>
        </w:rPr>
        <w:t>.</w:t>
      </w:r>
    </w:p>
    <w:p w14:paraId="5CE85E55" w14:textId="77777777" w:rsidR="0027543C" w:rsidRPr="004E4F45" w:rsidRDefault="0027543C" w:rsidP="0027543C">
      <w:pPr>
        <w:pStyle w:val="Zkladntext"/>
        <w:numPr>
          <w:ilvl w:val="0"/>
          <w:numId w:val="15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autoSpaceDE/>
        <w:autoSpaceDN/>
        <w:adjustRightInd/>
        <w:spacing w:before="240" w:after="120"/>
        <w:rPr>
          <w:rFonts w:asciiTheme="minorHAnsi" w:hAnsiTheme="minorHAnsi" w:cstheme="minorHAnsi"/>
          <w:b/>
          <w:lang w:val="cs-CZ"/>
        </w:rPr>
      </w:pPr>
      <w:r w:rsidRPr="004E4F45">
        <w:rPr>
          <w:rFonts w:asciiTheme="minorHAnsi" w:hAnsiTheme="minorHAnsi" w:cstheme="minorHAnsi"/>
          <w:b/>
          <w:lang w:val="cs-CZ"/>
        </w:rPr>
        <w:t>Dílčí objednávky a rámcový charakter Rámcové dohody</w:t>
      </w:r>
    </w:p>
    <w:p w14:paraId="5977DCA3" w14:textId="77777777" w:rsidR="0027543C" w:rsidRPr="004E4F45" w:rsidRDefault="0027543C" w:rsidP="0027543C">
      <w:pPr>
        <w:pStyle w:val="Zkladntext"/>
        <w:numPr>
          <w:ilvl w:val="1"/>
          <w:numId w:val="15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autoSpaceDE/>
        <w:autoSpaceDN/>
        <w:adjustRightInd/>
        <w:spacing w:before="120" w:after="120"/>
        <w:ind w:left="567" w:hanging="567"/>
        <w:rPr>
          <w:rFonts w:asciiTheme="minorHAnsi" w:hAnsiTheme="minorHAnsi" w:cstheme="minorHAnsi"/>
          <w:lang w:val="cs-CZ"/>
        </w:rPr>
      </w:pPr>
      <w:r w:rsidRPr="004E4F45">
        <w:rPr>
          <w:rFonts w:asciiTheme="minorHAnsi" w:eastAsiaTheme="minorHAnsi" w:hAnsiTheme="minorHAnsi" w:cstheme="minorHAnsi"/>
          <w:lang w:val="cs-CZ" w:eastAsia="en-US"/>
        </w:rPr>
        <w:t>Plnění dle této Rámcové dohody</w:t>
      </w:r>
      <w:r w:rsidRPr="004E4F45">
        <w:rPr>
          <w:rFonts w:asciiTheme="minorHAnsi" w:hAnsiTheme="minorHAnsi" w:cstheme="minorHAnsi"/>
          <w:b/>
          <w:lang w:val="cs-CZ"/>
        </w:rPr>
        <w:t xml:space="preserve"> </w:t>
      </w:r>
      <w:r w:rsidRPr="004E4F45">
        <w:rPr>
          <w:rFonts w:asciiTheme="minorHAnsi" w:hAnsiTheme="minorHAnsi" w:cstheme="minorHAnsi"/>
          <w:lang w:val="cs-CZ"/>
        </w:rPr>
        <w:t xml:space="preserve">bude prováděno na základě dílčích objednávek provedených </w:t>
      </w:r>
      <w:r w:rsidR="00C567C6">
        <w:rPr>
          <w:rFonts w:asciiTheme="minorHAnsi" w:hAnsiTheme="minorHAnsi" w:cstheme="minorHAnsi"/>
          <w:lang w:val="cs-CZ"/>
        </w:rPr>
        <w:t>Objednatelem</w:t>
      </w:r>
      <w:r w:rsidRPr="004E4F45">
        <w:rPr>
          <w:rFonts w:asciiTheme="minorHAnsi" w:hAnsiTheme="minorHAnsi" w:cstheme="minorHAnsi"/>
          <w:lang w:val="cs-CZ"/>
        </w:rPr>
        <w:t xml:space="preserve"> dle jeho vůle, potřeb a zájmů dle podmínek uvedených v této Rámcové dohodě a</w:t>
      </w:r>
      <w:r w:rsidR="0038631A">
        <w:rPr>
          <w:rFonts w:asciiTheme="minorHAnsi" w:hAnsiTheme="minorHAnsi" w:cstheme="minorHAnsi"/>
          <w:lang w:val="cs-CZ"/>
        </w:rPr>
        <w:t> </w:t>
      </w:r>
      <w:r w:rsidRPr="004E4F45">
        <w:rPr>
          <w:rFonts w:asciiTheme="minorHAnsi" w:hAnsiTheme="minorHAnsi" w:cstheme="minorHAnsi"/>
          <w:lang w:val="cs-CZ"/>
        </w:rPr>
        <w:t xml:space="preserve">za cenu uvedenou dle této Rámcové dohody. </w:t>
      </w:r>
    </w:p>
    <w:p w14:paraId="6658396C" w14:textId="77777777" w:rsidR="0027543C" w:rsidRPr="004E4F45" w:rsidRDefault="0027543C" w:rsidP="0027543C">
      <w:pPr>
        <w:pStyle w:val="Zkladntext"/>
        <w:numPr>
          <w:ilvl w:val="1"/>
          <w:numId w:val="15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autoSpaceDE/>
        <w:autoSpaceDN/>
        <w:adjustRightInd/>
        <w:spacing w:before="120" w:after="120"/>
        <w:ind w:left="567" w:hanging="567"/>
        <w:rPr>
          <w:rFonts w:asciiTheme="minorHAnsi" w:hAnsiTheme="minorHAnsi" w:cstheme="minorHAnsi"/>
          <w:lang w:val="cs-CZ"/>
        </w:rPr>
      </w:pPr>
      <w:r w:rsidRPr="004E4F45">
        <w:rPr>
          <w:rFonts w:asciiTheme="minorHAnsi" w:hAnsiTheme="minorHAnsi" w:cstheme="minorHAnsi"/>
          <w:lang w:val="cs-CZ"/>
        </w:rPr>
        <w:t xml:space="preserve">Předmětem jednotlivé dílčí objednávky bude závazek Poskytovatele poskytnout Objednateli právní služby, které vymezí Objednatel v dílčí objednávce. Objednatel je oprávněn v dílčí objednávce stanovit maximální možnou cenu dílčí objednávky. Dílčí objednávka bude Objednateli zaslána e-mailem nebo bude uskutečněna zápisem z jednání s Objednatelem. Objednatel je povinen dílčí objednávku písemně potvrdit do jednoho pracovního dne, s výjimkou případů, kdy dle zákona, zejm. dle zákona o advokacii, není možné, aby dílčí objednávku přijal, přičemž je povinen o této skutečnosti Objednatele neprodleně informovat. </w:t>
      </w:r>
      <w:r w:rsidR="00A4787D">
        <w:rPr>
          <w:rFonts w:asciiTheme="minorHAnsi" w:hAnsiTheme="minorHAnsi" w:cstheme="minorHAnsi"/>
          <w:lang w:val="cs-CZ"/>
        </w:rPr>
        <w:t>P</w:t>
      </w:r>
      <w:r w:rsidR="00A4787D" w:rsidRPr="00A4787D">
        <w:rPr>
          <w:rFonts w:asciiTheme="minorHAnsi" w:hAnsiTheme="minorHAnsi" w:cstheme="minorHAnsi"/>
          <w:lang w:val="cs-CZ"/>
        </w:rPr>
        <w:t xml:space="preserve">okud se </w:t>
      </w:r>
      <w:r w:rsidR="00A4787D">
        <w:rPr>
          <w:rFonts w:asciiTheme="minorHAnsi" w:hAnsiTheme="minorHAnsi" w:cstheme="minorHAnsi"/>
          <w:lang w:val="cs-CZ"/>
        </w:rPr>
        <w:t xml:space="preserve">Poskytovatel </w:t>
      </w:r>
      <w:r w:rsidR="00A4787D" w:rsidRPr="00A4787D">
        <w:rPr>
          <w:rFonts w:asciiTheme="minorHAnsi" w:hAnsiTheme="minorHAnsi" w:cstheme="minorHAnsi"/>
          <w:lang w:val="cs-CZ"/>
        </w:rPr>
        <w:t>v uvedené lhůtě k</w:t>
      </w:r>
      <w:r w:rsidR="00A4787D">
        <w:rPr>
          <w:rFonts w:asciiTheme="minorHAnsi" w:hAnsiTheme="minorHAnsi" w:cstheme="minorHAnsi"/>
          <w:lang w:val="cs-CZ"/>
        </w:rPr>
        <w:t xml:space="preserve"> dílčí objednávce </w:t>
      </w:r>
      <w:r w:rsidR="00A4787D" w:rsidRPr="00A4787D">
        <w:rPr>
          <w:rFonts w:asciiTheme="minorHAnsi" w:hAnsiTheme="minorHAnsi" w:cstheme="minorHAnsi"/>
          <w:lang w:val="cs-CZ"/>
        </w:rPr>
        <w:t>nevyjádří,</w:t>
      </w:r>
      <w:r w:rsidR="00A4787D">
        <w:rPr>
          <w:rFonts w:asciiTheme="minorHAnsi" w:hAnsiTheme="minorHAnsi" w:cstheme="minorHAnsi"/>
          <w:lang w:val="cs-CZ"/>
        </w:rPr>
        <w:t xml:space="preserve"> považuje se dílčí objednávka za přijatou</w:t>
      </w:r>
      <w:r w:rsidR="00A4787D" w:rsidRPr="00A4787D">
        <w:rPr>
          <w:rFonts w:asciiTheme="minorHAnsi" w:hAnsiTheme="minorHAnsi" w:cstheme="minorHAnsi"/>
          <w:lang w:val="cs-CZ"/>
        </w:rPr>
        <w:t>.</w:t>
      </w:r>
    </w:p>
    <w:p w14:paraId="619FC6C3" w14:textId="77777777" w:rsidR="0027543C" w:rsidRPr="004E4F45" w:rsidRDefault="0027543C" w:rsidP="0027543C">
      <w:pPr>
        <w:pStyle w:val="Zkladntext"/>
        <w:numPr>
          <w:ilvl w:val="1"/>
          <w:numId w:val="15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autoSpaceDE/>
        <w:autoSpaceDN/>
        <w:adjustRightInd/>
        <w:spacing w:before="120" w:after="120"/>
        <w:ind w:left="567" w:hanging="567"/>
        <w:rPr>
          <w:rFonts w:asciiTheme="minorHAnsi" w:hAnsiTheme="minorHAnsi" w:cstheme="minorHAnsi"/>
          <w:lang w:val="cs-CZ"/>
        </w:rPr>
      </w:pPr>
      <w:r w:rsidRPr="004E4F45">
        <w:rPr>
          <w:rFonts w:asciiTheme="minorHAnsi" w:hAnsiTheme="minorHAnsi" w:cstheme="minorHAnsi"/>
          <w:lang w:val="cs-CZ"/>
        </w:rPr>
        <w:t>Objednatel je oprávněn v dílčí objednávce požadovat po Poskytovateli odhad možné ceny dílčí objednávky, resp. počet hodin právních služeb potřebných pro naplnění dílčí objednávky a</w:t>
      </w:r>
      <w:r w:rsidR="0038631A">
        <w:rPr>
          <w:rFonts w:asciiTheme="minorHAnsi" w:hAnsiTheme="minorHAnsi" w:cstheme="minorHAnsi"/>
          <w:lang w:val="cs-CZ"/>
        </w:rPr>
        <w:t> </w:t>
      </w:r>
      <w:r w:rsidRPr="004E4F45">
        <w:rPr>
          <w:rFonts w:asciiTheme="minorHAnsi" w:hAnsiTheme="minorHAnsi" w:cstheme="minorHAnsi"/>
          <w:lang w:val="cs-CZ"/>
        </w:rPr>
        <w:t xml:space="preserve">Poskytovatel je povinen tento odhad odpovídající zvážení všech rozhodných skutečností Objednateli poskytnout; v případě, že při plnění dílčí objednávky dojde k naplnění Poskytovatelem odhadovaného rozsahu, je Poskytovatel povinen o tom neprodleně Objednatele informovat a vyžádat si souhlas s pokračováním v plnění dílčí objednávky od Objednatele. </w:t>
      </w:r>
    </w:p>
    <w:p w14:paraId="49992192" w14:textId="77777777" w:rsidR="0027543C" w:rsidRPr="004E4F45" w:rsidRDefault="0027543C" w:rsidP="0027543C">
      <w:pPr>
        <w:pStyle w:val="Zkladntext"/>
        <w:numPr>
          <w:ilvl w:val="1"/>
          <w:numId w:val="15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autoSpaceDE/>
        <w:autoSpaceDN/>
        <w:adjustRightInd/>
        <w:spacing w:before="120" w:after="120"/>
        <w:ind w:left="567" w:hanging="567"/>
        <w:rPr>
          <w:rFonts w:asciiTheme="minorHAnsi" w:hAnsiTheme="minorHAnsi" w:cstheme="minorHAnsi"/>
          <w:b/>
          <w:lang w:val="cs-CZ"/>
        </w:rPr>
      </w:pPr>
      <w:r w:rsidRPr="004E4F45">
        <w:rPr>
          <w:rFonts w:asciiTheme="minorHAnsi" w:eastAsiaTheme="minorHAnsi" w:hAnsiTheme="minorHAnsi" w:cstheme="minorHAnsi"/>
          <w:lang w:val="cs-CZ" w:eastAsia="en-US"/>
        </w:rPr>
        <w:t>Smluvní strany se dohodly, že jim je známa skutečnost, že tato Rámcová dohoda má rámcový charakter a Objednatel není povinen k žádnému odběru plnění z této Rámcové dohody</w:t>
      </w:r>
      <w:r w:rsidR="003F6018" w:rsidRPr="004E4F45">
        <w:rPr>
          <w:rFonts w:asciiTheme="minorHAnsi" w:eastAsiaTheme="minorHAnsi" w:hAnsiTheme="minorHAnsi" w:cstheme="minorHAnsi"/>
          <w:lang w:val="cs-CZ" w:eastAsia="en-US"/>
        </w:rPr>
        <w:t>.</w:t>
      </w:r>
    </w:p>
    <w:p w14:paraId="12A9CC1D" w14:textId="77777777" w:rsidR="0027543C" w:rsidRPr="004E4F45" w:rsidRDefault="0027543C" w:rsidP="0027543C">
      <w:pPr>
        <w:pStyle w:val="Zkladntext"/>
        <w:numPr>
          <w:ilvl w:val="1"/>
          <w:numId w:val="15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autoSpaceDE/>
        <w:autoSpaceDN/>
        <w:adjustRightInd/>
        <w:spacing w:before="120" w:after="120"/>
        <w:ind w:left="567" w:hanging="567"/>
        <w:rPr>
          <w:rFonts w:asciiTheme="minorHAnsi" w:hAnsiTheme="minorHAnsi" w:cstheme="minorHAnsi"/>
          <w:lang w:val="cs-CZ"/>
        </w:rPr>
      </w:pPr>
      <w:r w:rsidRPr="004E4F45">
        <w:rPr>
          <w:rFonts w:asciiTheme="minorHAnsi" w:hAnsiTheme="minorHAnsi" w:cstheme="minorHAnsi"/>
          <w:lang w:val="cs-CZ"/>
        </w:rPr>
        <w:t xml:space="preserve">Poskytovatel je povinen reagovat na dílčí objednávky Objednatele vždy bez zbytečného odkladu a při nalézání termínů dle této Rámcové dohody postupovat rychle a efektivně, bez způsobování zbytečných průtahů. </w:t>
      </w:r>
    </w:p>
    <w:p w14:paraId="1708217F" w14:textId="77777777" w:rsidR="00385FB6" w:rsidRPr="004E4F45" w:rsidRDefault="00385FB6" w:rsidP="00385FB6">
      <w:pPr>
        <w:pStyle w:val="Zkladntextodsazen2"/>
        <w:tabs>
          <w:tab w:val="left" w:pos="567"/>
        </w:tabs>
        <w:spacing w:line="240" w:lineRule="auto"/>
        <w:ind w:left="567" w:hanging="567"/>
        <w:jc w:val="both"/>
        <w:rPr>
          <w:rFonts w:cstheme="minorHAnsi"/>
        </w:rPr>
      </w:pPr>
      <w:r w:rsidRPr="004E4F45">
        <w:rPr>
          <w:rFonts w:cstheme="minorHAnsi"/>
        </w:rPr>
        <w:t>2.6</w:t>
      </w:r>
      <w:r w:rsidRPr="004E4F45">
        <w:rPr>
          <w:rFonts w:cstheme="minorHAnsi"/>
        </w:rPr>
        <w:tab/>
      </w:r>
      <w:r w:rsidR="003F6018" w:rsidRPr="004E4F45">
        <w:rPr>
          <w:rFonts w:cstheme="minorHAnsi"/>
        </w:rPr>
        <w:t xml:space="preserve">Termíny </w:t>
      </w:r>
      <w:r w:rsidRPr="004E4F45">
        <w:rPr>
          <w:rFonts w:cstheme="minorHAnsi"/>
        </w:rPr>
        <w:t xml:space="preserve">plnění konkrétních </w:t>
      </w:r>
      <w:r w:rsidR="003F6018" w:rsidRPr="004E4F45">
        <w:rPr>
          <w:rFonts w:cstheme="minorHAnsi"/>
        </w:rPr>
        <w:t xml:space="preserve">dílčích objednávek, případně konkrétních </w:t>
      </w:r>
      <w:r w:rsidRPr="004E4F45">
        <w:rPr>
          <w:rFonts w:cstheme="minorHAnsi"/>
        </w:rPr>
        <w:t xml:space="preserve">úkolů podle </w:t>
      </w:r>
      <w:r w:rsidR="003F6018" w:rsidRPr="004E4F45">
        <w:rPr>
          <w:rFonts w:cstheme="minorHAnsi"/>
        </w:rPr>
        <w:t xml:space="preserve">dílčích objednávek, </w:t>
      </w:r>
      <w:r w:rsidRPr="004E4F45">
        <w:rPr>
          <w:rFonts w:cstheme="minorHAnsi"/>
        </w:rPr>
        <w:t xml:space="preserve">určuje </w:t>
      </w:r>
      <w:r w:rsidR="008901A9" w:rsidRPr="004E4F45">
        <w:rPr>
          <w:rFonts w:cstheme="minorHAnsi"/>
        </w:rPr>
        <w:t>Objednatel</w:t>
      </w:r>
      <w:r w:rsidRPr="004E4F45">
        <w:rPr>
          <w:rFonts w:cstheme="minorHAnsi"/>
        </w:rPr>
        <w:t xml:space="preserve"> v součinnosti s Poskytovatelem tímto postupem:</w:t>
      </w:r>
    </w:p>
    <w:p w14:paraId="2DF9B804" w14:textId="77777777" w:rsidR="00385FB6" w:rsidRPr="004E4F45" w:rsidRDefault="00385FB6" w:rsidP="00385FB6">
      <w:pPr>
        <w:pStyle w:val="Zkladntextodsazen2"/>
        <w:spacing w:line="240" w:lineRule="auto"/>
        <w:ind w:left="1418" w:hanging="851"/>
        <w:jc w:val="both"/>
        <w:rPr>
          <w:rFonts w:cstheme="minorHAnsi"/>
        </w:rPr>
      </w:pPr>
      <w:r w:rsidRPr="004E4F45">
        <w:rPr>
          <w:rFonts w:cstheme="minorHAnsi"/>
        </w:rPr>
        <w:t xml:space="preserve">2.6.1. </w:t>
      </w:r>
      <w:r w:rsidRPr="004E4F45">
        <w:rPr>
          <w:rFonts w:cstheme="minorHAnsi"/>
        </w:rPr>
        <w:tab/>
      </w:r>
      <w:r w:rsidR="008901A9" w:rsidRPr="004E4F45">
        <w:rPr>
          <w:rFonts w:cstheme="minorHAnsi"/>
        </w:rPr>
        <w:t>Objednatel</w:t>
      </w:r>
      <w:r w:rsidRPr="004E4F45">
        <w:rPr>
          <w:rFonts w:cstheme="minorHAnsi"/>
        </w:rPr>
        <w:t xml:space="preserve"> zašle Poskytovateli e-mailem návrh termínu, </w:t>
      </w:r>
    </w:p>
    <w:p w14:paraId="601531BD" w14:textId="77777777" w:rsidR="00385FB6" w:rsidRPr="004E4F45" w:rsidRDefault="00385FB6" w:rsidP="00385FB6">
      <w:pPr>
        <w:pStyle w:val="Zkladntextodsazen2"/>
        <w:spacing w:line="240" w:lineRule="auto"/>
        <w:ind w:left="1418" w:hanging="851"/>
        <w:jc w:val="both"/>
        <w:rPr>
          <w:rFonts w:cstheme="minorHAnsi"/>
        </w:rPr>
      </w:pPr>
      <w:r w:rsidRPr="004E4F45">
        <w:rPr>
          <w:rFonts w:cstheme="minorHAnsi"/>
        </w:rPr>
        <w:t>2.6.2.</w:t>
      </w:r>
      <w:r w:rsidRPr="004E4F45">
        <w:rPr>
          <w:rFonts w:cstheme="minorHAnsi"/>
        </w:rPr>
        <w:tab/>
        <w:t xml:space="preserve">pokud Poskytovatel do </w:t>
      </w:r>
      <w:r w:rsidR="003D7A48" w:rsidRPr="004E4F45">
        <w:rPr>
          <w:rFonts w:cstheme="minorHAnsi"/>
        </w:rPr>
        <w:t xml:space="preserve">jednoho </w:t>
      </w:r>
      <w:r w:rsidRPr="004E4F45">
        <w:rPr>
          <w:rFonts w:cstheme="minorHAnsi"/>
        </w:rPr>
        <w:t xml:space="preserve">pracovního dne po návrhu neinformuje e-mailem </w:t>
      </w:r>
      <w:r w:rsidR="0027543C" w:rsidRPr="004E4F45">
        <w:rPr>
          <w:rFonts w:cstheme="minorHAnsi"/>
        </w:rPr>
        <w:t>Objednatele</w:t>
      </w:r>
      <w:r w:rsidRPr="004E4F45">
        <w:rPr>
          <w:rFonts w:cstheme="minorHAnsi"/>
        </w:rPr>
        <w:t>, že o termínu chce jednat, platí, že navržený termín Poskytovatel akceptoval,</w:t>
      </w:r>
    </w:p>
    <w:p w14:paraId="28221A05" w14:textId="77777777" w:rsidR="00385FB6" w:rsidRPr="004E4F45" w:rsidRDefault="00385FB6" w:rsidP="00385FB6">
      <w:pPr>
        <w:pStyle w:val="Zkladntextodsazen2"/>
        <w:spacing w:line="240" w:lineRule="auto"/>
        <w:ind w:left="1418" w:hanging="851"/>
        <w:jc w:val="both"/>
        <w:rPr>
          <w:rFonts w:cstheme="minorHAnsi"/>
        </w:rPr>
      </w:pPr>
      <w:r w:rsidRPr="004E4F45">
        <w:rPr>
          <w:rFonts w:cstheme="minorHAnsi"/>
        </w:rPr>
        <w:t>2.6.3.</w:t>
      </w:r>
      <w:r w:rsidRPr="004E4F45">
        <w:rPr>
          <w:rFonts w:cstheme="minorHAnsi"/>
        </w:rPr>
        <w:tab/>
        <w:t xml:space="preserve">pokud Poskytovatel chce o termínu s </w:t>
      </w:r>
      <w:r w:rsidR="008901A9" w:rsidRPr="004E4F45">
        <w:rPr>
          <w:rFonts w:cstheme="minorHAnsi"/>
        </w:rPr>
        <w:t>Objednatel</w:t>
      </w:r>
      <w:r w:rsidRPr="004E4F45">
        <w:rPr>
          <w:rFonts w:cstheme="minorHAnsi"/>
        </w:rPr>
        <w:t xml:space="preserve">em jednat, informuje ho o této skutečnosti e-mailem, </w:t>
      </w:r>
    </w:p>
    <w:p w14:paraId="3F4CFD0B" w14:textId="77777777" w:rsidR="00385FB6" w:rsidRDefault="00385FB6" w:rsidP="00385FB6">
      <w:pPr>
        <w:pStyle w:val="Zkladntextodsazen2"/>
        <w:spacing w:line="240" w:lineRule="auto"/>
        <w:ind w:left="1418" w:hanging="851"/>
        <w:jc w:val="both"/>
        <w:rPr>
          <w:rFonts w:cstheme="minorHAnsi"/>
        </w:rPr>
      </w:pPr>
      <w:r w:rsidRPr="004E4F45">
        <w:rPr>
          <w:rFonts w:cstheme="minorHAnsi"/>
        </w:rPr>
        <w:t>2.6.4</w:t>
      </w:r>
      <w:r w:rsidRPr="004E4F45">
        <w:rPr>
          <w:rFonts w:cstheme="minorHAnsi"/>
        </w:rPr>
        <w:tab/>
        <w:t xml:space="preserve">nedaří-li se nalézt shodu na konečném termínu do </w:t>
      </w:r>
      <w:r w:rsidR="00FF0853">
        <w:rPr>
          <w:rFonts w:cstheme="minorHAnsi"/>
        </w:rPr>
        <w:t>4</w:t>
      </w:r>
      <w:r w:rsidRPr="004E4F45">
        <w:rPr>
          <w:rFonts w:cstheme="minorHAnsi"/>
        </w:rPr>
        <w:t xml:space="preserve"> pracovních dnů od prvotního návrhu, určí konečný termín </w:t>
      </w:r>
      <w:r w:rsidR="008901A9" w:rsidRPr="004E4F45">
        <w:rPr>
          <w:rFonts w:cstheme="minorHAnsi"/>
        </w:rPr>
        <w:t>Objednatel</w:t>
      </w:r>
      <w:r w:rsidRPr="004E4F45">
        <w:rPr>
          <w:rFonts w:cstheme="minorHAnsi"/>
        </w:rPr>
        <w:t xml:space="preserve"> s přihlédnutím k obsahu dosavadního jednání, což potvrdí e-mailem.</w:t>
      </w:r>
    </w:p>
    <w:p w14:paraId="079476ED" w14:textId="77777777" w:rsidR="00FF0853" w:rsidRPr="004E4F45" w:rsidRDefault="00FF0853" w:rsidP="00FF0853">
      <w:pPr>
        <w:pStyle w:val="Zkladntextodsazen2"/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Poskytovatel je povinen postupovat tak, aby bylo přihlédnuto ke lhůtám stanoveným právními předpisy či ze strany orgánů veřejné moci, dotačních orgánů a podobně.</w:t>
      </w:r>
    </w:p>
    <w:p w14:paraId="65A31319" w14:textId="77777777" w:rsidR="00385FB6" w:rsidRPr="004E4F45" w:rsidRDefault="00385FB6" w:rsidP="0027543C">
      <w:pPr>
        <w:pStyle w:val="Nadpis2"/>
        <w:keepNext/>
        <w:widowControl w:val="0"/>
        <w:numPr>
          <w:ilvl w:val="0"/>
          <w:numId w:val="15"/>
        </w:numPr>
        <w:spacing w:before="240" w:after="120"/>
        <w:ind w:left="857" w:hanging="573"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4E4F45">
        <w:rPr>
          <w:rFonts w:asciiTheme="minorHAnsi" w:hAnsiTheme="minorHAnsi" w:cstheme="minorHAnsi"/>
          <w:b/>
          <w:color w:val="auto"/>
          <w:sz w:val="22"/>
        </w:rPr>
        <w:lastRenderedPageBreak/>
        <w:t>Odměna za poskytování právních služeb</w:t>
      </w:r>
    </w:p>
    <w:p w14:paraId="3C209E58" w14:textId="77777777" w:rsidR="00385FB6" w:rsidRPr="004E4F45" w:rsidRDefault="00385FB6" w:rsidP="00286843">
      <w:pPr>
        <w:pStyle w:val="Zkladntextodsazen2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</w:rPr>
      </w:pPr>
      <w:r w:rsidRPr="004E4F45">
        <w:rPr>
          <w:rFonts w:cstheme="minorHAnsi"/>
        </w:rPr>
        <w:t>Odměna za právní služby dle této Rámcové dohody byla sjednána</w:t>
      </w:r>
      <w:r w:rsidR="003D7A48" w:rsidRPr="004E4F45">
        <w:rPr>
          <w:rFonts w:cstheme="minorHAnsi"/>
        </w:rPr>
        <w:t xml:space="preserve"> ve výši</w:t>
      </w:r>
      <w:r w:rsidR="003D7A48" w:rsidRPr="00CE4A10">
        <w:rPr>
          <w:rFonts w:cstheme="minorHAnsi"/>
          <w:b/>
        </w:rPr>
        <w:t xml:space="preserve"> 1 800</w:t>
      </w:r>
      <w:r w:rsidRPr="00CE4A10">
        <w:rPr>
          <w:rFonts w:cstheme="minorHAnsi"/>
          <w:b/>
        </w:rPr>
        <w:t xml:space="preserve"> Kč bez DPH</w:t>
      </w:r>
      <w:r w:rsidRPr="004E4F45">
        <w:rPr>
          <w:rFonts w:cstheme="minorHAnsi"/>
        </w:rPr>
        <w:t xml:space="preserve"> za 1</w:t>
      </w:r>
      <w:r w:rsidR="00FF0853">
        <w:rPr>
          <w:rFonts w:cstheme="minorHAnsi"/>
        </w:rPr>
        <w:t> </w:t>
      </w:r>
      <w:r w:rsidRPr="004E4F45">
        <w:rPr>
          <w:rFonts w:cstheme="minorHAnsi"/>
        </w:rPr>
        <w:t xml:space="preserve">hodinu (60 minut) </w:t>
      </w:r>
      <w:r w:rsidR="00CE4A10">
        <w:rPr>
          <w:rFonts w:cstheme="minorHAnsi"/>
        </w:rPr>
        <w:t>poskytování právních služeb</w:t>
      </w:r>
      <w:r w:rsidRPr="004E4F45">
        <w:rPr>
          <w:rFonts w:cstheme="minorHAnsi"/>
        </w:rPr>
        <w:t>.</w:t>
      </w:r>
      <w:r w:rsidR="003D7A48" w:rsidRPr="004E4F45">
        <w:rPr>
          <w:rFonts w:cstheme="minorHAnsi"/>
        </w:rPr>
        <w:t xml:space="preserve"> K částce bude připočteno DPH vždy dle aktuální sazby dle právních předpisů.</w:t>
      </w:r>
    </w:p>
    <w:p w14:paraId="4A675DE6" w14:textId="77777777" w:rsidR="00385FB6" w:rsidRPr="004E4F45" w:rsidRDefault="00385FB6" w:rsidP="0027543C">
      <w:pPr>
        <w:pStyle w:val="Zkladntextodsazen2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</w:rPr>
      </w:pPr>
      <w:r w:rsidRPr="004E4F45">
        <w:rPr>
          <w:rFonts w:cstheme="minorHAnsi"/>
        </w:rPr>
        <w:t xml:space="preserve">Odměna se účtuje </w:t>
      </w:r>
      <w:bookmarkStart w:id="1" w:name="_Hlk121409805"/>
      <w:r w:rsidR="002A3849" w:rsidRPr="004E4F45">
        <w:rPr>
          <w:rFonts w:cstheme="minorHAnsi"/>
        </w:rPr>
        <w:t xml:space="preserve">za každou započatou čtvrthodinu </w:t>
      </w:r>
      <w:r w:rsidRPr="004E4F45">
        <w:rPr>
          <w:rFonts w:cstheme="minorHAnsi"/>
        </w:rPr>
        <w:t xml:space="preserve">(tj. za </w:t>
      </w:r>
      <w:r w:rsidR="002A3849" w:rsidRPr="004E4F45">
        <w:rPr>
          <w:rFonts w:cstheme="minorHAnsi"/>
        </w:rPr>
        <w:t>15</w:t>
      </w:r>
      <w:r w:rsidRPr="004E4F45">
        <w:rPr>
          <w:rFonts w:cstheme="minorHAnsi"/>
        </w:rPr>
        <w:t xml:space="preserve"> minut) </w:t>
      </w:r>
      <w:bookmarkEnd w:id="1"/>
      <w:r w:rsidRPr="004E4F45">
        <w:rPr>
          <w:rFonts w:cstheme="minorHAnsi"/>
        </w:rPr>
        <w:t>práce Poskytovatele.</w:t>
      </w:r>
    </w:p>
    <w:p w14:paraId="7A8A28C7" w14:textId="77777777" w:rsidR="00665632" w:rsidRPr="00665632" w:rsidRDefault="00665632" w:rsidP="00665632">
      <w:pPr>
        <w:pStyle w:val="Zkladntextodsazen2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</w:rPr>
      </w:pPr>
      <w:r w:rsidRPr="00665632">
        <w:rPr>
          <w:rFonts w:cstheme="minorHAnsi"/>
        </w:rPr>
        <w:t>Součástí odměny</w:t>
      </w:r>
      <w:r>
        <w:rPr>
          <w:rFonts w:cstheme="minorHAnsi"/>
        </w:rPr>
        <w:t xml:space="preserve"> za právní služby</w:t>
      </w:r>
      <w:r w:rsidR="00CE4A10">
        <w:rPr>
          <w:rFonts w:cstheme="minorHAnsi"/>
        </w:rPr>
        <w:t xml:space="preserve"> dle odst. 3.1</w:t>
      </w:r>
      <w:r>
        <w:rPr>
          <w:rFonts w:cstheme="minorHAnsi"/>
        </w:rPr>
        <w:t xml:space="preserve"> jsou rovněž náklady, které Poskytovateli v souvislosti s poskytováním právních služeb vznikly, zejména pak náklady na </w:t>
      </w:r>
      <w:r w:rsidR="00C514B6">
        <w:rPr>
          <w:rFonts w:cstheme="minorHAnsi"/>
        </w:rPr>
        <w:t xml:space="preserve">cestovné, </w:t>
      </w:r>
      <w:r>
        <w:rPr>
          <w:rFonts w:cstheme="minorHAnsi"/>
        </w:rPr>
        <w:t>tisk</w:t>
      </w:r>
      <w:r w:rsidR="00C514B6">
        <w:rPr>
          <w:rFonts w:cstheme="minorHAnsi"/>
        </w:rPr>
        <w:t>, fotokopie</w:t>
      </w:r>
      <w:r>
        <w:rPr>
          <w:rFonts w:cstheme="minorHAnsi"/>
        </w:rPr>
        <w:t>, hovorné</w:t>
      </w:r>
      <w:r w:rsidR="00C514B6">
        <w:rPr>
          <w:rFonts w:cstheme="minorHAnsi"/>
        </w:rPr>
        <w:t xml:space="preserve"> a další telekomunikační poplatky</w:t>
      </w:r>
      <w:r>
        <w:rPr>
          <w:rFonts w:cstheme="minorHAnsi"/>
        </w:rPr>
        <w:t xml:space="preserve"> či poštovné.</w:t>
      </w:r>
      <w:r w:rsidRPr="00665632">
        <w:rPr>
          <w:rFonts w:cstheme="minorHAnsi"/>
        </w:rPr>
        <w:t xml:space="preserve"> </w:t>
      </w:r>
      <w:r>
        <w:rPr>
          <w:rFonts w:cstheme="minorHAnsi"/>
        </w:rPr>
        <w:t>Součástí odměny nejsou</w:t>
      </w:r>
      <w:r w:rsidRPr="00665632">
        <w:rPr>
          <w:rFonts w:cstheme="minorHAnsi"/>
        </w:rPr>
        <w:t xml:space="preserve"> náklady na vypracování znaleckých posudků, překladů, </w:t>
      </w:r>
      <w:r w:rsidR="00C514B6">
        <w:rPr>
          <w:rFonts w:cstheme="minorHAnsi"/>
        </w:rPr>
        <w:t xml:space="preserve">ověřování podpisů, </w:t>
      </w:r>
      <w:r w:rsidRPr="00665632">
        <w:rPr>
          <w:rFonts w:cstheme="minorHAnsi"/>
        </w:rPr>
        <w:t>soudní, správní, notářské a jiné poplatky, které</w:t>
      </w:r>
      <w:r w:rsidR="00C514B6">
        <w:rPr>
          <w:rFonts w:cstheme="minorHAnsi"/>
        </w:rPr>
        <w:t xml:space="preserve"> Poskytovatel v rámci</w:t>
      </w:r>
      <w:r w:rsidRPr="00665632">
        <w:rPr>
          <w:rFonts w:cstheme="minorHAnsi"/>
        </w:rPr>
        <w:t xml:space="preserve"> </w:t>
      </w:r>
      <w:r w:rsidR="00C514B6">
        <w:rPr>
          <w:rFonts w:cstheme="minorHAnsi"/>
        </w:rPr>
        <w:t xml:space="preserve">poskytování právních služeb </w:t>
      </w:r>
      <w:r w:rsidRPr="00665632">
        <w:rPr>
          <w:rFonts w:cstheme="minorHAnsi"/>
        </w:rPr>
        <w:t xml:space="preserve">hradí příslušným osobám a orgánům </w:t>
      </w:r>
      <w:r w:rsidR="00C514B6">
        <w:rPr>
          <w:rFonts w:cstheme="minorHAnsi"/>
        </w:rPr>
        <w:t>na</w:t>
      </w:r>
      <w:r w:rsidRPr="00665632">
        <w:rPr>
          <w:rFonts w:cstheme="minorHAnsi"/>
        </w:rPr>
        <w:t>přímo</w:t>
      </w:r>
      <w:r w:rsidR="00CE4A10">
        <w:rPr>
          <w:rFonts w:cstheme="minorHAnsi"/>
        </w:rPr>
        <w:t>,</w:t>
      </w:r>
      <w:r w:rsidRPr="00665632">
        <w:rPr>
          <w:rFonts w:cstheme="minorHAnsi"/>
        </w:rPr>
        <w:t xml:space="preserve"> </w:t>
      </w:r>
      <w:r w:rsidR="00C514B6">
        <w:rPr>
          <w:rFonts w:cstheme="minorHAnsi"/>
        </w:rPr>
        <w:t>Poskytovatel</w:t>
      </w:r>
      <w:r w:rsidRPr="00665632">
        <w:rPr>
          <w:rFonts w:cstheme="minorHAnsi"/>
        </w:rPr>
        <w:t xml:space="preserve"> je </w:t>
      </w:r>
      <w:r w:rsidR="00CE4A10">
        <w:rPr>
          <w:rFonts w:cstheme="minorHAnsi"/>
        </w:rPr>
        <w:t xml:space="preserve">však </w:t>
      </w:r>
      <w:r w:rsidRPr="00665632">
        <w:rPr>
          <w:rFonts w:cstheme="minorHAnsi"/>
        </w:rPr>
        <w:t xml:space="preserve">povinen </w:t>
      </w:r>
      <w:r w:rsidR="00C514B6">
        <w:rPr>
          <w:rFonts w:cstheme="minorHAnsi"/>
        </w:rPr>
        <w:t xml:space="preserve">Objednatele </w:t>
      </w:r>
      <w:r w:rsidRPr="00665632">
        <w:rPr>
          <w:rFonts w:cstheme="minorHAnsi"/>
        </w:rPr>
        <w:t xml:space="preserve">o </w:t>
      </w:r>
      <w:r w:rsidR="00C514B6" w:rsidRPr="00665632">
        <w:rPr>
          <w:rFonts w:cstheme="minorHAnsi"/>
        </w:rPr>
        <w:t>t</w:t>
      </w:r>
      <w:r w:rsidR="00C514B6">
        <w:rPr>
          <w:rFonts w:cstheme="minorHAnsi"/>
        </w:rPr>
        <w:t>akových platbách</w:t>
      </w:r>
      <w:r w:rsidRPr="00665632">
        <w:rPr>
          <w:rFonts w:cstheme="minorHAnsi"/>
        </w:rPr>
        <w:t xml:space="preserve"> a</w:t>
      </w:r>
      <w:r w:rsidR="00C514B6">
        <w:rPr>
          <w:rFonts w:cstheme="minorHAnsi"/>
        </w:rPr>
        <w:t xml:space="preserve"> jejich</w:t>
      </w:r>
      <w:r w:rsidRPr="00665632">
        <w:rPr>
          <w:rFonts w:cstheme="minorHAnsi"/>
        </w:rPr>
        <w:t xml:space="preserve"> výši </w:t>
      </w:r>
      <w:r w:rsidR="00C514B6">
        <w:rPr>
          <w:rFonts w:cstheme="minorHAnsi"/>
        </w:rPr>
        <w:t>vždy</w:t>
      </w:r>
      <w:r w:rsidRPr="00665632">
        <w:rPr>
          <w:rFonts w:cstheme="minorHAnsi"/>
        </w:rPr>
        <w:t xml:space="preserve"> včas informovat a v případě úhrady těchto poplatků prostřednictvím </w:t>
      </w:r>
      <w:r w:rsidR="00C514B6">
        <w:rPr>
          <w:rFonts w:cstheme="minorHAnsi"/>
        </w:rPr>
        <w:t>Poskytovatele</w:t>
      </w:r>
      <w:r w:rsidRPr="00665632">
        <w:rPr>
          <w:rFonts w:cstheme="minorHAnsi"/>
        </w:rPr>
        <w:t xml:space="preserve"> vydat </w:t>
      </w:r>
      <w:r w:rsidR="00C514B6">
        <w:rPr>
          <w:rFonts w:cstheme="minorHAnsi"/>
        </w:rPr>
        <w:t xml:space="preserve">Objednateli </w:t>
      </w:r>
      <w:r w:rsidRPr="00665632">
        <w:rPr>
          <w:rFonts w:cstheme="minorHAnsi"/>
        </w:rPr>
        <w:t>příslušné doklady o těchto platbách.</w:t>
      </w:r>
    </w:p>
    <w:p w14:paraId="214B4D89" w14:textId="77777777" w:rsidR="00665632" w:rsidRPr="00665632" w:rsidRDefault="00C514B6" w:rsidP="00665632">
      <w:pPr>
        <w:pStyle w:val="Zkladntextodsazen2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Poskytovateli </w:t>
      </w:r>
      <w:r w:rsidR="00665632" w:rsidRPr="00665632">
        <w:rPr>
          <w:rFonts w:cstheme="minorHAnsi"/>
        </w:rPr>
        <w:t>náleží</w:t>
      </w:r>
      <w:r>
        <w:rPr>
          <w:rFonts w:cstheme="minorHAnsi"/>
        </w:rPr>
        <w:t xml:space="preserve"> skutečné cestovní</w:t>
      </w:r>
      <w:r w:rsidR="00665632" w:rsidRPr="00665632">
        <w:rPr>
          <w:rFonts w:cstheme="minorHAnsi"/>
        </w:rPr>
        <w:t xml:space="preserve"> náhrad</w:t>
      </w:r>
      <w:r>
        <w:rPr>
          <w:rFonts w:cstheme="minorHAnsi"/>
        </w:rPr>
        <w:t>y a náhrady</w:t>
      </w:r>
      <w:r w:rsidR="00665632" w:rsidRPr="00665632">
        <w:rPr>
          <w:rFonts w:cstheme="minorHAnsi"/>
        </w:rPr>
        <w:t xml:space="preserve"> za promeškaný</w:t>
      </w:r>
      <w:r w:rsidRPr="00C514B6">
        <w:rPr>
          <w:rFonts w:cstheme="minorHAnsi"/>
        </w:rPr>
        <w:t xml:space="preserve"> </w:t>
      </w:r>
      <w:r w:rsidRPr="00665632">
        <w:rPr>
          <w:rFonts w:cstheme="minorHAnsi"/>
        </w:rPr>
        <w:t>čas</w:t>
      </w:r>
      <w:r w:rsidR="00665632" w:rsidRPr="00665632">
        <w:rPr>
          <w:rFonts w:cstheme="minorHAnsi"/>
        </w:rPr>
        <w:t xml:space="preserve"> v souvislosti s</w:t>
      </w:r>
      <w:r>
        <w:rPr>
          <w:rFonts w:cstheme="minorHAnsi"/>
        </w:rPr>
        <w:t xml:space="preserve"> poskytováním právních služeb </w:t>
      </w:r>
      <w:r w:rsidR="00665632" w:rsidRPr="00665632">
        <w:rPr>
          <w:rFonts w:cstheme="minorHAnsi"/>
        </w:rPr>
        <w:t>při úkonech prováděných</w:t>
      </w:r>
      <w:r>
        <w:rPr>
          <w:rFonts w:cstheme="minorHAnsi"/>
        </w:rPr>
        <w:t xml:space="preserve"> na žádost Objednatele</w:t>
      </w:r>
      <w:r w:rsidR="00665632" w:rsidRPr="00665632">
        <w:rPr>
          <w:rFonts w:cstheme="minorHAnsi"/>
        </w:rPr>
        <w:t xml:space="preserve"> v místě, které není</w:t>
      </w:r>
      <w:r>
        <w:rPr>
          <w:rFonts w:cstheme="minorHAnsi"/>
        </w:rPr>
        <w:t xml:space="preserve"> na území města Prahy a rovněž není</w:t>
      </w:r>
      <w:r w:rsidR="00665632" w:rsidRPr="00665632">
        <w:rPr>
          <w:rFonts w:cstheme="minorHAnsi"/>
        </w:rPr>
        <w:t xml:space="preserve"> sídlem</w:t>
      </w:r>
      <w:r>
        <w:rPr>
          <w:rFonts w:cstheme="minorHAnsi"/>
        </w:rPr>
        <w:t xml:space="preserve"> </w:t>
      </w:r>
      <w:r w:rsidR="00665632" w:rsidRPr="00665632">
        <w:rPr>
          <w:rFonts w:cstheme="minorHAnsi"/>
        </w:rPr>
        <w:t xml:space="preserve">nebo pobočkou </w:t>
      </w:r>
      <w:r>
        <w:rPr>
          <w:rFonts w:cstheme="minorHAnsi"/>
        </w:rPr>
        <w:t xml:space="preserve">Poskytovatele. Náhrada za promeškaný čas se hradí </w:t>
      </w:r>
      <w:r w:rsidR="00665632" w:rsidRPr="00665632">
        <w:rPr>
          <w:rFonts w:cstheme="minorHAnsi"/>
        </w:rPr>
        <w:t>za čas strávený cestou do tohoto místa a zpět, přičemž výše náhrady odpovídá 2/5 sazby</w:t>
      </w:r>
      <w:r w:rsidRPr="00C514B6">
        <w:t xml:space="preserve"> </w:t>
      </w:r>
      <w:r>
        <w:t>o</w:t>
      </w:r>
      <w:r w:rsidRPr="00C514B6">
        <w:rPr>
          <w:rFonts w:cstheme="minorHAnsi"/>
        </w:rPr>
        <w:t>dměn</w:t>
      </w:r>
      <w:r>
        <w:rPr>
          <w:rFonts w:cstheme="minorHAnsi"/>
        </w:rPr>
        <w:t>y</w:t>
      </w:r>
      <w:r w:rsidRPr="00C514B6">
        <w:rPr>
          <w:rFonts w:cstheme="minorHAnsi"/>
        </w:rPr>
        <w:t xml:space="preserve"> za právní služby</w:t>
      </w:r>
      <w:r>
        <w:rPr>
          <w:rFonts w:cstheme="minorHAnsi"/>
        </w:rPr>
        <w:t xml:space="preserve"> dle odst. 3.1,</w:t>
      </w:r>
    </w:p>
    <w:p w14:paraId="60EA4255" w14:textId="77777777" w:rsidR="00385FB6" w:rsidRPr="004E4F45" w:rsidRDefault="00385FB6" w:rsidP="0027543C">
      <w:pPr>
        <w:pStyle w:val="Zkladntextodsazen2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</w:rPr>
      </w:pPr>
      <w:r w:rsidRPr="004E4F45">
        <w:rPr>
          <w:rFonts w:cstheme="minorHAnsi"/>
        </w:rPr>
        <w:t>Odměna za</w:t>
      </w:r>
      <w:r w:rsidR="00F617E3">
        <w:rPr>
          <w:rFonts w:cstheme="minorHAnsi"/>
        </w:rPr>
        <w:t xml:space="preserve"> poskytnuté</w:t>
      </w:r>
      <w:r w:rsidRPr="004E4F45">
        <w:rPr>
          <w:rFonts w:cstheme="minorHAnsi"/>
        </w:rPr>
        <w:t xml:space="preserve"> právní služby bude hrazena s měsíční frekvencí za </w:t>
      </w:r>
      <w:r w:rsidR="00F617E3">
        <w:rPr>
          <w:rFonts w:cstheme="minorHAnsi"/>
        </w:rPr>
        <w:t xml:space="preserve">čas </w:t>
      </w:r>
      <w:r w:rsidRPr="004E4F45">
        <w:rPr>
          <w:rFonts w:cstheme="minorHAnsi"/>
        </w:rPr>
        <w:t>skutečně poskytnut</w:t>
      </w:r>
      <w:r w:rsidR="00F617E3">
        <w:rPr>
          <w:rFonts w:cstheme="minorHAnsi"/>
        </w:rPr>
        <w:t>ých</w:t>
      </w:r>
      <w:r w:rsidRPr="004E4F45">
        <w:rPr>
          <w:rFonts w:cstheme="minorHAnsi"/>
        </w:rPr>
        <w:t xml:space="preserve"> právní</w:t>
      </w:r>
      <w:r w:rsidR="00F617E3">
        <w:rPr>
          <w:rFonts w:cstheme="minorHAnsi"/>
        </w:rPr>
        <w:t>ch</w:t>
      </w:r>
      <w:r w:rsidRPr="004E4F45">
        <w:rPr>
          <w:rFonts w:cstheme="minorHAnsi"/>
        </w:rPr>
        <w:t xml:space="preserve"> služeb dle hodinové sazby oproti vystavené faktuře se splatností 30 dní ode dne jejího vystavení. Skutečně poskytnuté právní služb</w:t>
      </w:r>
      <w:r w:rsidR="00F617E3">
        <w:rPr>
          <w:rFonts w:cstheme="minorHAnsi"/>
        </w:rPr>
        <w:t>y</w:t>
      </w:r>
      <w:r w:rsidRPr="004E4F45">
        <w:rPr>
          <w:rFonts w:cstheme="minorHAnsi"/>
        </w:rPr>
        <w:t xml:space="preserve"> je Poskytovatel povinen dle skutečně odvedených prací vyplnit a předat </w:t>
      </w:r>
      <w:r w:rsidR="008901A9" w:rsidRPr="004E4F45">
        <w:rPr>
          <w:rFonts w:cstheme="minorHAnsi"/>
        </w:rPr>
        <w:t>Objednateli</w:t>
      </w:r>
      <w:r w:rsidRPr="004E4F45">
        <w:rPr>
          <w:rFonts w:cstheme="minorHAnsi"/>
        </w:rPr>
        <w:t xml:space="preserve"> formou výkazů, tj. přehledu provedených prací s jejich popisem, s datem a délkou trvání prací (dále jen „výkazy“). Výkazy za předchozí měsíc se zavazuje Poskytovatel odeslat </w:t>
      </w:r>
      <w:r w:rsidR="008901A9" w:rsidRPr="004E4F45">
        <w:rPr>
          <w:rFonts w:cstheme="minorHAnsi"/>
        </w:rPr>
        <w:t>Objednateli</w:t>
      </w:r>
      <w:r w:rsidRPr="004E4F45">
        <w:rPr>
          <w:rFonts w:cstheme="minorHAnsi"/>
        </w:rPr>
        <w:t xml:space="preserve"> vždy do 5. dne příslušného kalendářního měsíce. </w:t>
      </w:r>
      <w:r w:rsidR="00F617E3">
        <w:rPr>
          <w:rFonts w:cstheme="minorHAnsi"/>
        </w:rPr>
        <w:t>Objednatel se k výkazu vyjádří nejpozději do 7 pracovních dnů od obdržení výkazu.</w:t>
      </w:r>
      <w:r w:rsidR="00F617E3" w:rsidRPr="00F617E3">
        <w:rPr>
          <w:rFonts w:cstheme="minorHAnsi"/>
        </w:rPr>
        <w:t xml:space="preserve"> </w:t>
      </w:r>
      <w:r w:rsidR="00F617E3" w:rsidRPr="004E4F45">
        <w:rPr>
          <w:rFonts w:cstheme="minorHAnsi"/>
        </w:rPr>
        <w:t xml:space="preserve">Pokud se Objednatel v uvedené lhůtě k výkazu nevyjádří, má se za to, že výkaz schvaluje. </w:t>
      </w:r>
      <w:r w:rsidR="00F617E3">
        <w:rPr>
          <w:rFonts w:cstheme="minorHAnsi"/>
        </w:rPr>
        <w:t xml:space="preserve"> </w:t>
      </w:r>
      <w:r w:rsidRPr="004E4F45">
        <w:rPr>
          <w:rFonts w:cstheme="minorHAnsi"/>
        </w:rPr>
        <w:t xml:space="preserve">Fakturu je Poskytovatel oprávněn vystavit až po výslovném schválení příslušného výkazu. Pokud </w:t>
      </w:r>
      <w:r w:rsidR="008901A9" w:rsidRPr="004E4F45">
        <w:rPr>
          <w:rFonts w:cstheme="minorHAnsi"/>
        </w:rPr>
        <w:t>Objednatel</w:t>
      </w:r>
      <w:r w:rsidRPr="004E4F45">
        <w:rPr>
          <w:rFonts w:cstheme="minorHAnsi"/>
        </w:rPr>
        <w:t xml:space="preserve"> výkaz dle tohoto článku neschválí, zahájí jednání s Poskytovatelem s cílem nalezení shody tak, aby</w:t>
      </w:r>
      <w:r w:rsidR="00F617E3">
        <w:rPr>
          <w:rFonts w:cstheme="minorHAnsi"/>
        </w:rPr>
        <w:t xml:space="preserve"> výkaz</w:t>
      </w:r>
      <w:r w:rsidRPr="004E4F45">
        <w:rPr>
          <w:rFonts w:cstheme="minorHAnsi"/>
        </w:rPr>
        <w:t xml:space="preserve"> odpovídal skutečnosti</w:t>
      </w:r>
      <w:r w:rsidR="00F617E3">
        <w:rPr>
          <w:rFonts w:cstheme="minorHAnsi"/>
        </w:rPr>
        <w:t xml:space="preserve"> a ustanovením této Rámcové dohody týkajících se </w:t>
      </w:r>
      <w:r w:rsidR="00665632">
        <w:rPr>
          <w:rFonts w:cstheme="minorHAnsi"/>
        </w:rPr>
        <w:t xml:space="preserve">zejména </w:t>
      </w:r>
      <w:r w:rsidR="00F617E3">
        <w:rPr>
          <w:rFonts w:cstheme="minorHAnsi"/>
        </w:rPr>
        <w:t>maximálních cen a odhadům dílčích objednávek</w:t>
      </w:r>
      <w:r w:rsidRPr="004E4F45">
        <w:rPr>
          <w:rFonts w:cstheme="minorHAnsi"/>
        </w:rPr>
        <w:t xml:space="preserve"> a mohl být </w:t>
      </w:r>
      <w:r w:rsidR="008901A9" w:rsidRPr="004E4F45">
        <w:rPr>
          <w:rFonts w:cstheme="minorHAnsi"/>
        </w:rPr>
        <w:t>Objednatel</w:t>
      </w:r>
      <w:r w:rsidRPr="004E4F45">
        <w:rPr>
          <w:rFonts w:cstheme="minorHAnsi"/>
        </w:rPr>
        <w:t>em schválen.</w:t>
      </w:r>
    </w:p>
    <w:p w14:paraId="15FF8E40" w14:textId="77777777" w:rsidR="003D7A48" w:rsidRPr="004E4F45" w:rsidRDefault="003D7A48" w:rsidP="003D7A48">
      <w:pPr>
        <w:pStyle w:val="Zkladntextodsazen2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</w:rPr>
      </w:pPr>
      <w:r w:rsidRPr="004E4F45">
        <w:rPr>
          <w:rFonts w:cstheme="minorHAnsi"/>
        </w:rPr>
        <w:t xml:space="preserve">Poskytovatel se zavazuje vystavit na základě případné žádosti Objednatele dílčí faktury, a to zejména dle rozdělení projektů či financování Objednatele. Poskytovatel se zavazuje na fakturu uvést označení projektu dle případných pokynů Objednatele. </w:t>
      </w:r>
    </w:p>
    <w:p w14:paraId="0800D8C9" w14:textId="77777777" w:rsidR="003D7A48" w:rsidRPr="004E4F45" w:rsidRDefault="003D7A48" w:rsidP="003D7A48">
      <w:pPr>
        <w:pStyle w:val="Zkladntextodsazen2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</w:rPr>
      </w:pPr>
      <w:r w:rsidRPr="004E4F45">
        <w:rPr>
          <w:rFonts w:cstheme="minorHAnsi"/>
        </w:rPr>
        <w:t xml:space="preserve">Faktura – daňový doklad musí obsahovat veškeré údaje vyžadované příslušnými právními předpisy. </w:t>
      </w:r>
      <w:r w:rsidR="00D46C8B" w:rsidRPr="004E4F45">
        <w:rPr>
          <w:rFonts w:cstheme="minorHAnsi"/>
        </w:rPr>
        <w:t xml:space="preserve">Objednatel </w:t>
      </w:r>
      <w:r w:rsidRPr="004E4F45">
        <w:rPr>
          <w:rFonts w:cstheme="minorHAnsi"/>
        </w:rPr>
        <w:t>může ve lhůtě splatnosti daňový doklad (fakturu) vrátit, obsahuje-li:</w:t>
      </w:r>
    </w:p>
    <w:p w14:paraId="23895EF4" w14:textId="77777777" w:rsidR="003D7A48" w:rsidRPr="004E4F45" w:rsidRDefault="003D7A48" w:rsidP="00D46C8B">
      <w:pPr>
        <w:pStyle w:val="Zkladntextodsazen2"/>
        <w:widowControl w:val="0"/>
        <w:numPr>
          <w:ilvl w:val="2"/>
          <w:numId w:val="15"/>
        </w:numPr>
        <w:spacing w:line="240" w:lineRule="auto"/>
        <w:jc w:val="both"/>
        <w:rPr>
          <w:rFonts w:cstheme="minorHAnsi"/>
        </w:rPr>
      </w:pPr>
      <w:r w:rsidRPr="004E4F45">
        <w:rPr>
          <w:rFonts w:cstheme="minorHAnsi"/>
        </w:rPr>
        <w:t xml:space="preserve">nesprávné nebo neúplné cenové údaje, </w:t>
      </w:r>
    </w:p>
    <w:p w14:paraId="680C7880" w14:textId="77777777" w:rsidR="003D7A48" w:rsidRPr="004E4F45" w:rsidRDefault="003D7A48" w:rsidP="00D46C8B">
      <w:pPr>
        <w:pStyle w:val="Zkladntextodsazen2"/>
        <w:widowControl w:val="0"/>
        <w:numPr>
          <w:ilvl w:val="2"/>
          <w:numId w:val="15"/>
        </w:numPr>
        <w:spacing w:line="240" w:lineRule="auto"/>
        <w:jc w:val="both"/>
        <w:rPr>
          <w:rFonts w:cstheme="minorHAnsi"/>
        </w:rPr>
      </w:pPr>
      <w:r w:rsidRPr="004E4F45">
        <w:rPr>
          <w:rFonts w:cstheme="minorHAnsi"/>
        </w:rPr>
        <w:t xml:space="preserve">nesprávné nebo neúplné náležitosti dle právních předpisů; </w:t>
      </w:r>
    </w:p>
    <w:p w14:paraId="4177B9BD" w14:textId="77777777" w:rsidR="003D7A48" w:rsidRPr="004E4F45" w:rsidRDefault="003D7A48" w:rsidP="00D46C8B">
      <w:pPr>
        <w:pStyle w:val="Zkladntextodsazen2"/>
        <w:widowControl w:val="0"/>
        <w:spacing w:line="240" w:lineRule="auto"/>
        <w:ind w:left="567"/>
        <w:jc w:val="both"/>
        <w:rPr>
          <w:rFonts w:cstheme="minorHAnsi"/>
        </w:rPr>
      </w:pPr>
      <w:r w:rsidRPr="004E4F45">
        <w:rPr>
          <w:rFonts w:cstheme="minorHAnsi"/>
        </w:rPr>
        <w:t xml:space="preserve">V bodech a) a b) tohoto odstavce uvedených případech je </w:t>
      </w:r>
      <w:r w:rsidR="00D46C8B" w:rsidRPr="004E4F45">
        <w:rPr>
          <w:rFonts w:cstheme="minorHAnsi"/>
        </w:rPr>
        <w:t xml:space="preserve">Objednatel </w:t>
      </w:r>
      <w:r w:rsidRPr="004E4F45">
        <w:rPr>
          <w:rFonts w:cstheme="minorHAnsi"/>
        </w:rPr>
        <w:t xml:space="preserve">povinen daňový doklad (fakturu) vrátit s uvedením důvodu vrácení. Tímto okamžikem se ruší lhůta splatnosti a nová lhůta splatnosti počne běžet doručením daňového dokladu (faktury) nového nebo opraveného. V případě, že </w:t>
      </w:r>
      <w:r w:rsidR="00D46C8B" w:rsidRPr="004E4F45">
        <w:rPr>
          <w:rFonts w:cstheme="minorHAnsi"/>
        </w:rPr>
        <w:t xml:space="preserve">Objednatel </w:t>
      </w:r>
      <w:r w:rsidRPr="004E4F45">
        <w:rPr>
          <w:rFonts w:cstheme="minorHAnsi"/>
        </w:rPr>
        <w:t xml:space="preserve">daňový doklad (fakturu) vrátí, přestože daňový doklad (faktura) byl vystaven řádně a předepsané náležitosti obsahuje, lhůta splatnosti se nepřerušuje a pokud </w:t>
      </w:r>
      <w:r w:rsidR="00D46C8B" w:rsidRPr="004E4F45">
        <w:rPr>
          <w:rFonts w:cstheme="minorHAnsi"/>
        </w:rPr>
        <w:t xml:space="preserve">Objednatel </w:t>
      </w:r>
      <w:r w:rsidRPr="004E4F45">
        <w:rPr>
          <w:rFonts w:cstheme="minorHAnsi"/>
        </w:rPr>
        <w:t>daňový doklad (fakturu) nezaplatí v původní lhůtě splatnosti, je v prodlení.</w:t>
      </w:r>
    </w:p>
    <w:p w14:paraId="291D6F70" w14:textId="77777777" w:rsidR="00385FB6" w:rsidRPr="004E4F45" w:rsidRDefault="00385FB6" w:rsidP="0027543C">
      <w:pPr>
        <w:pStyle w:val="Zkladntext"/>
        <w:keepNext/>
        <w:numPr>
          <w:ilvl w:val="0"/>
          <w:numId w:val="15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autoSpaceDE/>
        <w:autoSpaceDN/>
        <w:adjustRightInd/>
        <w:spacing w:before="240" w:after="120"/>
        <w:ind w:left="993" w:hanging="709"/>
        <w:rPr>
          <w:rFonts w:asciiTheme="minorHAnsi" w:hAnsiTheme="minorHAnsi" w:cstheme="minorHAnsi"/>
          <w:b/>
        </w:rPr>
      </w:pPr>
      <w:r w:rsidRPr="004E4F45">
        <w:rPr>
          <w:rFonts w:asciiTheme="minorHAnsi" w:hAnsiTheme="minorHAnsi" w:cstheme="minorHAnsi"/>
          <w:b/>
          <w:lang w:val="cs-CZ"/>
        </w:rPr>
        <w:t>Sankce</w:t>
      </w:r>
    </w:p>
    <w:p w14:paraId="6948E51D" w14:textId="77777777" w:rsidR="00385FB6" w:rsidRPr="004E4F45" w:rsidRDefault="00385FB6" w:rsidP="00D46C8B">
      <w:pPr>
        <w:pStyle w:val="Zkladntextodsazen2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</w:rPr>
      </w:pPr>
      <w:r w:rsidRPr="004E4F45">
        <w:rPr>
          <w:rFonts w:cstheme="minorHAnsi"/>
        </w:rPr>
        <w:t xml:space="preserve">Poskytovatel se zavazuje uhradit </w:t>
      </w:r>
      <w:r w:rsidR="008901A9" w:rsidRPr="004E4F45">
        <w:rPr>
          <w:rFonts w:cstheme="minorHAnsi"/>
        </w:rPr>
        <w:t>Objednateli</w:t>
      </w:r>
      <w:r w:rsidRPr="004E4F45">
        <w:rPr>
          <w:rFonts w:cstheme="minorHAnsi"/>
        </w:rPr>
        <w:t xml:space="preserve"> smluvní pokutu ve výši </w:t>
      </w:r>
      <w:r w:rsidR="00D46C8B" w:rsidRPr="004E4F45">
        <w:rPr>
          <w:rFonts w:cstheme="minorHAnsi"/>
        </w:rPr>
        <w:t>500 Kč</w:t>
      </w:r>
      <w:r w:rsidRPr="004E4F45">
        <w:rPr>
          <w:rFonts w:cstheme="minorHAnsi"/>
        </w:rPr>
        <w:t xml:space="preserve"> za každý den prodlení</w:t>
      </w:r>
      <w:r w:rsidR="00665632">
        <w:rPr>
          <w:rFonts w:cstheme="minorHAnsi"/>
        </w:rPr>
        <w:t xml:space="preserve"> s poskytováním právních služeb, zejména v případě prodlení ve vztahu k termínům </w:t>
      </w:r>
      <w:r w:rsidR="00665632" w:rsidRPr="004E4F45">
        <w:rPr>
          <w:rFonts w:cstheme="minorHAnsi"/>
        </w:rPr>
        <w:lastRenderedPageBreak/>
        <w:t>plnění konkrétních dílčích objednávek, případně konkrétních úkolů podle dílčích objednávek</w:t>
      </w:r>
      <w:r w:rsidRPr="004E4F45">
        <w:rPr>
          <w:rFonts w:cstheme="minorHAnsi"/>
        </w:rPr>
        <w:t xml:space="preserve">. </w:t>
      </w:r>
    </w:p>
    <w:p w14:paraId="2C8A8A0A" w14:textId="77777777" w:rsidR="00385FB6" w:rsidRPr="004E4F45" w:rsidRDefault="00385FB6" w:rsidP="0027543C">
      <w:pPr>
        <w:pStyle w:val="Zkladntextodsazen2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</w:rPr>
      </w:pPr>
      <w:r w:rsidRPr="004E4F45">
        <w:rPr>
          <w:rFonts w:cstheme="minorHAnsi"/>
        </w:rPr>
        <w:t xml:space="preserve">V případě, že Poskytovatel odmítne splnit dílčí objednávku, s výjimkou případů, kdy dle </w:t>
      </w:r>
      <w:r w:rsidR="00435A06">
        <w:rPr>
          <w:rFonts w:cstheme="minorHAnsi"/>
        </w:rPr>
        <w:t>právních předpisů</w:t>
      </w:r>
      <w:r w:rsidRPr="004E4F45">
        <w:rPr>
          <w:rFonts w:cstheme="minorHAnsi"/>
        </w:rPr>
        <w:t xml:space="preserve">, zejm. dle </w:t>
      </w:r>
      <w:r w:rsidR="00A70DE1">
        <w:rPr>
          <w:rFonts w:cstheme="minorHAnsi"/>
        </w:rPr>
        <w:t>Z</w:t>
      </w:r>
      <w:r w:rsidRPr="004E4F45">
        <w:rPr>
          <w:rFonts w:cstheme="minorHAnsi"/>
        </w:rPr>
        <w:t xml:space="preserve">ákona o advokacii, není možné, aby dílčí objednávku splnil, zavazuje se Poskytovatel uhradit </w:t>
      </w:r>
      <w:r w:rsidR="008901A9" w:rsidRPr="004E4F45">
        <w:rPr>
          <w:rFonts w:cstheme="minorHAnsi"/>
        </w:rPr>
        <w:t>Objednateli</w:t>
      </w:r>
      <w:r w:rsidRPr="004E4F45">
        <w:rPr>
          <w:rFonts w:cstheme="minorHAnsi"/>
        </w:rPr>
        <w:t xml:space="preserve"> smluvní pokutu ve výši </w:t>
      </w:r>
      <w:r w:rsidR="00D46C8B" w:rsidRPr="004E4F45">
        <w:rPr>
          <w:rFonts w:cstheme="minorHAnsi"/>
        </w:rPr>
        <w:t>5 000 Kč.</w:t>
      </w:r>
    </w:p>
    <w:p w14:paraId="59DE68D0" w14:textId="77777777" w:rsidR="00385FB6" w:rsidRPr="004E4F45" w:rsidRDefault="00A70DE1" w:rsidP="0027543C">
      <w:pPr>
        <w:pStyle w:val="Zkladntextodsazen2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Objednatel má vedle smluvní</w:t>
      </w:r>
      <w:r w:rsidR="00435A06">
        <w:rPr>
          <w:rFonts w:cstheme="minorHAnsi"/>
        </w:rPr>
        <w:t>ch</w:t>
      </w:r>
      <w:r>
        <w:rPr>
          <w:rFonts w:cstheme="minorHAnsi"/>
        </w:rPr>
        <w:t xml:space="preserve"> pokut dle tohoto článku </w:t>
      </w:r>
      <w:r w:rsidR="00435A06">
        <w:rPr>
          <w:rFonts w:cstheme="minorHAnsi"/>
        </w:rPr>
        <w:t xml:space="preserve">vždy </w:t>
      </w:r>
      <w:r>
        <w:rPr>
          <w:rFonts w:cstheme="minorHAnsi"/>
        </w:rPr>
        <w:t xml:space="preserve">nárok na náhradu škody. </w:t>
      </w:r>
    </w:p>
    <w:p w14:paraId="4467E2D5" w14:textId="77777777" w:rsidR="00385FB6" w:rsidRPr="004E4F45" w:rsidRDefault="00385FB6" w:rsidP="0027543C">
      <w:pPr>
        <w:pStyle w:val="Zkladntext"/>
        <w:numPr>
          <w:ilvl w:val="0"/>
          <w:numId w:val="15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autoSpaceDE/>
        <w:autoSpaceDN/>
        <w:adjustRightInd/>
        <w:spacing w:before="240" w:after="120"/>
        <w:rPr>
          <w:rFonts w:asciiTheme="minorHAnsi" w:hAnsiTheme="minorHAnsi" w:cstheme="minorHAnsi"/>
          <w:b/>
        </w:rPr>
      </w:pPr>
      <w:r w:rsidRPr="004E4F45">
        <w:rPr>
          <w:rFonts w:asciiTheme="minorHAnsi" w:hAnsiTheme="minorHAnsi" w:cstheme="minorHAnsi"/>
          <w:b/>
        </w:rPr>
        <w:t>Závěrečná ustanovení</w:t>
      </w:r>
    </w:p>
    <w:p w14:paraId="6075D51A" w14:textId="77777777" w:rsidR="00665632" w:rsidRPr="004E4F45" w:rsidRDefault="00665632" w:rsidP="00665632">
      <w:pPr>
        <w:pStyle w:val="Zkladntextodsazen3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  <w:sz w:val="22"/>
          <w:szCs w:val="22"/>
        </w:rPr>
      </w:pPr>
      <w:r w:rsidRPr="004E4F45">
        <w:rPr>
          <w:rFonts w:cstheme="minorHAnsi"/>
          <w:sz w:val="22"/>
          <w:szCs w:val="22"/>
        </w:rPr>
        <w:t xml:space="preserve">Tato Rámcová dohoda je uzavřena na dobu určitou, a to na dobu jednoho roku od nabytí účinnosti této Rámcové dohody nebo do vyčerpání limitu 500 000 Kč bez DPH, podle toho, která z uvedených skutečností nastane dříve. </w:t>
      </w:r>
    </w:p>
    <w:p w14:paraId="237D2A7A" w14:textId="77777777" w:rsidR="00665632" w:rsidRDefault="00665632" w:rsidP="0027543C">
      <w:pPr>
        <w:pStyle w:val="Zkladntextodsazen3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  <w:sz w:val="22"/>
          <w:szCs w:val="22"/>
        </w:rPr>
      </w:pPr>
      <w:r w:rsidRPr="004E4F45">
        <w:rPr>
          <w:rFonts w:cstheme="minorHAnsi"/>
          <w:sz w:val="22"/>
          <w:szCs w:val="22"/>
        </w:rPr>
        <w:t xml:space="preserve">Podmínky této </w:t>
      </w:r>
      <w:r>
        <w:rPr>
          <w:rFonts w:cstheme="minorHAnsi"/>
          <w:sz w:val="22"/>
          <w:szCs w:val="22"/>
        </w:rPr>
        <w:t>Rámcové dohody</w:t>
      </w:r>
      <w:r w:rsidRPr="004E4F45">
        <w:rPr>
          <w:rFonts w:cstheme="minorHAnsi"/>
          <w:sz w:val="22"/>
          <w:szCs w:val="22"/>
        </w:rPr>
        <w:t xml:space="preserve">, jež svou povahou přesahují dobu platnosti této </w:t>
      </w:r>
      <w:r>
        <w:rPr>
          <w:rFonts w:cstheme="minorHAnsi"/>
          <w:sz w:val="22"/>
          <w:szCs w:val="22"/>
        </w:rPr>
        <w:t>Rámcové dohody</w:t>
      </w:r>
      <w:r w:rsidRPr="004E4F45">
        <w:rPr>
          <w:rFonts w:cstheme="minorHAnsi"/>
          <w:sz w:val="22"/>
          <w:szCs w:val="22"/>
        </w:rPr>
        <w:t>, zůstávají plně v platnosti a jsou účinné až do okamžiku jejich splnění a platí pro případné nástupce smluvní strany</w:t>
      </w:r>
      <w:r>
        <w:rPr>
          <w:rFonts w:cstheme="minorHAnsi"/>
          <w:sz w:val="22"/>
          <w:szCs w:val="22"/>
        </w:rPr>
        <w:t>.</w:t>
      </w:r>
    </w:p>
    <w:p w14:paraId="13D3509B" w14:textId="77777777" w:rsidR="00665632" w:rsidRPr="004E4F45" w:rsidRDefault="00665632" w:rsidP="00665632">
      <w:pPr>
        <w:pStyle w:val="Zkladntextodsazen3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  <w:sz w:val="22"/>
          <w:szCs w:val="22"/>
        </w:rPr>
      </w:pPr>
      <w:r w:rsidRPr="004E4F45">
        <w:rPr>
          <w:rFonts w:cstheme="minorHAnsi"/>
          <w:sz w:val="22"/>
          <w:szCs w:val="22"/>
        </w:rPr>
        <w:t xml:space="preserve">Tuto </w:t>
      </w:r>
      <w:r>
        <w:rPr>
          <w:rFonts w:cstheme="minorHAnsi"/>
          <w:sz w:val="22"/>
          <w:szCs w:val="22"/>
        </w:rPr>
        <w:t>Rámcovou dohodu</w:t>
      </w:r>
      <w:r w:rsidRPr="004E4F45">
        <w:rPr>
          <w:rFonts w:cstheme="minorHAnsi"/>
          <w:sz w:val="22"/>
          <w:szCs w:val="22"/>
        </w:rPr>
        <w:t xml:space="preserve"> lze měnit a doplňovat jen na základě písemných, vzestupně číslovaných a oprávněnými zástupci obou smluvních stran podepsaných dodatků k této </w:t>
      </w:r>
      <w:r>
        <w:rPr>
          <w:rFonts w:cstheme="minorHAnsi"/>
          <w:sz w:val="22"/>
          <w:szCs w:val="22"/>
        </w:rPr>
        <w:t>Rámcové dohodě</w:t>
      </w:r>
      <w:r w:rsidRPr="004E4F45">
        <w:rPr>
          <w:rFonts w:cstheme="minorHAnsi"/>
          <w:sz w:val="22"/>
          <w:szCs w:val="22"/>
        </w:rPr>
        <w:t xml:space="preserve">. Všechny dodatky, které budou označeny jako dodatky této </w:t>
      </w:r>
      <w:r>
        <w:rPr>
          <w:rFonts w:cstheme="minorHAnsi"/>
          <w:sz w:val="22"/>
          <w:szCs w:val="22"/>
        </w:rPr>
        <w:t>Rámcové dohody</w:t>
      </w:r>
      <w:r w:rsidRPr="004E4F45">
        <w:rPr>
          <w:rFonts w:cstheme="minorHAnsi"/>
          <w:sz w:val="22"/>
          <w:szCs w:val="22"/>
        </w:rPr>
        <w:t>, jsou nedílnou součástí této</w:t>
      </w:r>
      <w:r>
        <w:rPr>
          <w:rFonts w:cstheme="minorHAnsi"/>
          <w:sz w:val="22"/>
          <w:szCs w:val="22"/>
        </w:rPr>
        <w:t xml:space="preserve"> Rámcové dohody</w:t>
      </w:r>
      <w:r w:rsidRPr="004E4F45">
        <w:rPr>
          <w:rFonts w:cstheme="minorHAnsi"/>
          <w:sz w:val="22"/>
          <w:szCs w:val="22"/>
        </w:rPr>
        <w:t>.</w:t>
      </w:r>
    </w:p>
    <w:p w14:paraId="2CC80C52" w14:textId="77777777" w:rsidR="00385FB6" w:rsidRPr="004E4F45" w:rsidRDefault="00385FB6" w:rsidP="0027543C">
      <w:pPr>
        <w:pStyle w:val="Zkladntextodsazen3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  <w:sz w:val="22"/>
          <w:szCs w:val="22"/>
        </w:rPr>
      </w:pPr>
      <w:r w:rsidRPr="004E4F45">
        <w:rPr>
          <w:rFonts w:cstheme="minorHAnsi"/>
          <w:sz w:val="22"/>
          <w:szCs w:val="22"/>
        </w:rPr>
        <w:t>Tato Rámcová dohoda se řídí českým právem a ke sporům z ní vzniklým jsou příslušné soudy České republiky.</w:t>
      </w:r>
    </w:p>
    <w:p w14:paraId="118D809B" w14:textId="77777777" w:rsidR="00D46C8B" w:rsidRPr="004E4F45" w:rsidRDefault="00D46C8B" w:rsidP="00D46C8B">
      <w:pPr>
        <w:pStyle w:val="Zkladntextodsazen3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  <w:sz w:val="22"/>
          <w:szCs w:val="22"/>
        </w:rPr>
      </w:pPr>
      <w:r w:rsidRPr="004E4F45">
        <w:rPr>
          <w:rFonts w:cstheme="minorHAnsi"/>
          <w:sz w:val="22"/>
          <w:szCs w:val="22"/>
        </w:rPr>
        <w:t xml:space="preserve">Tato </w:t>
      </w:r>
      <w:r w:rsidR="00665632">
        <w:rPr>
          <w:rFonts w:cstheme="minorHAnsi"/>
          <w:sz w:val="22"/>
          <w:szCs w:val="22"/>
        </w:rPr>
        <w:t>Rámcová dohoda</w:t>
      </w:r>
      <w:r w:rsidRPr="004E4F45">
        <w:rPr>
          <w:rFonts w:cstheme="minorHAnsi"/>
          <w:sz w:val="22"/>
          <w:szCs w:val="22"/>
        </w:rPr>
        <w:t xml:space="preserve"> nabývá platnosti okamžikem jejího podpisu oprávněnými zástupci obou smluvních stran. Smluvní strany se výslovně dohodly, že tato </w:t>
      </w:r>
      <w:r w:rsidR="00665632">
        <w:rPr>
          <w:rFonts w:cstheme="minorHAnsi"/>
          <w:sz w:val="22"/>
          <w:szCs w:val="22"/>
        </w:rPr>
        <w:t>Rámcová dohoda</w:t>
      </w:r>
      <w:r w:rsidRPr="004E4F45">
        <w:rPr>
          <w:rFonts w:cstheme="minorHAnsi"/>
          <w:sz w:val="22"/>
          <w:szCs w:val="22"/>
        </w:rPr>
        <w:t xml:space="preserve"> nabývá účinnosti až po uveřejnění podle zákona č. 340/2015 Sb., o registru smluv, ve znění pozdějších předpisů, není-li stanoveno datum pozdější (odkládací podmínka účinnosti ze zákona). Uveřejnění zajistí </w:t>
      </w:r>
      <w:r w:rsidR="00665632">
        <w:rPr>
          <w:rFonts w:cstheme="minorHAnsi"/>
          <w:sz w:val="22"/>
          <w:szCs w:val="22"/>
        </w:rPr>
        <w:t>Objednatel</w:t>
      </w:r>
      <w:r w:rsidRPr="004E4F45">
        <w:rPr>
          <w:rFonts w:cstheme="minorHAnsi"/>
          <w:sz w:val="22"/>
          <w:szCs w:val="22"/>
        </w:rPr>
        <w:t>. Smluvní strany s tímto uveřejněním souhlasí; pro účely uveřejnění nepovažují nic z</w:t>
      </w:r>
      <w:r w:rsidR="00665632">
        <w:rPr>
          <w:rFonts w:cstheme="minorHAnsi"/>
          <w:sz w:val="22"/>
          <w:szCs w:val="22"/>
        </w:rPr>
        <w:t xml:space="preserve"> Rámcové dohody </w:t>
      </w:r>
      <w:r w:rsidRPr="004E4F45">
        <w:rPr>
          <w:rFonts w:cstheme="minorHAnsi"/>
          <w:sz w:val="22"/>
          <w:szCs w:val="22"/>
        </w:rPr>
        <w:t>ani z metadat k ní se vážících za vyloučené z uveřejnění. Bylo-li by z</w:t>
      </w:r>
      <w:r w:rsidR="00665632">
        <w:rPr>
          <w:rFonts w:cstheme="minorHAnsi"/>
          <w:sz w:val="22"/>
          <w:szCs w:val="22"/>
        </w:rPr>
        <w:t xml:space="preserve"> Rámcové dohody </w:t>
      </w:r>
      <w:r w:rsidRPr="004E4F45">
        <w:rPr>
          <w:rFonts w:cstheme="minorHAnsi"/>
          <w:sz w:val="22"/>
          <w:szCs w:val="22"/>
        </w:rPr>
        <w:t xml:space="preserve">plněno ještě před její účinností, považuje se toto plnění pro účely </w:t>
      </w:r>
      <w:r w:rsidR="00665632">
        <w:rPr>
          <w:rFonts w:cstheme="minorHAnsi"/>
          <w:sz w:val="22"/>
          <w:szCs w:val="22"/>
        </w:rPr>
        <w:t>této Rámcové dohody</w:t>
      </w:r>
      <w:r w:rsidRPr="004E4F45">
        <w:rPr>
          <w:rFonts w:cstheme="minorHAnsi"/>
          <w:sz w:val="22"/>
          <w:szCs w:val="22"/>
        </w:rPr>
        <w:t xml:space="preserve"> za zálohu.</w:t>
      </w:r>
    </w:p>
    <w:p w14:paraId="7C8B737A" w14:textId="77777777" w:rsidR="004E4F45" w:rsidRDefault="008901A9" w:rsidP="0027543C">
      <w:pPr>
        <w:pStyle w:val="Zkladntextodsazen3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  <w:sz w:val="22"/>
          <w:szCs w:val="22"/>
        </w:rPr>
      </w:pPr>
      <w:r w:rsidRPr="004E4F45">
        <w:rPr>
          <w:rFonts w:cstheme="minorHAnsi"/>
          <w:sz w:val="22"/>
          <w:szCs w:val="22"/>
        </w:rPr>
        <w:t>Objednatel</w:t>
      </w:r>
      <w:r w:rsidR="00385FB6" w:rsidRPr="004E4F45">
        <w:rPr>
          <w:rFonts w:cstheme="minorHAnsi"/>
          <w:sz w:val="22"/>
          <w:szCs w:val="22"/>
        </w:rPr>
        <w:t xml:space="preserve"> je oprávněn tuto Rámcovou dohodu písemně vypovědět bez uvedení důvodu s dvouměsíční výpovědní </w:t>
      </w:r>
      <w:r w:rsidR="00D46C8B" w:rsidRPr="004E4F45">
        <w:rPr>
          <w:rFonts w:cstheme="minorHAnsi"/>
          <w:sz w:val="22"/>
          <w:szCs w:val="22"/>
        </w:rPr>
        <w:t>dobou</w:t>
      </w:r>
      <w:r w:rsidR="00385FB6" w:rsidRPr="004E4F45">
        <w:rPr>
          <w:rFonts w:cstheme="minorHAnsi"/>
          <w:sz w:val="22"/>
          <w:szCs w:val="22"/>
        </w:rPr>
        <w:t xml:space="preserve">. Výpovědní </w:t>
      </w:r>
      <w:r w:rsidR="00D46C8B" w:rsidRPr="004E4F45">
        <w:rPr>
          <w:rFonts w:cstheme="minorHAnsi"/>
          <w:sz w:val="22"/>
          <w:szCs w:val="22"/>
        </w:rPr>
        <w:t xml:space="preserve">doba </w:t>
      </w:r>
      <w:r w:rsidR="00385FB6" w:rsidRPr="004E4F45">
        <w:rPr>
          <w:rFonts w:cstheme="minorHAnsi"/>
          <w:sz w:val="22"/>
          <w:szCs w:val="22"/>
        </w:rPr>
        <w:t>začíná běžet prvním dnem následujícím po dni, v němž byla výpověď doručena Poskytovateli.</w:t>
      </w:r>
      <w:r w:rsidR="004E4F45" w:rsidRPr="004E4F45">
        <w:rPr>
          <w:rFonts w:cstheme="minorHAnsi"/>
          <w:sz w:val="22"/>
          <w:szCs w:val="22"/>
        </w:rPr>
        <w:t xml:space="preserve"> Poskytovatel je oprávněn tuto Rámcovou dohodu vypovědět v případech dle Zákona o advokacii.</w:t>
      </w:r>
      <w:r w:rsidR="00385FB6" w:rsidRPr="004E4F45">
        <w:rPr>
          <w:rFonts w:cstheme="minorHAnsi"/>
          <w:sz w:val="22"/>
          <w:szCs w:val="22"/>
        </w:rPr>
        <w:t xml:space="preserve"> </w:t>
      </w:r>
    </w:p>
    <w:p w14:paraId="0CD9FFDE" w14:textId="77777777" w:rsidR="00F617E3" w:rsidRPr="00F617E3" w:rsidRDefault="00F617E3" w:rsidP="001B3F1E">
      <w:pPr>
        <w:pStyle w:val="Zkladntextodsazen3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  <w:sz w:val="22"/>
          <w:szCs w:val="22"/>
        </w:rPr>
      </w:pPr>
      <w:r w:rsidRPr="00F617E3">
        <w:rPr>
          <w:rFonts w:cstheme="minorHAnsi"/>
          <w:sz w:val="22"/>
          <w:szCs w:val="22"/>
        </w:rPr>
        <w:t>Objednatel je oprávněn od této Rámcové dohody odstoupit ze zákonných důvodů a rovněž v případě, kdy se Poskytovatel dostane do prodlení s poskytováním právních služeb větším než 15 dnů.</w:t>
      </w:r>
    </w:p>
    <w:p w14:paraId="22399488" w14:textId="77777777" w:rsidR="004E4F45" w:rsidRPr="004E4F45" w:rsidRDefault="00385FB6" w:rsidP="004E4F45">
      <w:pPr>
        <w:pStyle w:val="Zkladntextodsazen3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  <w:sz w:val="22"/>
          <w:szCs w:val="22"/>
        </w:rPr>
      </w:pPr>
      <w:r w:rsidRPr="004E4F45">
        <w:rPr>
          <w:rFonts w:cstheme="minorHAnsi"/>
          <w:sz w:val="22"/>
          <w:szCs w:val="22"/>
        </w:rPr>
        <w:t xml:space="preserve">Poskytovatel je povinen předat </w:t>
      </w:r>
      <w:r w:rsidR="00665632">
        <w:rPr>
          <w:rFonts w:cstheme="minorHAnsi"/>
          <w:sz w:val="22"/>
          <w:szCs w:val="22"/>
        </w:rPr>
        <w:t>Objednateli</w:t>
      </w:r>
      <w:r w:rsidRPr="004E4F45">
        <w:rPr>
          <w:rFonts w:cstheme="minorHAnsi"/>
          <w:sz w:val="22"/>
          <w:szCs w:val="22"/>
        </w:rPr>
        <w:t xml:space="preserve"> nejpozději 3 pracovní dny před ukončením Rámcové dohody</w:t>
      </w:r>
      <w:r w:rsidR="004E4F45" w:rsidRPr="004E4F45">
        <w:rPr>
          <w:rFonts w:cstheme="minorHAnsi"/>
          <w:sz w:val="22"/>
          <w:szCs w:val="22"/>
        </w:rPr>
        <w:t>, tj. zejména v případě odstoupení, výpovědi či uplynutí doby, na kterou byla uzavřena,</w:t>
      </w:r>
      <w:r w:rsidRPr="004E4F45">
        <w:rPr>
          <w:rFonts w:cstheme="minorHAnsi"/>
          <w:sz w:val="22"/>
          <w:szCs w:val="22"/>
        </w:rPr>
        <w:t xml:space="preserve"> veškerou dokumentaci a podklady, byť rozpracované, vztahující se k plnění </w:t>
      </w:r>
      <w:r w:rsidR="00F617E3">
        <w:rPr>
          <w:rFonts w:cstheme="minorHAnsi"/>
          <w:sz w:val="22"/>
          <w:szCs w:val="22"/>
        </w:rPr>
        <w:t>t</w:t>
      </w:r>
      <w:r w:rsidRPr="004E4F45">
        <w:rPr>
          <w:rFonts w:cstheme="minorHAnsi"/>
          <w:sz w:val="22"/>
          <w:szCs w:val="22"/>
        </w:rPr>
        <w:t xml:space="preserve">éto Rámcové dohody. </w:t>
      </w:r>
    </w:p>
    <w:p w14:paraId="1603F7AE" w14:textId="77777777" w:rsidR="004E4F45" w:rsidRPr="004E4F45" w:rsidRDefault="004E4F45" w:rsidP="004E4F45">
      <w:pPr>
        <w:pStyle w:val="Zkladntextodsazen3"/>
        <w:widowControl w:val="0"/>
        <w:numPr>
          <w:ilvl w:val="1"/>
          <w:numId w:val="15"/>
        </w:numPr>
        <w:spacing w:line="240" w:lineRule="auto"/>
        <w:ind w:left="567" w:hanging="567"/>
        <w:jc w:val="both"/>
        <w:rPr>
          <w:rFonts w:cstheme="minorHAnsi"/>
          <w:sz w:val="22"/>
          <w:szCs w:val="22"/>
        </w:rPr>
      </w:pPr>
      <w:r w:rsidRPr="004E4F45">
        <w:rPr>
          <w:rFonts w:cstheme="minorHAnsi"/>
          <w:sz w:val="22"/>
          <w:szCs w:val="22"/>
        </w:rPr>
        <w:t>Prodávající je dle ust. § 2e zákona č. 320/2001 Sb., o finanční kontrole ve veřejné správě a o</w:t>
      </w:r>
      <w:r w:rsidR="0038631A">
        <w:rPr>
          <w:rFonts w:cstheme="minorHAnsi"/>
          <w:sz w:val="22"/>
          <w:szCs w:val="22"/>
        </w:rPr>
        <w:t> </w:t>
      </w:r>
      <w:r w:rsidRPr="004E4F45">
        <w:rPr>
          <w:rFonts w:cstheme="minorHAnsi"/>
          <w:sz w:val="22"/>
          <w:szCs w:val="22"/>
        </w:rPr>
        <w:t>změně některých zákonů, v platném znění, osobou povinnou spolupůsobit při výkonu finanční kontroly.</w:t>
      </w:r>
    </w:p>
    <w:p w14:paraId="3141929F" w14:textId="77777777" w:rsidR="00C154B0" w:rsidRPr="004E4F45" w:rsidRDefault="00C154B0" w:rsidP="00665632">
      <w:pPr>
        <w:pStyle w:val="Zkladntextodsazen3"/>
        <w:widowControl w:val="0"/>
        <w:shd w:val="clear" w:color="auto" w:fill="FFFFFF" w:themeFill="background1"/>
        <w:spacing w:line="240" w:lineRule="auto"/>
        <w:ind w:left="0"/>
        <w:jc w:val="both"/>
        <w:rPr>
          <w:rFonts w:eastAsia="Times New Roman" w:cstheme="minorHAnsi"/>
          <w:b/>
          <w:bCs/>
          <w:color w:val="000000"/>
          <w:sz w:val="24"/>
          <w:lang w:eastAsia="cs-CZ"/>
        </w:rPr>
      </w:pPr>
    </w:p>
    <w:p w14:paraId="3BA2B162" w14:textId="77777777" w:rsidR="00C154B0" w:rsidRPr="004E4F45" w:rsidRDefault="00C154B0" w:rsidP="0038631A">
      <w:pPr>
        <w:keepNext/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  <w:r w:rsidRPr="004E4F45">
        <w:rPr>
          <w:rFonts w:eastAsia="Times New Roman" w:cstheme="minorHAnsi"/>
          <w:noProof/>
          <w:lang w:eastAsia="cs-CZ"/>
        </w:rPr>
        <w:lastRenderedPageBreak/>
        <w:t>Obě smluvní strany prohlašují, že si</w:t>
      </w:r>
      <w:r w:rsidR="00665632">
        <w:rPr>
          <w:rFonts w:eastAsia="Times New Roman" w:cstheme="minorHAnsi"/>
          <w:noProof/>
          <w:lang w:eastAsia="cs-CZ"/>
        </w:rPr>
        <w:t xml:space="preserve"> tuto Rámcovou dohodu</w:t>
      </w:r>
      <w:r w:rsidRPr="004E4F45">
        <w:rPr>
          <w:rFonts w:eastAsia="Times New Roman" w:cstheme="minorHAnsi"/>
          <w:noProof/>
          <w:lang w:eastAsia="cs-CZ"/>
        </w:rPr>
        <w:t xml:space="preserve"> před jejím podpisem přečetly a její text odpovídá jejich pravé a svobodné vůli,</w:t>
      </w:r>
      <w:r w:rsidRPr="004E4F45">
        <w:rPr>
          <w:rFonts w:eastAsia="Times New Roman" w:cstheme="minorHAnsi"/>
          <w:color w:val="000000"/>
          <w:lang w:eastAsia="cs-CZ"/>
        </w:rPr>
        <w:t xml:space="preserve"> což potvrzují jejich zástupci svými podpisy:</w:t>
      </w:r>
    </w:p>
    <w:p w14:paraId="6B7BCB59" w14:textId="77777777" w:rsidR="00C154B0" w:rsidRPr="004E4F45" w:rsidRDefault="00C154B0" w:rsidP="0038631A">
      <w:pPr>
        <w:keepNext/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</w:p>
    <w:p w14:paraId="073511DE" w14:textId="77777777" w:rsidR="00C154B0" w:rsidRPr="004E4F45" w:rsidRDefault="00C154B0" w:rsidP="0038631A">
      <w:pPr>
        <w:keepNext/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</w:p>
    <w:tbl>
      <w:tblPr>
        <w:tblStyle w:val="Mkatabulky"/>
        <w:tblW w:w="892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1"/>
        <w:gridCol w:w="4894"/>
      </w:tblGrid>
      <w:tr w:rsidR="00C154B0" w:rsidRPr="004E4F45" w14:paraId="090DAF87" w14:textId="77777777" w:rsidTr="004E4F45">
        <w:trPr>
          <w:trHeight w:val="1091"/>
        </w:trPr>
        <w:tc>
          <w:tcPr>
            <w:tcW w:w="4031" w:type="dxa"/>
            <w:hideMark/>
          </w:tcPr>
          <w:p w14:paraId="19FB20EE" w14:textId="77777777" w:rsidR="004E4F45" w:rsidRPr="004E4F45" w:rsidRDefault="004E4F45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eastAsia="cs-CZ"/>
              </w:rPr>
            </w:pPr>
            <w:r w:rsidRPr="004E4F4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eastAsia="cs-CZ"/>
              </w:rPr>
              <w:t>Za Objednatele</w:t>
            </w:r>
          </w:p>
          <w:p w14:paraId="522B158A" w14:textId="77777777" w:rsidR="004E4F45" w:rsidRPr="004E4F45" w:rsidRDefault="004E4F45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  <w:p w14:paraId="59E6291F" w14:textId="77777777" w:rsidR="004E4F45" w:rsidRPr="004E4F45" w:rsidRDefault="004E4F45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  <w:p w14:paraId="6DC469DE" w14:textId="77777777" w:rsidR="004E4F45" w:rsidRPr="004E4F45" w:rsidRDefault="004E4F45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  <w:p w14:paraId="231E6129" w14:textId="77777777" w:rsidR="00C154B0" w:rsidRPr="004E4F45" w:rsidRDefault="004E4F45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eastAsia="cs-CZ"/>
              </w:rPr>
            </w:pPr>
            <w:r w:rsidRPr="004E4F4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___________________________</w:t>
            </w:r>
          </w:p>
        </w:tc>
        <w:tc>
          <w:tcPr>
            <w:tcW w:w="4895" w:type="dxa"/>
            <w:hideMark/>
          </w:tcPr>
          <w:p w14:paraId="5F8230F1" w14:textId="77777777" w:rsidR="004E4F45" w:rsidRPr="004E4F45" w:rsidRDefault="004E4F45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4E4F4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eastAsia="cs-CZ"/>
              </w:rPr>
              <w:t>Za Poskytovatele</w:t>
            </w:r>
          </w:p>
          <w:p w14:paraId="209C7F98" w14:textId="77777777" w:rsidR="004E4F45" w:rsidRPr="004E4F45" w:rsidRDefault="004E4F45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  <w:p w14:paraId="2ED7AF3B" w14:textId="77777777" w:rsidR="004E4F45" w:rsidRPr="004E4F45" w:rsidRDefault="004E4F45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  <w:p w14:paraId="236A2913" w14:textId="77777777" w:rsidR="004E4F45" w:rsidRPr="004E4F45" w:rsidRDefault="004E4F45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  <w:p w14:paraId="3AB6920C" w14:textId="77777777" w:rsidR="00C154B0" w:rsidRPr="004E4F45" w:rsidRDefault="004E4F45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eastAsia="cs-CZ"/>
              </w:rPr>
            </w:pPr>
            <w:r w:rsidRPr="004E4F4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___________________________</w:t>
            </w:r>
          </w:p>
        </w:tc>
      </w:tr>
      <w:tr w:rsidR="00C154B0" w:rsidRPr="004E4F45" w14:paraId="767F2E0F" w14:textId="77777777" w:rsidTr="005430D3">
        <w:trPr>
          <w:trHeight w:val="883"/>
        </w:trPr>
        <w:tc>
          <w:tcPr>
            <w:tcW w:w="4031" w:type="dxa"/>
            <w:hideMark/>
          </w:tcPr>
          <w:p w14:paraId="6D13875C" w14:textId="0BB14741" w:rsidR="00C154B0" w:rsidRPr="004E4F45" w:rsidRDefault="005430D3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5430D3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  <w:r w:rsidR="00C154B0" w:rsidRPr="004E4F4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ab/>
            </w:r>
          </w:p>
          <w:p w14:paraId="213CD2E7" w14:textId="77777777" w:rsidR="00C154B0" w:rsidRPr="004E4F45" w:rsidRDefault="004E4F45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eastAsia="cs-CZ"/>
              </w:rPr>
            </w:pPr>
            <w:r w:rsidRPr="004E4F4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Ř</w:t>
            </w:r>
            <w:r w:rsidR="00C154B0" w:rsidRPr="004E4F4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editel</w:t>
            </w:r>
            <w:r w:rsidRPr="004E4F4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ČVUT CIIRC</w:t>
            </w:r>
            <w:r w:rsidR="00C154B0" w:rsidRPr="004E4F4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ab/>
            </w:r>
          </w:p>
        </w:tc>
        <w:tc>
          <w:tcPr>
            <w:tcW w:w="4895" w:type="dxa"/>
          </w:tcPr>
          <w:p w14:paraId="329E1B04" w14:textId="0DA419D6" w:rsidR="00C154B0" w:rsidRPr="004E4F45" w:rsidRDefault="005430D3" w:rsidP="0038631A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eastAsia="cs-CZ"/>
              </w:rPr>
            </w:pPr>
            <w:r w:rsidRPr="005430D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highlight w:val="black"/>
                <w:lang w:eastAsia="cs-CZ"/>
              </w:rPr>
              <w:t>xxxxxxxxxxxxx</w:t>
            </w:r>
          </w:p>
        </w:tc>
      </w:tr>
    </w:tbl>
    <w:p w14:paraId="0816EBD7" w14:textId="77777777" w:rsidR="00651079" w:rsidRPr="004E4F45" w:rsidRDefault="00651079">
      <w:pPr>
        <w:rPr>
          <w:rFonts w:cstheme="minorHAnsi"/>
        </w:rPr>
      </w:pPr>
    </w:p>
    <w:sectPr w:rsidR="00651079" w:rsidRPr="004E4F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9C3DA" w14:textId="77777777" w:rsidR="00B348D3" w:rsidRDefault="00B348D3" w:rsidP="004E5FD4">
      <w:pPr>
        <w:spacing w:after="0" w:line="240" w:lineRule="auto"/>
      </w:pPr>
      <w:r>
        <w:separator/>
      </w:r>
    </w:p>
  </w:endnote>
  <w:endnote w:type="continuationSeparator" w:id="0">
    <w:p w14:paraId="2EC3CBE1" w14:textId="77777777" w:rsidR="00B348D3" w:rsidRDefault="00B348D3" w:rsidP="004E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 Mono">
    <w:altName w:val="Verdana"/>
    <w:charset w:val="01"/>
    <w:family w:val="swiss"/>
    <w:pitch w:val="default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9FDBA" w14:textId="77777777" w:rsidR="00B348D3" w:rsidRDefault="00B348D3" w:rsidP="004E5FD4">
      <w:pPr>
        <w:spacing w:after="0" w:line="240" w:lineRule="auto"/>
      </w:pPr>
      <w:r>
        <w:separator/>
      </w:r>
    </w:p>
  </w:footnote>
  <w:footnote w:type="continuationSeparator" w:id="0">
    <w:p w14:paraId="7FE52C9D" w14:textId="77777777" w:rsidR="00B348D3" w:rsidRDefault="00B348D3" w:rsidP="004E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5F60" w14:textId="77777777" w:rsidR="0038631A" w:rsidRDefault="0038631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anchor distT="0" distB="0" distL="114300" distR="114300" simplePos="0" relativeHeight="251659264" behindDoc="1" locked="0" layoutInCell="1" allowOverlap="1" wp14:anchorId="63917934" wp14:editId="5EE39E73">
          <wp:simplePos x="0" y="0"/>
          <wp:positionH relativeFrom="column">
            <wp:posOffset>-95733</wp:posOffset>
          </wp:positionH>
          <wp:positionV relativeFrom="paragraph">
            <wp:posOffset>-127838</wp:posOffset>
          </wp:positionV>
          <wp:extent cx="1075055" cy="386080"/>
          <wp:effectExtent l="0" t="0" r="0" b="0"/>
          <wp:wrapTight wrapText="bothSides">
            <wp:wrapPolygon edited="0">
              <wp:start x="0" y="0"/>
              <wp:lineTo x="0" y="20250"/>
              <wp:lineTo x="21051" y="20250"/>
              <wp:lineTo x="21051" y="0"/>
              <wp:lineTo x="0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201B7628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8575E"/>
    <w:multiLevelType w:val="hybridMultilevel"/>
    <w:tmpl w:val="974A9642"/>
    <w:lvl w:ilvl="0" w:tplc="0EB69C48">
      <w:start w:val="1"/>
      <w:numFmt w:val="decimal"/>
      <w:lvlText w:val="%1."/>
      <w:lvlJc w:val="left"/>
      <w:pPr>
        <w:ind w:left="720" w:hanging="360"/>
      </w:pPr>
    </w:lvl>
    <w:lvl w:ilvl="1" w:tplc="15D4C2B0">
      <w:start w:val="1"/>
      <w:numFmt w:val="lowerLetter"/>
      <w:lvlText w:val="%2)"/>
      <w:lvlJc w:val="left"/>
      <w:pPr>
        <w:ind w:left="1200" w:hanging="120"/>
      </w:pPr>
    </w:lvl>
    <w:lvl w:ilvl="2" w:tplc="D3480F5E">
      <w:start w:val="7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E92E98"/>
    <w:multiLevelType w:val="multilevel"/>
    <w:tmpl w:val="88BE6900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7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</w:lvl>
    <w:lvl w:ilvl="1" w:tplc="04050019">
      <w:start w:val="1"/>
      <w:numFmt w:val="lowerLetter"/>
      <w:lvlText w:val="%2."/>
      <w:lvlJc w:val="left"/>
      <w:pPr>
        <w:ind w:left="3912" w:hanging="360"/>
      </w:pPr>
    </w:lvl>
    <w:lvl w:ilvl="2" w:tplc="0405001B">
      <w:start w:val="1"/>
      <w:numFmt w:val="lowerRoman"/>
      <w:lvlText w:val="%3."/>
      <w:lvlJc w:val="right"/>
      <w:pPr>
        <w:ind w:left="4632" w:hanging="180"/>
      </w:pPr>
    </w:lvl>
    <w:lvl w:ilvl="3" w:tplc="0405000F">
      <w:start w:val="1"/>
      <w:numFmt w:val="decimal"/>
      <w:lvlText w:val="%4."/>
      <w:lvlJc w:val="left"/>
      <w:pPr>
        <w:ind w:left="5352" w:hanging="360"/>
      </w:pPr>
    </w:lvl>
    <w:lvl w:ilvl="4" w:tplc="04050019">
      <w:start w:val="1"/>
      <w:numFmt w:val="lowerLetter"/>
      <w:lvlText w:val="%5."/>
      <w:lvlJc w:val="left"/>
      <w:pPr>
        <w:ind w:left="6072" w:hanging="360"/>
      </w:pPr>
    </w:lvl>
    <w:lvl w:ilvl="5" w:tplc="0405001B">
      <w:start w:val="1"/>
      <w:numFmt w:val="lowerRoman"/>
      <w:lvlText w:val="%6."/>
      <w:lvlJc w:val="right"/>
      <w:pPr>
        <w:ind w:left="6792" w:hanging="180"/>
      </w:pPr>
    </w:lvl>
    <w:lvl w:ilvl="6" w:tplc="0405000F">
      <w:start w:val="1"/>
      <w:numFmt w:val="decimal"/>
      <w:lvlText w:val="%7."/>
      <w:lvlJc w:val="left"/>
      <w:pPr>
        <w:ind w:left="7512" w:hanging="360"/>
      </w:pPr>
    </w:lvl>
    <w:lvl w:ilvl="7" w:tplc="04050019">
      <w:start w:val="1"/>
      <w:numFmt w:val="lowerLetter"/>
      <w:lvlText w:val="%8."/>
      <w:lvlJc w:val="left"/>
      <w:pPr>
        <w:ind w:left="8232" w:hanging="360"/>
      </w:pPr>
    </w:lvl>
    <w:lvl w:ilvl="8" w:tplc="0405001B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48D143C6"/>
    <w:multiLevelType w:val="hybridMultilevel"/>
    <w:tmpl w:val="0C649FE4"/>
    <w:lvl w:ilvl="0" w:tplc="553C63D8">
      <w:start w:val="1"/>
      <w:numFmt w:val="decimal"/>
      <w:pStyle w:val="textindent"/>
      <w:lvlText w:val="%1."/>
      <w:lvlJc w:val="left"/>
      <w:pPr>
        <w:ind w:left="1080" w:hanging="360"/>
      </w:pPr>
      <w:rPr>
        <w:rFonts w:asciiTheme="minorHAnsi" w:eastAsiaTheme="minorHAnsi" w:hAnsiTheme="minorHAnsi" w:cs="Times New Roman" w:hint="default"/>
        <w:b w:val="0"/>
        <w:color w:val="000000" w:themeColor="text1"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3B237B"/>
    <w:multiLevelType w:val="multilevel"/>
    <w:tmpl w:val="A9DCE506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0" w15:restartNumberingAfterBreak="0">
    <w:nsid w:val="5E6E6701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E1D55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F41B48"/>
    <w:multiLevelType w:val="multilevel"/>
    <w:tmpl w:val="0C4E8B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C46658E"/>
    <w:multiLevelType w:val="multilevel"/>
    <w:tmpl w:val="88BE6900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7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0312F7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8746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6322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011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519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001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47815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1664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6133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57578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961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4872932">
    <w:abstractNumId w:val="9"/>
    <w:lvlOverride w:ilvl="0">
      <w:startOverride w:val="1"/>
    </w:lvlOverride>
  </w:num>
  <w:num w:numId="12" w16cid:durableId="1769891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0541981">
    <w:abstractNumId w:val="7"/>
  </w:num>
  <w:num w:numId="14" w16cid:durableId="1005936407">
    <w:abstractNumId w:val="13"/>
  </w:num>
  <w:num w:numId="15" w16cid:durableId="955520516">
    <w:abstractNumId w:val="14"/>
  </w:num>
  <w:num w:numId="16" w16cid:durableId="23210079">
    <w:abstractNumId w:val="1"/>
  </w:num>
  <w:num w:numId="17" w16cid:durableId="1861817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9C"/>
    <w:rsid w:val="000B2999"/>
    <w:rsid w:val="00264C41"/>
    <w:rsid w:val="0027543C"/>
    <w:rsid w:val="002A3849"/>
    <w:rsid w:val="00385FB6"/>
    <w:rsid w:val="0038631A"/>
    <w:rsid w:val="003D7A48"/>
    <w:rsid w:val="003F6018"/>
    <w:rsid w:val="00435A06"/>
    <w:rsid w:val="00470DB6"/>
    <w:rsid w:val="004E4F45"/>
    <w:rsid w:val="004E5FD4"/>
    <w:rsid w:val="005430D3"/>
    <w:rsid w:val="0062229C"/>
    <w:rsid w:val="00651079"/>
    <w:rsid w:val="00665632"/>
    <w:rsid w:val="00697CD9"/>
    <w:rsid w:val="00791237"/>
    <w:rsid w:val="007A0115"/>
    <w:rsid w:val="008901A9"/>
    <w:rsid w:val="00A4787D"/>
    <w:rsid w:val="00A54634"/>
    <w:rsid w:val="00A70DE1"/>
    <w:rsid w:val="00A84EBC"/>
    <w:rsid w:val="00AB5210"/>
    <w:rsid w:val="00B348D3"/>
    <w:rsid w:val="00BB6A5A"/>
    <w:rsid w:val="00C154B0"/>
    <w:rsid w:val="00C514B6"/>
    <w:rsid w:val="00C567C6"/>
    <w:rsid w:val="00CA79BB"/>
    <w:rsid w:val="00CE4A10"/>
    <w:rsid w:val="00D46C8B"/>
    <w:rsid w:val="00DC1507"/>
    <w:rsid w:val="00E41ECB"/>
    <w:rsid w:val="00F617E3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05E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29C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22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semiHidden/>
    <w:unhideWhenUsed/>
    <w:qFormat/>
    <w:rsid w:val="0062229C"/>
    <w:pPr>
      <w:keepNext w:val="0"/>
      <w:keepLines w:val="0"/>
      <w:numPr>
        <w:ilvl w:val="1"/>
        <w:numId w:val="1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semiHidden/>
    <w:rsid w:val="0062229C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paragraph" w:styleId="Zkladntext">
    <w:name w:val="Body Text"/>
    <w:basedOn w:val="Normln"/>
    <w:link w:val="ZkladntextChar"/>
    <w:unhideWhenUsed/>
    <w:rsid w:val="0062229C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62229C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62229C"/>
    <w:pPr>
      <w:ind w:left="720"/>
      <w:contextualSpacing/>
    </w:pPr>
  </w:style>
  <w:style w:type="paragraph" w:customStyle="1" w:styleId="Nzevsmlouvy">
    <w:name w:val="Název smlouvy"/>
    <w:basedOn w:val="Normln"/>
    <w:rsid w:val="0062229C"/>
    <w:pPr>
      <w:overflowPunct w:val="0"/>
      <w:autoSpaceDE w:val="0"/>
      <w:autoSpaceDN w:val="0"/>
      <w:adjustRightInd w:val="0"/>
      <w:spacing w:after="0" w:line="280" w:lineRule="atLeast"/>
      <w:jc w:val="center"/>
    </w:pPr>
    <w:rPr>
      <w:rFonts w:ascii="Calibri" w:eastAsia="Times New Roman" w:hAnsi="Calibri" w:cs="Times New Roman"/>
      <w:b/>
      <w:sz w:val="36"/>
      <w:szCs w:val="20"/>
    </w:rPr>
  </w:style>
  <w:style w:type="paragraph" w:customStyle="1" w:styleId="SBSSmlouva">
    <w:name w:val="SBS Smlouva"/>
    <w:basedOn w:val="Normln"/>
    <w:rsid w:val="0062229C"/>
    <w:pPr>
      <w:numPr>
        <w:numId w:val="1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textindentChar">
    <w:name w:val="text indent Char"/>
    <w:basedOn w:val="Standardnpsmoodstavce"/>
    <w:link w:val="textindent"/>
    <w:locked/>
    <w:rsid w:val="0062229C"/>
    <w:rPr>
      <w:rFonts w:ascii="Times New Roman" w:eastAsia="Times New Roman" w:hAnsi="Times New Roman" w:cs="Arial"/>
      <w:color w:val="000000"/>
      <w:lang w:eastAsia="cs-CZ"/>
    </w:rPr>
  </w:style>
  <w:style w:type="paragraph" w:customStyle="1" w:styleId="textindent">
    <w:name w:val="text indent"/>
    <w:basedOn w:val="Normln"/>
    <w:link w:val="textindentChar"/>
    <w:qFormat/>
    <w:rsid w:val="0062229C"/>
    <w:pPr>
      <w:widowControl w:val="0"/>
      <w:numPr>
        <w:numId w:val="2"/>
      </w:numPr>
      <w:tabs>
        <w:tab w:val="left" w:pos="720"/>
        <w:tab w:val="left" w:pos="851"/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Arial"/>
      <w:color w:val="000000"/>
      <w:lang w:eastAsia="cs-CZ"/>
    </w:rPr>
  </w:style>
  <w:style w:type="table" w:styleId="Mkatabulky">
    <w:name w:val="Table Grid"/>
    <w:basedOn w:val="Normlntabulka"/>
    <w:uiPriority w:val="39"/>
    <w:rsid w:val="0062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22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546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463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5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naoblku">
    <w:name w:val="envelope address"/>
    <w:basedOn w:val="Normln"/>
    <w:uiPriority w:val="99"/>
    <w:semiHidden/>
    <w:unhideWhenUsed/>
    <w:qFormat/>
    <w:rsid w:val="00A54634"/>
    <w:p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rsid w:val="00A5463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paragraph" w:customStyle="1" w:styleId="paragraph">
    <w:name w:val="paragraph"/>
    <w:basedOn w:val="Normln"/>
    <w:uiPriority w:val="99"/>
    <w:qFormat/>
    <w:rsid w:val="00A54634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dformtovantext">
    <w:name w:val="Předformátovaný text"/>
    <w:basedOn w:val="Normln"/>
    <w:uiPriority w:val="99"/>
    <w:qFormat/>
    <w:rsid w:val="00A54634"/>
    <w:pPr>
      <w:suppressAutoHyphens/>
      <w:spacing w:after="0" w:line="240" w:lineRule="auto"/>
    </w:pPr>
    <w:rPr>
      <w:rFonts w:ascii="DejaVu Sans Mono" w:eastAsia="DejaVu Sans Mono" w:hAnsi="DejaVu Sans Mono" w:cs="DejaVu Sans Mono"/>
      <w:color w:val="00000A"/>
      <w:kern w:val="2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E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FD4"/>
  </w:style>
  <w:style w:type="paragraph" w:styleId="Zpat">
    <w:name w:val="footer"/>
    <w:basedOn w:val="Normln"/>
    <w:link w:val="ZpatChar"/>
    <w:uiPriority w:val="99"/>
    <w:unhideWhenUsed/>
    <w:rsid w:val="004E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FD4"/>
  </w:style>
  <w:style w:type="paragraph" w:styleId="Zkladntextodsazen2">
    <w:name w:val="Body Text Indent 2"/>
    <w:basedOn w:val="Normln"/>
    <w:link w:val="Zkladntextodsazen2Char"/>
    <w:uiPriority w:val="99"/>
    <w:unhideWhenUsed/>
    <w:rsid w:val="00385FB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85FB6"/>
  </w:style>
  <w:style w:type="paragraph" w:styleId="Zkladntextodsazen3">
    <w:name w:val="Body Text Indent 3"/>
    <w:basedOn w:val="Normln"/>
    <w:link w:val="Zkladntextodsazen3Char"/>
    <w:uiPriority w:val="99"/>
    <w:unhideWhenUsed/>
    <w:rsid w:val="00385FB6"/>
    <w:pPr>
      <w:spacing w:after="120" w:line="259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85F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2024-07-31T08:29:00Z</dcterms:created>
  <dcterms:modified xsi:type="dcterms:W3CDTF">2024-08-02T09:39:00Z</dcterms:modified>
</cp:coreProperties>
</file>