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624A" w14:textId="77777777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25648DD8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DA778B">
        <w:rPr>
          <w:rFonts w:ascii="Arial" w:eastAsia="Times New Roman" w:hAnsi="Arial" w:cs="Arial"/>
          <w:lang w:eastAsia="cs-CZ"/>
        </w:rPr>
        <w:t> </w:t>
      </w:r>
    </w:p>
    <w:p w14:paraId="1DA252E4" w14:textId="23482513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 se sídlem: </w:t>
      </w:r>
      <w:r w:rsidR="00A749B1">
        <w:rPr>
          <w:rFonts w:ascii="Arial" w:eastAsia="Times New Roman" w:hAnsi="Arial" w:cs="Arial"/>
          <w:lang w:eastAsia="cs-CZ"/>
        </w:rPr>
        <w:t>U Radnice 10/2</w:t>
      </w:r>
      <w:r w:rsidRPr="00DA778B">
        <w:rPr>
          <w:rFonts w:ascii="Arial" w:eastAsia="Times New Roman" w:hAnsi="Arial" w:cs="Arial"/>
          <w:lang w:eastAsia="cs-CZ"/>
        </w:rPr>
        <w:t>, 11000 Praha 1 </w:t>
      </w:r>
    </w:p>
    <w:p w14:paraId="7752A9E0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394BE74B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 09211322 </w:t>
      </w:r>
    </w:p>
    <w:p w14:paraId="2FF4F7E5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 2031590006/6000</w:t>
      </w:r>
      <w:r w:rsidRPr="00DA778B">
        <w:rPr>
          <w:rFonts w:ascii="Arial" w:eastAsia="Times New Roman" w:hAnsi="Arial" w:cs="Arial"/>
          <w:lang w:eastAsia="cs-CZ"/>
        </w:rPr>
        <w:t>  </w:t>
      </w:r>
    </w:p>
    <w:p w14:paraId="46BF2D04" w14:textId="5DD8B070" w:rsidR="00632810" w:rsidRPr="00DA778B" w:rsidRDefault="00632810" w:rsidP="00AE28BB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37F727A" w14:textId="18610A66" w:rsidR="00632810" w:rsidRPr="00AE28BB" w:rsidRDefault="00632810" w:rsidP="00AE28BB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3B578019" w14:textId="66FBA061" w:rsidR="00632810" w:rsidRPr="00DA778B" w:rsidRDefault="00632810" w:rsidP="0063281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</w:t>
      </w:r>
      <w:r w:rsidR="00AE28BB">
        <w:rPr>
          <w:rFonts w:ascii="Arial" w:eastAsia="Arial" w:hAnsi="Arial" w:cs="Arial"/>
          <w:b/>
          <w:bCs/>
        </w:rPr>
        <w:t xml:space="preserve">        </w:t>
      </w:r>
      <w:r>
        <w:rPr>
          <w:rFonts w:ascii="Arial" w:eastAsia="Arial" w:hAnsi="Arial" w:cs="Arial"/>
          <w:b/>
          <w:bCs/>
        </w:rPr>
        <w:t>Gordic spol. s r.o.</w:t>
      </w:r>
    </w:p>
    <w:p w14:paraId="26DA0764" w14:textId="77777777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 xml:space="preserve"> Erbenova 4, 586 01 Jihlava</w:t>
      </w:r>
      <w:r w:rsidRPr="00DA778B">
        <w:rPr>
          <w:rFonts w:ascii="Arial" w:eastAsia="Arial" w:hAnsi="Arial" w:cs="Arial"/>
        </w:rPr>
        <w:t xml:space="preserve"> </w:t>
      </w:r>
    </w:p>
    <w:p w14:paraId="155A45AC" w14:textId="77D9A2AF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Zastoupená:</w:t>
      </w:r>
      <w:r w:rsidR="008479B9">
        <w:rPr>
          <w:rFonts w:ascii="Arial" w:eastAsia="Arial" w:hAnsi="Arial" w:cs="Arial"/>
        </w:rPr>
        <w:t xml:space="preserve"> Ing. Jaromír Řezáč</w:t>
      </w:r>
      <w:r w:rsidRPr="00DA778B">
        <w:rPr>
          <w:rFonts w:ascii="Arial" w:eastAsia="Arial" w:hAnsi="Arial" w:cs="Arial"/>
        </w:rPr>
        <w:t xml:space="preserve"> </w:t>
      </w:r>
    </w:p>
    <w:p w14:paraId="432F8FC1" w14:textId="77777777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 </w:t>
      </w:r>
      <w:r>
        <w:rPr>
          <w:rFonts w:ascii="Arial" w:eastAsia="Times New Roman" w:hAnsi="Arial" w:cs="Arial"/>
          <w:lang w:eastAsia="cs-CZ"/>
        </w:rPr>
        <w:t>47903783</w:t>
      </w:r>
    </w:p>
    <w:p w14:paraId="12AAC8C4" w14:textId="0A725649" w:rsidR="00632810" w:rsidRPr="00DA778B" w:rsidRDefault="00632810" w:rsidP="00632810">
      <w:pPr>
        <w:ind w:firstLine="420"/>
        <w:jc w:val="right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 </w:t>
      </w:r>
      <w:proofErr w:type="spellStart"/>
      <w:r w:rsidR="003E168D">
        <w:rPr>
          <w:rFonts w:ascii="Arial" w:eastAsia="Times New Roman" w:hAnsi="Arial" w:cs="Arial"/>
          <w:color w:val="000000" w:themeColor="text1"/>
          <w:lang w:eastAsia="cs-CZ"/>
        </w:rPr>
        <w:t>xxxxxxxxx</w:t>
      </w:r>
      <w:proofErr w:type="spellEnd"/>
    </w:p>
    <w:p w14:paraId="3CE4BF06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F739EBE" w14:textId="5015220F" w:rsidR="00A749B1" w:rsidRDefault="00632810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(dále též „Smluvní strany“) </w:t>
      </w:r>
    </w:p>
    <w:p w14:paraId="55C88B91" w14:textId="77777777" w:rsidR="00836E62" w:rsidRPr="00A749B1" w:rsidRDefault="00836E62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4545DD5B" w14:textId="4A433185" w:rsidR="00632810" w:rsidRPr="00084EAB" w:rsidRDefault="00632810" w:rsidP="00632810">
      <w:pPr>
        <w:pStyle w:val="Nadpis1"/>
      </w:pPr>
      <w:r w:rsidRPr="00084EAB">
        <w:t xml:space="preserve">Objednávka </w:t>
      </w:r>
      <w:r w:rsidR="00727961">
        <w:t>rozšíření modulu GINIS POK Express SQL</w:t>
      </w:r>
    </w:p>
    <w:p w14:paraId="2449D543" w14:textId="77777777" w:rsidR="00632810" w:rsidRPr="00A749B1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3DD8880C" w14:textId="084FC17D" w:rsidR="00632810" w:rsidRPr="00836E62" w:rsidRDefault="00632810" w:rsidP="00632810">
      <w:pPr>
        <w:jc w:val="both"/>
        <w:textAlignment w:val="baseline"/>
        <w:rPr>
          <w:rFonts w:ascii="Arial" w:hAnsi="Arial" w:cs="Arial"/>
          <w:shd w:val="clear" w:color="auto" w:fill="FFFFFF"/>
        </w:rPr>
      </w:pPr>
      <w:r w:rsidRPr="00836E62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objednáváme </w:t>
      </w:r>
      <w:r w:rsidR="00727961" w:rsidRPr="00727961">
        <w:rPr>
          <w:rFonts w:ascii="Arial" w:eastAsia="Times New Roman" w:hAnsi="Arial" w:cs="Arial"/>
          <w:b/>
          <w:bCs/>
          <w:lang w:eastAsia="cs-CZ"/>
        </w:rPr>
        <w:t>rozšíření modulu GINIS POK Express SQL</w:t>
      </w:r>
      <w:r w:rsidR="00A749B1" w:rsidRPr="00836E62">
        <w:rPr>
          <w:rFonts w:ascii="Arial" w:hAnsi="Arial" w:cs="Arial"/>
        </w:rPr>
        <w:t>.</w:t>
      </w:r>
      <w:r w:rsidRPr="00836E62">
        <w:rPr>
          <w:rFonts w:ascii="Arial" w:hAnsi="Arial" w:cs="Arial"/>
          <w:shd w:val="clear" w:color="auto" w:fill="FFFFFF"/>
        </w:rPr>
        <w:tab/>
      </w:r>
    </w:p>
    <w:p w14:paraId="7DBAE01D" w14:textId="337DE10D" w:rsidR="00632810" w:rsidRPr="00836E62" w:rsidRDefault="00632810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 </w:t>
      </w:r>
    </w:p>
    <w:p w14:paraId="5B78C1DA" w14:textId="77777777" w:rsidR="00A749B1" w:rsidRPr="00836E62" w:rsidRDefault="00A749B1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C9FBC60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170AB885" w14:textId="561C00B4" w:rsidR="00632810" w:rsidRPr="00727961" w:rsidRDefault="00632810" w:rsidP="00727961">
      <w:pPr>
        <w:pStyle w:val="Odstavecseseznamem"/>
        <w:numPr>
          <w:ilvl w:val="0"/>
          <w:numId w:val="8"/>
        </w:numPr>
        <w:textAlignment w:val="baseline"/>
        <w:rPr>
          <w:rFonts w:ascii="Arial" w:eastAsia="Times New Roman" w:hAnsi="Arial" w:cs="Arial"/>
          <w:lang w:eastAsia="cs-CZ"/>
        </w:rPr>
      </w:pPr>
      <w:r w:rsidRPr="00727961">
        <w:rPr>
          <w:rFonts w:ascii="Arial" w:eastAsia="Times New Roman" w:hAnsi="Arial" w:cs="Arial"/>
          <w:u w:val="single"/>
          <w:lang w:eastAsia="cs-CZ"/>
        </w:rPr>
        <w:lastRenderedPageBreak/>
        <w:t>Cena předmětu plnění</w:t>
      </w:r>
      <w:r w:rsidR="00A749B1" w:rsidRPr="00727961">
        <w:rPr>
          <w:rFonts w:ascii="Arial" w:eastAsia="Times New Roman" w:hAnsi="Arial" w:cs="Arial"/>
          <w:u w:val="single"/>
          <w:lang w:eastAsia="cs-CZ"/>
        </w:rPr>
        <w:t>:</w:t>
      </w:r>
    </w:p>
    <w:p w14:paraId="115593B8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5EDAA93B" w14:textId="1F42A085" w:rsidR="00A749B1" w:rsidRPr="0049177A" w:rsidRDefault="0049177A" w:rsidP="00A749B1">
      <w:pPr>
        <w:rPr>
          <w:rFonts w:ascii="Arial" w:hAnsi="Arial" w:cs="Arial"/>
          <w:b/>
          <w:bCs/>
        </w:rPr>
      </w:pPr>
      <w:r w:rsidRPr="0049177A">
        <w:rPr>
          <w:rFonts w:ascii="Arial" w:hAnsi="Arial" w:cs="Arial"/>
          <w:b/>
          <w:bCs/>
        </w:rPr>
        <w:t xml:space="preserve">Rozšíření POK o možnost vkládání el. příloh </w:t>
      </w:r>
      <w:r w:rsidRPr="0049177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9177A">
        <w:rPr>
          <w:rFonts w:ascii="Arial" w:hAnsi="Arial" w:cs="Arial"/>
          <w:b/>
          <w:bCs/>
        </w:rPr>
        <w:t>4 528</w:t>
      </w:r>
      <w:r w:rsidR="00A749B1" w:rsidRPr="0049177A">
        <w:rPr>
          <w:rFonts w:ascii="Arial" w:hAnsi="Arial" w:cs="Arial"/>
          <w:b/>
          <w:bCs/>
        </w:rPr>
        <w:t xml:space="preserve"> Kč + DPH</w:t>
      </w:r>
    </w:p>
    <w:p w14:paraId="46D6F18D" w14:textId="77777777" w:rsidR="0049177A" w:rsidRDefault="0049177A" w:rsidP="00A749B1">
      <w:pPr>
        <w:textAlignment w:val="baseline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49177A">
        <w:rPr>
          <w:rFonts w:ascii="Arial" w:eastAsia="Times New Roman" w:hAnsi="Arial" w:cs="Arial"/>
          <w:b/>
          <w:bCs/>
          <w:lang w:eastAsia="cs-CZ"/>
        </w:rPr>
        <w:t>Implemantace</w:t>
      </w:r>
      <w:proofErr w:type="spellEnd"/>
      <w:r w:rsidRPr="0049177A">
        <w:rPr>
          <w:rFonts w:ascii="Arial" w:eastAsia="Times New Roman" w:hAnsi="Arial" w:cs="Arial"/>
          <w:b/>
          <w:bCs/>
          <w:lang w:eastAsia="cs-CZ"/>
        </w:rPr>
        <w:tab/>
      </w:r>
      <w:r w:rsidRPr="0049177A">
        <w:rPr>
          <w:rFonts w:ascii="Arial" w:eastAsia="Times New Roman" w:hAnsi="Arial" w:cs="Arial"/>
          <w:b/>
          <w:bCs/>
          <w:lang w:eastAsia="cs-CZ"/>
        </w:rPr>
        <w:tab/>
      </w:r>
      <w:r w:rsidRPr="0049177A">
        <w:rPr>
          <w:rFonts w:ascii="Arial" w:eastAsia="Times New Roman" w:hAnsi="Arial" w:cs="Arial"/>
          <w:b/>
          <w:bCs/>
          <w:lang w:eastAsia="cs-CZ"/>
        </w:rPr>
        <w:tab/>
      </w:r>
      <w:r w:rsidRPr="0049177A">
        <w:rPr>
          <w:rFonts w:ascii="Arial" w:eastAsia="Times New Roman" w:hAnsi="Arial" w:cs="Arial"/>
          <w:b/>
          <w:bCs/>
          <w:lang w:eastAsia="cs-CZ"/>
        </w:rPr>
        <w:tab/>
      </w:r>
      <w:r w:rsidRPr="0049177A">
        <w:rPr>
          <w:rFonts w:ascii="Arial" w:eastAsia="Times New Roman" w:hAnsi="Arial" w:cs="Arial"/>
          <w:b/>
          <w:bCs/>
          <w:lang w:eastAsia="cs-CZ"/>
        </w:rPr>
        <w:tab/>
      </w:r>
      <w:r w:rsidRPr="0049177A">
        <w:rPr>
          <w:rFonts w:ascii="Arial" w:eastAsia="Times New Roman" w:hAnsi="Arial" w:cs="Arial"/>
          <w:b/>
          <w:bCs/>
          <w:lang w:eastAsia="cs-CZ"/>
        </w:rPr>
        <w:tab/>
        <w:t>1 250 Kč + DPH</w:t>
      </w:r>
    </w:p>
    <w:p w14:paraId="2FC8CD45" w14:textId="28EBC84A" w:rsidR="0049177A" w:rsidRDefault="0049177A" w:rsidP="00A749B1">
      <w:pPr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-----------------------------------------------------------------------------------------------------</w:t>
      </w:r>
    </w:p>
    <w:p w14:paraId="6B1F84EB" w14:textId="5146484F" w:rsidR="00AE28BB" w:rsidRPr="0049526B" w:rsidRDefault="0049177A" w:rsidP="00A749B1">
      <w:pPr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Celkem</w:t>
      </w:r>
      <w:r>
        <w:rPr>
          <w:rFonts w:ascii="Arial" w:eastAsia="Times New Roman" w:hAnsi="Arial" w:cs="Arial"/>
          <w:b/>
          <w:bCs/>
          <w:lang w:eastAsia="cs-CZ"/>
        </w:rPr>
        <w:tab/>
        <w:t>5 778 Kč + DPH</w:t>
      </w:r>
      <w:r w:rsidR="00632810" w:rsidRPr="00836E62">
        <w:rPr>
          <w:rFonts w:ascii="Arial" w:eastAsia="Times New Roman" w:hAnsi="Arial" w:cs="Arial"/>
          <w:lang w:eastAsia="cs-CZ"/>
        </w:rPr>
        <w:tab/>
      </w:r>
    </w:p>
    <w:p w14:paraId="3403371A" w14:textId="2D9DB56B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Doba plnění</w:t>
      </w:r>
      <w:r w:rsidRPr="00836E62">
        <w:rPr>
          <w:rFonts w:ascii="Arial" w:eastAsia="Times New Roman" w:hAnsi="Arial" w:cs="Arial"/>
          <w:lang w:eastAsia="cs-CZ"/>
        </w:rPr>
        <w:t xml:space="preserve">: </w:t>
      </w:r>
      <w:r w:rsidR="0049177A">
        <w:rPr>
          <w:rFonts w:ascii="Arial" w:eastAsia="Times New Roman" w:hAnsi="Arial" w:cs="Arial"/>
          <w:lang w:eastAsia="cs-CZ"/>
        </w:rPr>
        <w:t>do 14 dnů po podpisu objednávky</w:t>
      </w:r>
    </w:p>
    <w:p w14:paraId="7A65BC87" w14:textId="77777777" w:rsidR="00632810" w:rsidRPr="00836E62" w:rsidRDefault="00632810" w:rsidP="00632810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BFE9050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CCF4D1D" w14:textId="348CD678" w:rsidR="00632810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hAnsi="Arial" w:cs="Arial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Platební podmínky</w:t>
      </w:r>
      <w:r w:rsidRPr="00836E62">
        <w:rPr>
          <w:rFonts w:ascii="Arial" w:eastAsia="Times New Roman" w:hAnsi="Arial" w:cs="Arial"/>
          <w:lang w:eastAsia="cs-CZ"/>
        </w:rPr>
        <w:t>: </w:t>
      </w:r>
    </w:p>
    <w:p w14:paraId="1A0C7829" w14:textId="77777777" w:rsidR="00836E62" w:rsidRPr="00836E62" w:rsidRDefault="00836E62" w:rsidP="00836E62">
      <w:pPr>
        <w:tabs>
          <w:tab w:val="left" w:pos="284"/>
        </w:tabs>
        <w:spacing w:after="0" w:line="240" w:lineRule="auto"/>
        <w:textAlignment w:val="baseline"/>
        <w:rPr>
          <w:rFonts w:ascii="Arial" w:hAnsi="Arial" w:cs="Arial"/>
          <w:lang w:eastAsia="cs-CZ"/>
        </w:rPr>
      </w:pPr>
    </w:p>
    <w:p w14:paraId="07CE005E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04F0DDC9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vystavena na adresu sídla Objednatele uvedenou v záhlaví objednávky. </w:t>
      </w:r>
    </w:p>
    <w:p w14:paraId="27790E03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doručena na adresu sídla objednatele. </w:t>
      </w:r>
    </w:p>
    <w:p w14:paraId="6A1B4016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Splatnost faktury bude stanovena na 14 dnů. </w:t>
      </w:r>
    </w:p>
    <w:p w14:paraId="32767245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050A9896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028C6BF7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předmět a číslo objednávky, </w:t>
      </w:r>
    </w:p>
    <w:p w14:paraId="6016A26B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číslo faktury, den vystavení faktury, datum splatnosti, den uskutečnění plnění a fakturovanou částku, </w:t>
      </w:r>
    </w:p>
    <w:p w14:paraId="5F61CBD9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základ dané (DPH), sazbu daně a její výši, razítko a podpis oprávněné osoby Dodavatele, stvrzující oprávněnost a formální a věcnou správnost faktury. </w:t>
      </w:r>
    </w:p>
    <w:p w14:paraId="45D620AB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42B01BFC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792E608B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33AB813" w14:textId="77777777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Další podmínky</w:t>
      </w:r>
      <w:r w:rsidRPr="00836E62">
        <w:rPr>
          <w:rFonts w:ascii="Arial" w:eastAsia="Times New Roman" w:hAnsi="Arial" w:cs="Arial"/>
          <w:lang w:eastAsia="cs-CZ"/>
        </w:rPr>
        <w:t>:</w:t>
      </w:r>
    </w:p>
    <w:p w14:paraId="7EB462E0" w14:textId="77777777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  </w:t>
      </w:r>
    </w:p>
    <w:p w14:paraId="6942317F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Smluvní strany prohlašují, že skutečnosti uvedené v této objednávce nepovažují za obchodní tajemství ve smyslu § 504 občanského zákoníku </w:t>
      </w:r>
      <w:r w:rsidRPr="00836E62">
        <w:rPr>
          <w:rFonts w:ascii="Arial" w:eastAsia="Times New Roman" w:hAnsi="Arial" w:cs="Arial"/>
          <w:sz w:val="22"/>
          <w:szCs w:val="22"/>
          <w:lang w:eastAsia="cs-CZ"/>
        </w:rPr>
        <w:br/>
        <w:t>a udělují svolení k jejich užití a zveřejnění bez stanovení jakýchkoliv dalších podmínek. </w:t>
      </w:r>
    </w:p>
    <w:p w14:paraId="2B71CB4D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47910D9B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49DF90C" w14:textId="4BE0D102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není oprávněn postoupit jakékoliv své pohledávky z této objednávky na třetí osobu bez předchozího písemného souhlasu Objednatele, a to ani částečně.</w:t>
      </w:r>
    </w:p>
    <w:p w14:paraId="414F2074" w14:textId="1285A13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Pro případné spory smluvní strany sjednávají místní příslušnost obecného soudu Objednatele. </w:t>
      </w:r>
    </w:p>
    <w:p w14:paraId="139CC9B3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je vyhotovena ve dvou stejnopisech, z nichž dva obdrží Objednatel a jeden Dodavatel. </w:t>
      </w:r>
    </w:p>
    <w:p w14:paraId="09DA3669" w14:textId="2B960597" w:rsidR="00AE28BB" w:rsidRPr="0049177A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7F00A4D5" w14:textId="77777777" w:rsidR="0049177A" w:rsidRDefault="0049177A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1ADBA7D7" w14:textId="6D222084" w:rsidR="0049177A" w:rsidRPr="00DA778B" w:rsidRDefault="0049177A" w:rsidP="00632810">
      <w:pPr>
        <w:textAlignment w:val="baseline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 xml:space="preserve">Příloha: Nabídka </w:t>
      </w:r>
      <w:r w:rsidR="0049526B">
        <w:rPr>
          <w:rFonts w:ascii="Arial" w:eastAsiaTheme="minorEastAsia" w:hAnsi="Arial" w:cs="Arial"/>
          <w:lang w:eastAsia="cs-CZ"/>
        </w:rPr>
        <w:t>Gordic – Rozšíření modulu GINIS POK Express SQL</w:t>
      </w: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632810" w:rsidRPr="00DA778B" w14:paraId="7F281C0E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CD749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C013B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9994B0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4D4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BD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805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BF8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Podpis, razítko:</w:t>
            </w:r>
          </w:p>
        </w:tc>
      </w:tr>
      <w:tr w:rsidR="00632810" w:rsidRPr="00DA778B" w14:paraId="3F492084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183D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a generální 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2D1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Jaromír Řezáč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98F" w14:textId="12249B2E" w:rsidR="00632810" w:rsidRPr="00DA778B" w:rsidRDefault="00AC55A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E2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ACF734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3863918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6C4BEEA0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136C6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594F4D6D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4668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64892C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711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D6F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C59B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92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Podpis:</w:t>
            </w:r>
          </w:p>
        </w:tc>
      </w:tr>
      <w:tr w:rsidR="00632810" w:rsidRPr="00DA778B" w14:paraId="78F21F9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173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4E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AE" w14:textId="3357BD1F" w:rsidR="00632810" w:rsidRPr="00DA778B" w:rsidRDefault="00836E62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177A">
              <w:rPr>
                <w:sz w:val="22"/>
                <w:szCs w:val="22"/>
              </w:rPr>
              <w:t>5</w:t>
            </w:r>
            <w:r w:rsidR="00632810">
              <w:rPr>
                <w:sz w:val="22"/>
                <w:szCs w:val="22"/>
              </w:rPr>
              <w:t>.</w:t>
            </w:r>
            <w:r w:rsidR="0049177A">
              <w:rPr>
                <w:sz w:val="22"/>
                <w:szCs w:val="22"/>
              </w:rPr>
              <w:t>7</w:t>
            </w:r>
            <w:r w:rsidR="00632810">
              <w:rPr>
                <w:sz w:val="22"/>
                <w:szCs w:val="22"/>
              </w:rPr>
              <w:t>.202</w:t>
            </w:r>
            <w:r w:rsidR="0049177A"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027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56BF06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7D9846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E573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CA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720" w14:textId="25068AC8" w:rsidR="00632810" w:rsidRPr="00DA778B" w:rsidRDefault="00836E62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177A">
              <w:rPr>
                <w:sz w:val="22"/>
                <w:szCs w:val="22"/>
              </w:rPr>
              <w:t>5</w:t>
            </w:r>
            <w:r w:rsidR="00632810">
              <w:rPr>
                <w:sz w:val="22"/>
                <w:szCs w:val="22"/>
              </w:rPr>
              <w:t>.</w:t>
            </w:r>
            <w:r w:rsidR="0049177A">
              <w:rPr>
                <w:sz w:val="22"/>
                <w:szCs w:val="22"/>
              </w:rPr>
              <w:t>7</w:t>
            </w:r>
            <w:r w:rsidR="00632810">
              <w:rPr>
                <w:sz w:val="22"/>
                <w:szCs w:val="22"/>
              </w:rPr>
              <w:t>.202</w:t>
            </w:r>
            <w:r w:rsidR="0049177A"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0BA" w14:textId="77777777" w:rsidR="00632810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7F2D720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782D2A89" w14:textId="1050EF52" w:rsidR="00185E13" w:rsidRPr="0049526B" w:rsidRDefault="00632810" w:rsidP="0049526B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sectPr w:rsidR="00185E13" w:rsidRPr="0049526B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C808" w14:textId="77777777" w:rsidR="00451260" w:rsidRDefault="00451260" w:rsidP="00DE1676">
      <w:pPr>
        <w:spacing w:after="0" w:line="240" w:lineRule="auto"/>
      </w:pPr>
      <w:r>
        <w:separator/>
      </w:r>
    </w:p>
  </w:endnote>
  <w:endnote w:type="continuationSeparator" w:id="0">
    <w:p w14:paraId="4ACECDD1" w14:textId="77777777" w:rsidR="00451260" w:rsidRDefault="00451260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2F1A314D" w:rsidR="00FB7A5C" w:rsidRDefault="00A749B1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AC55" w14:textId="77777777" w:rsidR="00451260" w:rsidRDefault="00451260" w:rsidP="00DE1676">
      <w:pPr>
        <w:spacing w:after="0" w:line="240" w:lineRule="auto"/>
      </w:pPr>
      <w:r>
        <w:separator/>
      </w:r>
    </w:p>
  </w:footnote>
  <w:footnote w:type="continuationSeparator" w:id="0">
    <w:p w14:paraId="6077E0E5" w14:textId="77777777" w:rsidR="00451260" w:rsidRDefault="00451260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2D1BBCFE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>
      <w:rPr>
        <w:rFonts w:ascii="Arial" w:hAnsi="Arial" w:cs="Arial"/>
        <w:szCs w:val="36"/>
      </w:rPr>
      <w:t>1</w:t>
    </w:r>
    <w:r w:rsidR="0049177A">
      <w:rPr>
        <w:rFonts w:ascii="Arial" w:hAnsi="Arial" w:cs="Arial"/>
        <w:szCs w:val="36"/>
      </w:rPr>
      <w:t>.161.</w:t>
    </w:r>
    <w:r w:rsidR="00C90DBE">
      <w:rPr>
        <w:rFonts w:ascii="Arial" w:hAnsi="Arial" w:cs="Arial"/>
        <w:szCs w:val="36"/>
      </w:rPr>
      <w:t>10.</w:t>
    </w:r>
    <w:r w:rsidR="0049177A">
      <w:rPr>
        <w:rFonts w:ascii="Arial" w:hAnsi="Arial" w:cs="Arial"/>
        <w:szCs w:val="36"/>
      </w:rPr>
      <w:t>24.05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A749B1">
      <w:rPr>
        <w:rFonts w:ascii="Arial" w:hAnsi="Arial" w:cs="Arial"/>
        <w:szCs w:val="36"/>
      </w:rPr>
      <w:t>1</w:t>
    </w:r>
    <w:r w:rsidR="0049177A">
      <w:rPr>
        <w:rFonts w:ascii="Arial" w:hAnsi="Arial" w:cs="Arial"/>
        <w:szCs w:val="36"/>
      </w:rPr>
      <w:t>5</w:t>
    </w:r>
    <w:r w:rsidR="001C4C07" w:rsidRPr="001C4C07">
      <w:rPr>
        <w:rFonts w:ascii="Arial" w:hAnsi="Arial" w:cs="Arial"/>
        <w:szCs w:val="36"/>
      </w:rPr>
      <w:t>.0</w:t>
    </w:r>
    <w:r w:rsidR="0049177A">
      <w:rPr>
        <w:rFonts w:ascii="Arial" w:hAnsi="Arial" w:cs="Arial"/>
        <w:szCs w:val="36"/>
      </w:rPr>
      <w:t>7</w:t>
    </w:r>
    <w:r w:rsidR="001C4C07" w:rsidRPr="001C4C07">
      <w:rPr>
        <w:rFonts w:ascii="Arial" w:hAnsi="Arial" w:cs="Arial"/>
        <w:szCs w:val="36"/>
      </w:rPr>
      <w:t>.202</w:t>
    </w:r>
    <w:r w:rsidR="0049177A">
      <w:rPr>
        <w:rFonts w:ascii="Arial" w:hAnsi="Arial" w:cs="Arial"/>
        <w:szCs w:val="36"/>
      </w:rPr>
      <w:t>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73F"/>
    <w:multiLevelType w:val="multilevel"/>
    <w:tmpl w:val="B756DB00"/>
    <w:styleLink w:val="Stylodrek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00376E"/>
        <w:u w:val="none"/>
        <w:effect w:val="none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trike w:val="0"/>
        <w:dstrike w:val="0"/>
        <w:color w:val="778592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trike w:val="0"/>
        <w:dstrike w:val="0"/>
        <w:color w:val="93A3B2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C3F9B"/>
    <w:multiLevelType w:val="hybridMultilevel"/>
    <w:tmpl w:val="078249FE"/>
    <w:lvl w:ilvl="0" w:tplc="71FA0D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E3D1C"/>
    <w:multiLevelType w:val="hybridMultilevel"/>
    <w:tmpl w:val="75A0DAEC"/>
    <w:lvl w:ilvl="0" w:tplc="D7DE02E6">
      <w:start w:val="1"/>
      <w:numFmt w:val="decimal"/>
      <w:lvlText w:val="%1."/>
      <w:lvlJc w:val="left"/>
      <w:pPr>
        <w:ind w:left="501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0D1"/>
    <w:multiLevelType w:val="hybridMultilevel"/>
    <w:tmpl w:val="D6D4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167518">
    <w:abstractNumId w:val="5"/>
  </w:num>
  <w:num w:numId="2" w16cid:durableId="1285773557">
    <w:abstractNumId w:val="3"/>
  </w:num>
  <w:num w:numId="3" w16cid:durableId="2014993081">
    <w:abstractNumId w:val="1"/>
  </w:num>
  <w:num w:numId="4" w16cid:durableId="152332203">
    <w:abstractNumId w:val="7"/>
  </w:num>
  <w:num w:numId="5" w16cid:durableId="1263339859">
    <w:abstractNumId w:val="0"/>
  </w:num>
  <w:num w:numId="6" w16cid:durableId="952980713">
    <w:abstractNumId w:val="6"/>
  </w:num>
  <w:num w:numId="7" w16cid:durableId="150874669">
    <w:abstractNumId w:val="2"/>
  </w:num>
  <w:num w:numId="8" w16cid:durableId="1870602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25A45"/>
    <w:rsid w:val="00077D22"/>
    <w:rsid w:val="000E7EEA"/>
    <w:rsid w:val="001240B8"/>
    <w:rsid w:val="00185E13"/>
    <w:rsid w:val="001A742D"/>
    <w:rsid w:val="001C4C07"/>
    <w:rsid w:val="00277FB5"/>
    <w:rsid w:val="002C27F4"/>
    <w:rsid w:val="002C56E2"/>
    <w:rsid w:val="0031154F"/>
    <w:rsid w:val="003A5371"/>
    <w:rsid w:val="003D177E"/>
    <w:rsid w:val="003E168D"/>
    <w:rsid w:val="00451260"/>
    <w:rsid w:val="004662FF"/>
    <w:rsid w:val="00484A93"/>
    <w:rsid w:val="0049177A"/>
    <w:rsid w:val="0049526B"/>
    <w:rsid w:val="00496176"/>
    <w:rsid w:val="004A060C"/>
    <w:rsid w:val="004A1044"/>
    <w:rsid w:val="004A758F"/>
    <w:rsid w:val="004D7A9B"/>
    <w:rsid w:val="004E2A90"/>
    <w:rsid w:val="005111F0"/>
    <w:rsid w:val="005212EE"/>
    <w:rsid w:val="00545ABC"/>
    <w:rsid w:val="005615A5"/>
    <w:rsid w:val="005B02EA"/>
    <w:rsid w:val="005C76B9"/>
    <w:rsid w:val="00632810"/>
    <w:rsid w:val="006A7A40"/>
    <w:rsid w:val="006A7BE1"/>
    <w:rsid w:val="00706B0D"/>
    <w:rsid w:val="00727961"/>
    <w:rsid w:val="00736D4B"/>
    <w:rsid w:val="00766186"/>
    <w:rsid w:val="00804BB8"/>
    <w:rsid w:val="00805361"/>
    <w:rsid w:val="00813AF9"/>
    <w:rsid w:val="00814F4A"/>
    <w:rsid w:val="00836E62"/>
    <w:rsid w:val="008479B9"/>
    <w:rsid w:val="00861F28"/>
    <w:rsid w:val="0095592C"/>
    <w:rsid w:val="00A67643"/>
    <w:rsid w:val="00A749B1"/>
    <w:rsid w:val="00A82925"/>
    <w:rsid w:val="00A94E45"/>
    <w:rsid w:val="00A97508"/>
    <w:rsid w:val="00AB10BC"/>
    <w:rsid w:val="00AB2E06"/>
    <w:rsid w:val="00AC55A0"/>
    <w:rsid w:val="00AE28BB"/>
    <w:rsid w:val="00B1052E"/>
    <w:rsid w:val="00B108F5"/>
    <w:rsid w:val="00B12016"/>
    <w:rsid w:val="00B57D9B"/>
    <w:rsid w:val="00B62C40"/>
    <w:rsid w:val="00B634FB"/>
    <w:rsid w:val="00BA690F"/>
    <w:rsid w:val="00C3671B"/>
    <w:rsid w:val="00C5750F"/>
    <w:rsid w:val="00C756D8"/>
    <w:rsid w:val="00C8131A"/>
    <w:rsid w:val="00C90DBE"/>
    <w:rsid w:val="00D14114"/>
    <w:rsid w:val="00D930C3"/>
    <w:rsid w:val="00DE1676"/>
    <w:rsid w:val="00E05672"/>
    <w:rsid w:val="00EB0139"/>
    <w:rsid w:val="00F352B3"/>
    <w:rsid w:val="00F83F15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paragraph" w:styleId="Nadpis1">
    <w:name w:val="heading 1"/>
    <w:basedOn w:val="Normln"/>
    <w:next w:val="Normln"/>
    <w:link w:val="Nadpis1Char"/>
    <w:uiPriority w:val="9"/>
    <w:rsid w:val="00632810"/>
    <w:pPr>
      <w:keepNext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32810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akladnisazba">
    <w:name w:val="Zakladni_sazba"/>
    <w:basedOn w:val="Normlnweb"/>
    <w:qFormat/>
    <w:rsid w:val="00632810"/>
    <w:pPr>
      <w:spacing w:before="400" w:after="0" w:line="240" w:lineRule="auto"/>
      <w:ind w:left="1928" w:right="794"/>
    </w:pPr>
    <w:rPr>
      <w:rFonts w:ascii="Helvetica" w:eastAsia="Times New Roman" w:hAnsi="Helvetica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63281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ulkatxtobyejn">
    <w:name w:val="Tabulka_txt_obyčejný"/>
    <w:basedOn w:val="Normln"/>
    <w:rsid w:val="00632810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NADTABULKOU">
    <w:name w:val="TEXT NAD TABULKOU"/>
    <w:basedOn w:val="Normln"/>
    <w:autoRedefine/>
    <w:rsid w:val="00632810"/>
    <w:pPr>
      <w:spacing w:before="40" w:after="4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2810"/>
    <w:rPr>
      <w:rFonts w:ascii="Times New Roman" w:hAnsi="Times New Roman" w:cs="Times New Roman"/>
      <w:sz w:val="24"/>
      <w:szCs w:val="24"/>
    </w:rPr>
  </w:style>
  <w:style w:type="numbering" w:customStyle="1" w:styleId="StylodrekG">
    <w:name w:val="Styl odrážek G"/>
    <w:uiPriority w:val="99"/>
    <w:rsid w:val="00A749B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6</cp:revision>
  <cp:lastPrinted>2024-07-15T08:26:00Z</cp:lastPrinted>
  <dcterms:created xsi:type="dcterms:W3CDTF">2024-07-15T08:12:00Z</dcterms:created>
  <dcterms:modified xsi:type="dcterms:W3CDTF">2024-08-02T09:16:00Z</dcterms:modified>
</cp:coreProperties>
</file>