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AE67" w14:textId="77777777" w:rsidR="000F3BA8" w:rsidRPr="008334B0" w:rsidRDefault="000F3BA8" w:rsidP="008334B0">
      <w:pPr>
        <w:pStyle w:val="Nzev"/>
        <w:spacing w:before="240" w:after="240"/>
        <w:outlineLvl w:val="0"/>
        <w:rPr>
          <w:sz w:val="36"/>
          <w:szCs w:val="36"/>
        </w:rPr>
      </w:pPr>
      <w:r w:rsidRPr="008334B0">
        <w:rPr>
          <w:sz w:val="36"/>
          <w:szCs w:val="36"/>
        </w:rPr>
        <w:t xml:space="preserve">Smlouva o zajištění služeb pro Českou poštu, </w:t>
      </w:r>
      <w:proofErr w:type="spellStart"/>
      <w:r w:rsidRPr="008334B0">
        <w:rPr>
          <w:sz w:val="36"/>
          <w:szCs w:val="36"/>
        </w:rPr>
        <w:t>s.p</w:t>
      </w:r>
      <w:proofErr w:type="spellEnd"/>
      <w:r w:rsidRPr="008334B0">
        <w:rPr>
          <w:sz w:val="36"/>
          <w:szCs w:val="36"/>
        </w:rPr>
        <w:t>.</w:t>
      </w:r>
    </w:p>
    <w:p w14:paraId="08F22A80" w14:textId="77167B02" w:rsidR="000F3BA8" w:rsidRPr="008334B0" w:rsidRDefault="00780AA8" w:rsidP="008334B0">
      <w:pPr>
        <w:spacing w:before="240" w:after="24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="000F3BA8" w:rsidRPr="008334B0">
        <w:rPr>
          <w:b/>
          <w:sz w:val="36"/>
          <w:szCs w:val="36"/>
        </w:rPr>
        <w:t xml:space="preserve">íslo </w:t>
      </w:r>
      <w:r w:rsidR="00973910">
        <w:rPr>
          <w:b/>
          <w:sz w:val="36"/>
          <w:szCs w:val="36"/>
        </w:rPr>
        <w:t>2024</w:t>
      </w:r>
      <w:r w:rsidR="000F3BA8" w:rsidRPr="008334B0">
        <w:rPr>
          <w:b/>
          <w:sz w:val="36"/>
          <w:szCs w:val="36"/>
        </w:rPr>
        <w:t>/</w:t>
      </w:r>
      <w:r w:rsidR="004F22CD">
        <w:rPr>
          <w:b/>
          <w:sz w:val="36"/>
          <w:szCs w:val="36"/>
        </w:rPr>
        <w:t>00296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070A" w:rsidRPr="00C245AE" w14:paraId="4DA32C65" w14:textId="77777777" w:rsidTr="00A95F93">
        <w:tc>
          <w:tcPr>
            <w:tcW w:w="3528" w:type="dxa"/>
          </w:tcPr>
          <w:p w14:paraId="6A0EF9AB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5B8D0FC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070A" w:rsidRPr="00C245AE" w14:paraId="5378DB27" w14:textId="77777777" w:rsidTr="00A95F93">
        <w:tc>
          <w:tcPr>
            <w:tcW w:w="3528" w:type="dxa"/>
          </w:tcPr>
          <w:p w14:paraId="07EAF623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5BF14F3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7070A" w:rsidRPr="00C245AE" w14:paraId="280F8DE8" w14:textId="77777777" w:rsidTr="00A95F93">
        <w:tc>
          <w:tcPr>
            <w:tcW w:w="3528" w:type="dxa"/>
          </w:tcPr>
          <w:p w14:paraId="5E7C4FC4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620D01EB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7070A" w:rsidRPr="00C245AE" w14:paraId="7E2F186C" w14:textId="77777777" w:rsidTr="00A95F93">
        <w:tc>
          <w:tcPr>
            <w:tcW w:w="3528" w:type="dxa"/>
          </w:tcPr>
          <w:p w14:paraId="77C3C895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2CF2EB06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7070A" w:rsidRPr="00C245AE" w14:paraId="483DECAC" w14:textId="77777777" w:rsidTr="00A95F93">
        <w:tc>
          <w:tcPr>
            <w:tcW w:w="3528" w:type="dxa"/>
          </w:tcPr>
          <w:p w14:paraId="6FC8DFDE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8413293" w14:textId="7FBCFEE7" w:rsidR="0057070A" w:rsidRPr="00C245AE" w:rsidRDefault="00880B12" w:rsidP="000E5FA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Pavlou </w:t>
            </w:r>
            <w:proofErr w:type="spellStart"/>
            <w:r>
              <w:t>Nešpůrkovou</w:t>
            </w:r>
            <w:proofErr w:type="spellEnd"/>
            <w:r w:rsidR="0057070A">
              <w:t>, manažer</w:t>
            </w:r>
            <w:r>
              <w:t>kou</w:t>
            </w:r>
            <w:r w:rsidR="0057070A">
              <w:t xml:space="preserve"> </w:t>
            </w:r>
            <w:r w:rsidR="000E5FAC" w:rsidRPr="000E5FAC">
              <w:t>specializovan</w:t>
            </w:r>
            <w:r w:rsidR="000E5FAC">
              <w:t>ého</w:t>
            </w:r>
            <w:r w:rsidR="000E5FAC" w:rsidRPr="000E5FAC">
              <w:t xml:space="preserve"> útvar</w:t>
            </w:r>
            <w:r w:rsidR="000E5FAC">
              <w:t>u</w:t>
            </w:r>
            <w:r w:rsidR="000E5FAC" w:rsidRPr="000E5FAC">
              <w:t xml:space="preserve"> </w:t>
            </w:r>
            <w:r>
              <w:t>správa externích sítí a realit SPS</w:t>
            </w:r>
          </w:p>
        </w:tc>
      </w:tr>
      <w:tr w:rsidR="0057070A" w:rsidRPr="00C245AE" w14:paraId="22A61116" w14:textId="77777777" w:rsidTr="00A95F93">
        <w:tc>
          <w:tcPr>
            <w:tcW w:w="3528" w:type="dxa"/>
          </w:tcPr>
          <w:p w14:paraId="0AAD4FF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5E1632A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7070A" w:rsidRPr="00C245AE" w14:paraId="39284248" w14:textId="77777777" w:rsidTr="00A95F93">
        <w:tc>
          <w:tcPr>
            <w:tcW w:w="3528" w:type="dxa"/>
          </w:tcPr>
          <w:p w14:paraId="57EA2FC3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E374393" w14:textId="455DBAD3" w:rsidR="0057070A" w:rsidRPr="00B60B7A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Československá obchodní banka, a.s.</w:t>
            </w:r>
          </w:p>
        </w:tc>
      </w:tr>
      <w:tr w:rsidR="0057070A" w:rsidRPr="00C245AE" w14:paraId="5CF2BFFB" w14:textId="77777777" w:rsidTr="00A95F93">
        <w:tc>
          <w:tcPr>
            <w:tcW w:w="3528" w:type="dxa"/>
          </w:tcPr>
          <w:p w14:paraId="5883A2DD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0BE8E7" w14:textId="043F8781" w:rsidR="0057070A" w:rsidRPr="00B60B7A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133406370/0300</w:t>
            </w:r>
          </w:p>
        </w:tc>
      </w:tr>
      <w:tr w:rsidR="0057070A" w:rsidRPr="00C245AE" w14:paraId="7B857AFF" w14:textId="77777777" w:rsidTr="00A95F93">
        <w:tc>
          <w:tcPr>
            <w:tcW w:w="3528" w:type="dxa"/>
          </w:tcPr>
          <w:p w14:paraId="67BBE6C2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2E9093DE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7070A" w:rsidRPr="00C245AE" w14:paraId="24636266" w14:textId="77777777" w:rsidTr="00A95F93">
        <w:tc>
          <w:tcPr>
            <w:tcW w:w="3528" w:type="dxa"/>
          </w:tcPr>
          <w:p w14:paraId="4ACC703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1FF8BC7A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57070A" w:rsidRPr="00C245AE" w14:paraId="6C2C3A90" w14:textId="77777777" w:rsidTr="00A95F93">
        <w:tc>
          <w:tcPr>
            <w:tcW w:w="3528" w:type="dxa"/>
          </w:tcPr>
          <w:p w14:paraId="13C2A0E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2CA25F3C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7070A" w:rsidRPr="00C245AE" w14:paraId="6EA301D0" w14:textId="77777777" w:rsidTr="00A95F93">
        <w:tc>
          <w:tcPr>
            <w:tcW w:w="3528" w:type="dxa"/>
          </w:tcPr>
          <w:p w14:paraId="77CFA83C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47604CC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E898491" w14:textId="77777777" w:rsidR="0057070A" w:rsidRPr="00C245AE" w:rsidRDefault="0057070A" w:rsidP="0057070A"/>
    <w:p w14:paraId="7CAFA030" w14:textId="77777777" w:rsidR="0057070A" w:rsidRPr="00C245AE" w:rsidRDefault="0057070A" w:rsidP="0057070A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070A" w:rsidRPr="00C245AE" w14:paraId="1D8A5017" w14:textId="77777777" w:rsidTr="00A95F93">
        <w:tc>
          <w:tcPr>
            <w:tcW w:w="3528" w:type="dxa"/>
          </w:tcPr>
          <w:p w14:paraId="78A158D4" w14:textId="714E1CC1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55952410"/>
            <w:r w:rsidRPr="00DE7705">
              <w:rPr>
                <w:b/>
              </w:rPr>
              <w:t>ELEKTRO MAROUŠEK s.r.o.</w:t>
            </w:r>
            <w:bookmarkEnd w:id="0"/>
          </w:p>
        </w:tc>
        <w:tc>
          <w:tcPr>
            <w:tcW w:w="6323" w:type="dxa"/>
          </w:tcPr>
          <w:p w14:paraId="60D9C5E8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070A" w:rsidRPr="00C245AE" w14:paraId="5467386C" w14:textId="77777777" w:rsidTr="00A95F93">
        <w:tc>
          <w:tcPr>
            <w:tcW w:w="3528" w:type="dxa"/>
          </w:tcPr>
          <w:p w14:paraId="5E2F510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8446F1B" w14:textId="4753F307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55952417"/>
            <w:r w:rsidRPr="00DE7705">
              <w:t>č.p. 31, 375</w:t>
            </w:r>
            <w:r w:rsidR="004F22CD">
              <w:t xml:space="preserve"> </w:t>
            </w:r>
            <w:r w:rsidRPr="00DE7705">
              <w:t>01 Všemyslice</w:t>
            </w:r>
            <w:bookmarkEnd w:id="1"/>
          </w:p>
        </w:tc>
      </w:tr>
      <w:tr w:rsidR="0057070A" w:rsidRPr="00C245AE" w14:paraId="0F60163D" w14:textId="77777777" w:rsidTr="00A95F93">
        <w:tc>
          <w:tcPr>
            <w:tcW w:w="3528" w:type="dxa"/>
          </w:tcPr>
          <w:p w14:paraId="16EC6A5E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6B9578B" w14:textId="7B77C12D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55952413"/>
            <w:r w:rsidRPr="00DE7705">
              <w:t>28093453</w:t>
            </w:r>
            <w:bookmarkEnd w:id="2"/>
          </w:p>
        </w:tc>
      </w:tr>
      <w:tr w:rsidR="0057070A" w:rsidRPr="00C245AE" w14:paraId="0CEE3012" w14:textId="77777777" w:rsidTr="00A95F93">
        <w:tc>
          <w:tcPr>
            <w:tcW w:w="3528" w:type="dxa"/>
          </w:tcPr>
          <w:p w14:paraId="7441D21D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C2685F8" w14:textId="0B61C5AB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E7705">
              <w:t>CZ28093453</w:t>
            </w:r>
          </w:p>
        </w:tc>
      </w:tr>
      <w:tr w:rsidR="0057070A" w:rsidRPr="00C245AE" w14:paraId="27827882" w14:textId="77777777" w:rsidTr="00A95F93">
        <w:tc>
          <w:tcPr>
            <w:tcW w:w="3528" w:type="dxa"/>
          </w:tcPr>
          <w:p w14:paraId="28B6E62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BA72D53" w14:textId="5C4E9380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Martinem Marouškem, jednatelem</w:t>
            </w:r>
          </w:p>
        </w:tc>
      </w:tr>
      <w:tr w:rsidR="0057070A" w:rsidRPr="00C245AE" w14:paraId="1C653798" w14:textId="77777777" w:rsidTr="00A95F93">
        <w:tc>
          <w:tcPr>
            <w:tcW w:w="3528" w:type="dxa"/>
          </w:tcPr>
          <w:p w14:paraId="5355E546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2149844D" w14:textId="362E779B" w:rsidR="0057070A" w:rsidRPr="00C245AE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55952425"/>
            <w:r w:rsidRPr="00DE7705">
              <w:t>C 16871 vedená u Krajského soudu v Českých Budějovicích</w:t>
            </w:r>
            <w:bookmarkEnd w:id="3"/>
          </w:p>
        </w:tc>
      </w:tr>
      <w:tr w:rsidR="0057070A" w:rsidRPr="00C245AE" w14:paraId="2703BB8D" w14:textId="77777777" w:rsidTr="00A95F93">
        <w:tc>
          <w:tcPr>
            <w:tcW w:w="3528" w:type="dxa"/>
          </w:tcPr>
          <w:p w14:paraId="72128FD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D253233" w14:textId="46FC07D7" w:rsidR="0057070A" w:rsidRPr="00B60B7A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Komerční banka, a.s.</w:t>
            </w:r>
          </w:p>
        </w:tc>
      </w:tr>
      <w:tr w:rsidR="0057070A" w:rsidRPr="00C245AE" w14:paraId="6E932957" w14:textId="77777777" w:rsidTr="00A95F93">
        <w:tc>
          <w:tcPr>
            <w:tcW w:w="3528" w:type="dxa"/>
          </w:tcPr>
          <w:p w14:paraId="553ECEB6" w14:textId="77777777" w:rsidR="0057070A" w:rsidRPr="00846C46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658D08B0" w14:textId="25A49185" w:rsidR="0057070A" w:rsidRPr="00B60B7A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Komerční banka, a.s.</w:t>
            </w:r>
          </w:p>
        </w:tc>
      </w:tr>
      <w:tr w:rsidR="0057070A" w:rsidRPr="00C245AE" w14:paraId="7B83D7DE" w14:textId="77777777" w:rsidTr="00A95F93">
        <w:tc>
          <w:tcPr>
            <w:tcW w:w="3528" w:type="dxa"/>
          </w:tcPr>
          <w:p w14:paraId="1EA5F3E8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5F8AC426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14:paraId="6993E0D6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</w:t>
            </w:r>
            <w:proofErr w:type="gramStart"/>
            <w:r w:rsidRPr="003C6F1C">
              <w:t xml:space="preserve">Partner:   </w:t>
            </w:r>
            <w:proofErr w:type="gramEnd"/>
            <w:r w:rsidRPr="003C6F1C">
              <w:t xml:space="preserve">   </w:t>
            </w:r>
          </w:p>
        </w:tc>
        <w:tc>
          <w:tcPr>
            <w:tcW w:w="6323" w:type="dxa"/>
          </w:tcPr>
          <w:p w14:paraId="107DDB12" w14:textId="7A9F274F" w:rsidR="00DE7705" w:rsidRDefault="00DE7705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E7705">
              <w:t>č.p. 31, 375</w:t>
            </w:r>
            <w:r w:rsidR="004F22CD">
              <w:t xml:space="preserve"> </w:t>
            </w:r>
            <w:r w:rsidRPr="00DE7705">
              <w:t>01 Všemyslice</w:t>
            </w:r>
          </w:p>
          <w:p w14:paraId="2EDB1775" w14:textId="77777777" w:rsidR="00C10128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Komerční banka, a.s.</w:t>
            </w:r>
          </w:p>
          <w:p w14:paraId="39D6ABA6" w14:textId="6D102BF8" w:rsidR="0057070A" w:rsidRPr="00B60B7A" w:rsidRDefault="00C10128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black"/>
              </w:rPr>
              <w:t>Komerční banka, a.s.</w:t>
            </w:r>
          </w:p>
        </w:tc>
      </w:tr>
      <w:tr w:rsidR="0057070A" w:rsidRPr="00C245AE" w14:paraId="3ED5EDBF" w14:textId="77777777" w:rsidTr="00A95F93">
        <w:tc>
          <w:tcPr>
            <w:tcW w:w="3528" w:type="dxa"/>
          </w:tcPr>
          <w:p w14:paraId="0BFD5451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09853DD" w14:textId="5F351CFF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7070A" w:rsidRPr="00C245AE" w14:paraId="029A619B" w14:textId="77777777" w:rsidTr="00A95F93">
        <w:tc>
          <w:tcPr>
            <w:tcW w:w="3528" w:type="dxa"/>
          </w:tcPr>
          <w:p w14:paraId="10E9367A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  <w:p w14:paraId="351C81F0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  <w:p w14:paraId="300E9586" w14:textId="4F4B25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14:paraId="3414B746" w14:textId="20796098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14:paraId="175E151C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14:paraId="3A8B070D" w14:textId="2BC3F36B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14:paraId="6BAD6AD6" w14:textId="77777777" w:rsidR="000F3BA8" w:rsidRDefault="000F3BA8" w:rsidP="00A77E95">
      <w:pPr>
        <w:spacing w:after="1200"/>
      </w:pPr>
    </w:p>
    <w:p w14:paraId="6D219D44" w14:textId="20A64398" w:rsidR="008A08ED" w:rsidRDefault="008A08ED" w:rsidP="008A08ED">
      <w:r w:rsidRPr="008A08ED">
        <w:t xml:space="preserve">dále jednotlivě jako „Smluvní strana“, nebo společně jako „Smluvní strany“ uzavírají v souladu s ustanovením § </w:t>
      </w:r>
      <w:r w:rsidR="004D6F27">
        <w:t>2483</w:t>
      </w:r>
      <w:r w:rsidRPr="008A08ED">
        <w:t xml:space="preserve"> zákona č. </w:t>
      </w:r>
      <w:r w:rsidR="004D6F27">
        <w:t>89/2012</w:t>
      </w:r>
      <w:r w:rsidR="004D6F27" w:rsidRPr="00C245AE">
        <w:t xml:space="preserve"> Sb., ob</w:t>
      </w:r>
      <w:r w:rsidR="004D6F27">
        <w:t>čanský zákoník</w:t>
      </w:r>
      <w:r w:rsidRPr="008A08ED">
        <w:t xml:space="preserve">, ve znění pozdějších předpisů (dále jen </w:t>
      </w:r>
      <w:r w:rsidR="004D6F27">
        <w:t>„Občanský zákoník“</w:t>
      </w:r>
      <w:r w:rsidRPr="008A08ED">
        <w:t xml:space="preserve">), tuto </w:t>
      </w:r>
      <w:r w:rsidR="004D6F27" w:rsidRPr="00C245AE">
        <w:t xml:space="preserve">Smlouvu o zajištění služeb pro Českou poštu, </w:t>
      </w:r>
      <w:proofErr w:type="spellStart"/>
      <w:r w:rsidR="004D6F27" w:rsidRPr="00C245AE">
        <w:t>s.p</w:t>
      </w:r>
      <w:proofErr w:type="spellEnd"/>
      <w:r w:rsidR="004D6F27" w:rsidRPr="00C245AE">
        <w:t>. (dále jen „Smlouva“</w:t>
      </w:r>
      <w:r w:rsidRPr="008A08ED">
        <w:t>)</w:t>
      </w:r>
      <w:r>
        <w:t>.</w:t>
      </w:r>
    </w:p>
    <w:p w14:paraId="3D9B3B2E" w14:textId="77777777" w:rsidR="008A08ED" w:rsidRDefault="008A08ED">
      <w:pPr>
        <w:spacing w:after="200" w:line="276" w:lineRule="auto"/>
      </w:pPr>
      <w:r>
        <w:br w:type="page"/>
      </w:r>
    </w:p>
    <w:p w14:paraId="653D3238" w14:textId="77777777" w:rsidR="005C210C" w:rsidRPr="00502647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lastRenderedPageBreak/>
        <w:t>Základní práva a povinnosti smluvních stran</w:t>
      </w:r>
    </w:p>
    <w:p w14:paraId="77BC7C00" w14:textId="56BFC0F6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>Zástupce se zavazuje vykonávat podnikatelskou činnost na základě této Smlouvy a v souvislosti s ní prostřednictvím sv</w:t>
      </w:r>
      <w:r w:rsidR="003A5837">
        <w:rPr>
          <w:szCs w:val="22"/>
        </w:rPr>
        <w:t>ých</w:t>
      </w:r>
      <w:r w:rsidRPr="00E7206A">
        <w:rPr>
          <w:szCs w:val="22"/>
        </w:rPr>
        <w:t xml:space="preserve"> provozov</w:t>
      </w:r>
      <w:r w:rsidR="003A5837">
        <w:rPr>
          <w:szCs w:val="22"/>
        </w:rPr>
        <w:t>en</w:t>
      </w:r>
      <w:r w:rsidRPr="00E7206A">
        <w:rPr>
          <w:szCs w:val="22"/>
        </w:rPr>
        <w:t>, kter</w:t>
      </w:r>
      <w:r w:rsidR="003A5837">
        <w:rPr>
          <w:szCs w:val="22"/>
        </w:rPr>
        <w:t>é</w:t>
      </w:r>
      <w:r w:rsidRPr="00E7206A">
        <w:rPr>
          <w:szCs w:val="22"/>
        </w:rPr>
        <w:t xml:space="preserve"> se nachází v </w:t>
      </w:r>
      <w:bookmarkStart w:id="4" w:name="_Hlk155952393"/>
      <w:r w:rsidR="00DE7705" w:rsidRPr="00DE7705">
        <w:rPr>
          <w:b/>
          <w:bCs/>
          <w:szCs w:val="22"/>
        </w:rPr>
        <w:t>Orlická 539, Malá Strana, 375 01 Týn nad Vltavou</w:t>
      </w:r>
      <w:bookmarkEnd w:id="4"/>
      <w:r w:rsidRPr="00E7206A">
        <w:rPr>
          <w:szCs w:val="22"/>
        </w:rPr>
        <w:t xml:space="preserve"> (dále jen „provozovny Partner“). Vykonávat podnikatelskou činnost na základě této Smlouvy a v souvislosti s ní i na jiných než</w:t>
      </w:r>
      <w:r>
        <w:rPr>
          <w:szCs w:val="22"/>
        </w:rPr>
        <w:t xml:space="preserve"> na</w:t>
      </w:r>
      <w:r w:rsidRPr="00E7206A">
        <w:rPr>
          <w:szCs w:val="22"/>
        </w:rPr>
        <w:t xml:space="preserve"> výše uvedených místech, popř. pouze na těchto jiných místech, je Zástupce oprávněn pouze s předchozím písemným souhlasem ČP. Udělení tohoto souhlasu nebude ze strany ČP bezdůvodně odpíráno. </w:t>
      </w:r>
    </w:p>
    <w:p w14:paraId="14EDF281" w14:textId="77777777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>Zástupce je povinen udržovat provozovny Partner ve stavu způsobilém k výkonu činností podle této Smlouvy.</w:t>
      </w:r>
    </w:p>
    <w:p w14:paraId="077D04ED" w14:textId="0483ACCF" w:rsidR="005C210C" w:rsidRPr="001F63CF" w:rsidRDefault="005C210C" w:rsidP="000E5FAC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96033D">
        <w:rPr>
          <w:szCs w:val="22"/>
        </w:rPr>
        <w:t xml:space="preserve">Není-li ve Smlouvě </w:t>
      </w:r>
      <w:r w:rsidRPr="001F63CF">
        <w:rPr>
          <w:szCs w:val="22"/>
        </w:rPr>
        <w:t>výslovně ujednáno jinak, práva a povinnosti z uzavřené Smlouvy vyplývají z</w:t>
      </w:r>
      <w:r w:rsidR="0087798A">
        <w:rPr>
          <w:szCs w:val="22"/>
        </w:rPr>
        <w:t> </w:t>
      </w:r>
      <w:r w:rsidRPr="001F63CF">
        <w:rPr>
          <w:szCs w:val="22"/>
        </w:rPr>
        <w:t xml:space="preserve">Obchodních podmínek pro poskytování služeb České pošty, </w:t>
      </w:r>
      <w:proofErr w:type="spellStart"/>
      <w:r w:rsidRPr="001F63CF">
        <w:rPr>
          <w:szCs w:val="22"/>
        </w:rPr>
        <w:t>s.p</w:t>
      </w:r>
      <w:proofErr w:type="spellEnd"/>
      <w:r w:rsidRPr="001F63CF">
        <w:rPr>
          <w:szCs w:val="22"/>
        </w:rPr>
        <w:t xml:space="preserve">. třetím osobám prostřednictvím </w:t>
      </w:r>
      <w:r w:rsidRPr="005C210C">
        <w:rPr>
          <w:szCs w:val="22"/>
        </w:rPr>
        <w:t xml:space="preserve">Zástupce (dále jen „Obchodní podmínky“), jejichž aktuální znění je dostupné na internetových stránkách ČP </w:t>
      </w:r>
      <w:r w:rsidR="00E53147">
        <w:rPr>
          <w:szCs w:val="22"/>
        </w:rPr>
        <w:t xml:space="preserve">v </w:t>
      </w:r>
      <w:r w:rsidR="00ED7CA3" w:rsidRPr="00ED7CA3">
        <w:rPr>
          <w:szCs w:val="22"/>
        </w:rPr>
        <w:t>prostředí Microsoft 365 zpřístupněné Zástupci při podpisu smlouvy (dále jen „prostředí Microsoft 365“).</w:t>
      </w:r>
      <w:r>
        <w:rPr>
          <w:szCs w:val="22"/>
        </w:rPr>
        <w:t xml:space="preserve"> </w:t>
      </w:r>
      <w:r w:rsidRPr="001F63CF">
        <w:rPr>
          <w:szCs w:val="22"/>
        </w:rPr>
        <w:t xml:space="preserve">Zástupce prohlašuje, že se seznámil se zněním Obchodních podmínek účinným ke dni uzavření smlouvy a souhlasí s nimi. </w:t>
      </w:r>
    </w:p>
    <w:p w14:paraId="6232A534" w14:textId="4554C353" w:rsidR="005C210C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1F63CF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>
        <w:rPr>
          <w:szCs w:val="22"/>
        </w:rPr>
        <w:t xml:space="preserve">na internetových stránkách ČP </w:t>
      </w:r>
      <w:r w:rsidR="00E53147">
        <w:rPr>
          <w:szCs w:val="22"/>
        </w:rPr>
        <w:t xml:space="preserve">v </w:t>
      </w:r>
      <w:r w:rsidR="00ED7CA3" w:rsidRPr="00ED7CA3">
        <w:rPr>
          <w:szCs w:val="22"/>
        </w:rPr>
        <w:t>prostředí Microsoft 365</w:t>
      </w:r>
      <w:r w:rsidR="00ED7CA3">
        <w:rPr>
          <w:szCs w:val="22"/>
        </w:rPr>
        <w:t>.</w:t>
      </w:r>
      <w:r w:rsidR="00502647">
        <w:rPr>
          <w:szCs w:val="22"/>
        </w:rPr>
        <w:t xml:space="preserve"> </w:t>
      </w:r>
      <w:r w:rsidRPr="001F63CF">
        <w:rPr>
          <w:szCs w:val="22"/>
        </w:rPr>
        <w:t>ČP může poskytnout informace o změně včetně nového znění Obchodních podmínek i</w:t>
      </w:r>
      <w:r w:rsidR="0087798A">
        <w:rPr>
          <w:szCs w:val="22"/>
        </w:rPr>
        <w:t> </w:t>
      </w:r>
      <w:r w:rsidRPr="001F63CF">
        <w:rPr>
          <w:szCs w:val="22"/>
        </w:rPr>
        <w:t>jinými prostředky komunikace ujednanými</w:t>
      </w:r>
      <w:r w:rsidRPr="0096033D">
        <w:rPr>
          <w:szCs w:val="22"/>
        </w:rPr>
        <w:t xml:space="preserve"> se Zástupcem nebo jejich zasláním na adresu Zástupce uvedenou v záhlaví této Smlouvy. Zástupce je povinen se s novým zněním Obchodních podmínek seznámit.</w:t>
      </w:r>
    </w:p>
    <w:p w14:paraId="2DAD2B58" w14:textId="6F3B8117" w:rsidR="00C761AF" w:rsidRPr="0096033D" w:rsidRDefault="00EC7C75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>
        <w:rPr>
          <w:szCs w:val="22"/>
        </w:rPr>
        <w:t>Výše bezpečnostního limitu, který dále podrobněji upravuje čl. 4.22</w:t>
      </w:r>
      <w:r w:rsidR="00C7705E">
        <w:rPr>
          <w:szCs w:val="22"/>
        </w:rPr>
        <w:t>.</w:t>
      </w:r>
      <w:r>
        <w:rPr>
          <w:szCs w:val="22"/>
        </w:rPr>
        <w:t xml:space="preserve"> Obchodních podmínek </w:t>
      </w:r>
      <w:r w:rsidR="002E237F">
        <w:rPr>
          <w:szCs w:val="22"/>
        </w:rPr>
        <w:t xml:space="preserve">je </w:t>
      </w:r>
      <w:r w:rsidR="00C10128">
        <w:rPr>
          <w:highlight w:val="black"/>
        </w:rPr>
        <w:t xml:space="preserve">Komerční </w:t>
      </w:r>
      <w:proofErr w:type="spellStart"/>
      <w:r w:rsidR="00C10128">
        <w:rPr>
          <w:highlight w:val="black"/>
        </w:rPr>
        <w:t>ban</w:t>
      </w:r>
      <w:proofErr w:type="spellEnd"/>
      <w:r w:rsidR="00C10128">
        <w:t>.</w:t>
      </w:r>
    </w:p>
    <w:p w14:paraId="250EF127" w14:textId="77777777" w:rsidR="005C210C" w:rsidRPr="00502647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t>Provize</w:t>
      </w:r>
    </w:p>
    <w:p w14:paraId="49463EB5" w14:textId="0D3E8169" w:rsidR="005C210C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 xml:space="preserve">ČP se zavazuje poskytnout za poskytování Ujednaných služeb Zástupci provizi ve výši stanovené v příloze č. </w:t>
      </w:r>
      <w:r w:rsidR="00635A91">
        <w:rPr>
          <w:szCs w:val="22"/>
        </w:rPr>
        <w:t>2</w:t>
      </w:r>
      <w:r w:rsidRPr="00E7206A">
        <w:rPr>
          <w:szCs w:val="22"/>
        </w:rPr>
        <w:t xml:space="preserve"> této Smlouvy.</w:t>
      </w:r>
      <w:r>
        <w:rPr>
          <w:szCs w:val="22"/>
        </w:rPr>
        <w:t xml:space="preserve"> </w:t>
      </w:r>
    </w:p>
    <w:p w14:paraId="25858515" w14:textId="7BC9D7EB" w:rsidR="005C210C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 xml:space="preserve">Provize je splatná na základě faktury (u neplátce DPH) nebo na základě daňového dokladu (v případě plátce DPH) vystavené Zástupcem do 10 dnů po uplynutí příslušného kalendářního měsíce, se </w:t>
      </w:r>
      <w:r w:rsidRPr="005022BF">
        <w:rPr>
          <w:b/>
          <w:szCs w:val="22"/>
        </w:rPr>
        <w:t xml:space="preserve">splatností </w:t>
      </w:r>
      <w:proofErr w:type="spellStart"/>
      <w:r w:rsidR="00C10128">
        <w:rPr>
          <w:b/>
          <w:bCs/>
          <w:highlight w:val="black"/>
        </w:rPr>
        <w:t>Komerční</w:t>
      </w:r>
      <w:r w:rsidRPr="00E7206A">
        <w:rPr>
          <w:szCs w:val="22"/>
        </w:rPr>
        <w:t>od</w:t>
      </w:r>
      <w:proofErr w:type="spellEnd"/>
      <w:r w:rsidRPr="00E7206A">
        <w:rPr>
          <w:szCs w:val="22"/>
        </w:rPr>
        <w:t xml:space="preserve"> data vystavení faktury, převodem na účet Zástupce vedený u </w:t>
      </w:r>
      <w:proofErr w:type="spellStart"/>
      <w:r w:rsidR="00C10128">
        <w:rPr>
          <w:b/>
          <w:bCs/>
          <w:highlight w:val="black"/>
        </w:rPr>
        <w:t>účtKomerční</w:t>
      </w:r>
      <w:proofErr w:type="spellEnd"/>
      <w:r w:rsidR="00C10128">
        <w:rPr>
          <w:b/>
          <w:bCs/>
          <w:highlight w:val="black"/>
        </w:rPr>
        <w:t xml:space="preserve"> banky, </w:t>
      </w:r>
      <w:proofErr w:type="gramStart"/>
      <w:r w:rsidR="00C10128">
        <w:rPr>
          <w:b/>
          <w:bCs/>
          <w:highlight w:val="black"/>
        </w:rPr>
        <w:t>a.s.,</w:t>
      </w:r>
      <w:r w:rsidR="00C10128">
        <w:t>,</w:t>
      </w:r>
      <w:proofErr w:type="gramEnd"/>
      <w:r w:rsidR="00C10128">
        <w:t xml:space="preserve"> </w:t>
      </w:r>
      <w:r w:rsidRPr="00E7206A">
        <w:rPr>
          <w:szCs w:val="22"/>
        </w:rPr>
        <w:t xml:space="preserve">č. účtu </w:t>
      </w:r>
      <w:proofErr w:type="spellStart"/>
      <w:r w:rsidR="00C10128">
        <w:rPr>
          <w:b/>
          <w:bCs/>
          <w:highlight w:val="black"/>
        </w:rPr>
        <w:t>účtKomerční</w:t>
      </w:r>
      <w:proofErr w:type="spellEnd"/>
      <w:r w:rsidR="00C10128">
        <w:rPr>
          <w:b/>
          <w:bCs/>
          <w:highlight w:val="black"/>
        </w:rPr>
        <w:t xml:space="preserve"> banky, a.s.,</w:t>
      </w:r>
      <w:r w:rsidRPr="00E7206A">
        <w:rPr>
          <w:szCs w:val="22"/>
        </w:rPr>
        <w:t xml:space="preserve">. Výši provize Zástupce stanoví na základě vyúčtování, které mu předává ČP. Vyhotovenou fakturu zašle Zástupce elektronicky ve formátu </w:t>
      </w:r>
      <w:proofErr w:type="spellStart"/>
      <w:r w:rsidRPr="00E7206A">
        <w:rPr>
          <w:szCs w:val="22"/>
        </w:rPr>
        <w:t>pdf</w:t>
      </w:r>
      <w:proofErr w:type="spellEnd"/>
      <w:r>
        <w:rPr>
          <w:szCs w:val="22"/>
        </w:rPr>
        <w:t>.</w:t>
      </w:r>
      <w:r w:rsidRPr="00E7206A">
        <w:rPr>
          <w:szCs w:val="22"/>
        </w:rPr>
        <w:t xml:space="preserve"> (elektronická faktura) </w:t>
      </w:r>
      <w:r>
        <w:rPr>
          <w:szCs w:val="22"/>
        </w:rPr>
        <w:t>se všemi požadovanými náležitostmi a</w:t>
      </w:r>
      <w:r w:rsidR="0087798A">
        <w:rPr>
          <w:szCs w:val="22"/>
        </w:rPr>
        <w:t> </w:t>
      </w:r>
      <w:r w:rsidRPr="00E7206A">
        <w:rPr>
          <w:szCs w:val="22"/>
        </w:rPr>
        <w:t>přílohami</w:t>
      </w:r>
      <w:r>
        <w:rPr>
          <w:szCs w:val="22"/>
        </w:rPr>
        <w:t>,</w:t>
      </w:r>
      <w:r w:rsidRPr="00E7206A">
        <w:rPr>
          <w:szCs w:val="22"/>
        </w:rPr>
        <w:t xml:space="preserve"> jako přílohu e-mailové zprávy, z e-mailové adresy </w:t>
      </w:r>
      <w:proofErr w:type="spellStart"/>
      <w:r w:rsidR="00C10128">
        <w:rPr>
          <w:b/>
          <w:bCs/>
          <w:highlight w:val="black"/>
        </w:rPr>
        <w:t>účtKomerční</w:t>
      </w:r>
      <w:proofErr w:type="spellEnd"/>
      <w:r w:rsidR="00C10128">
        <w:rPr>
          <w:b/>
          <w:bCs/>
          <w:highlight w:val="black"/>
        </w:rPr>
        <w:t xml:space="preserve"> banky, a.s.,</w:t>
      </w:r>
      <w:r w:rsidR="00C10128">
        <w:t xml:space="preserve"> </w:t>
      </w:r>
      <w:r w:rsidRPr="00E7206A">
        <w:rPr>
          <w:szCs w:val="22"/>
        </w:rPr>
        <w:t xml:space="preserve">na e-mailovou adresu ČP </w:t>
      </w:r>
      <w:proofErr w:type="spellStart"/>
      <w:r w:rsidR="00C10128">
        <w:rPr>
          <w:b/>
          <w:bCs/>
          <w:highlight w:val="black"/>
        </w:rPr>
        <w:t>účtKomerční</w:t>
      </w:r>
      <w:proofErr w:type="spellEnd"/>
      <w:r w:rsidR="00C10128">
        <w:rPr>
          <w:b/>
          <w:bCs/>
          <w:highlight w:val="black"/>
        </w:rPr>
        <w:t xml:space="preserve"> banky, a.s.,</w:t>
      </w:r>
      <w:r w:rsidRPr="00635A91">
        <w:rPr>
          <w:rStyle w:val="Hypertextovodkaz"/>
        </w:rPr>
        <w:t xml:space="preserve"> </w:t>
      </w:r>
      <w:r w:rsidR="002B5371" w:rsidRPr="002B5371">
        <w:rPr>
          <w:szCs w:val="22"/>
        </w:rPr>
        <w:t xml:space="preserve">nebo </w:t>
      </w:r>
      <w:r w:rsidR="002B5371" w:rsidRPr="002B5371">
        <w:t xml:space="preserve">elektronicky ve formátu </w:t>
      </w:r>
      <w:proofErr w:type="spellStart"/>
      <w:r w:rsidR="002B5371" w:rsidRPr="002B5371">
        <w:t>pdf</w:t>
      </w:r>
      <w:proofErr w:type="spellEnd"/>
      <w:r w:rsidR="002B5371" w:rsidRPr="002B5371">
        <w:t>. (elektronická faktura) se všemi požadovanými náležitostmi a přílohami, jako přílohu datové zprávy, z datové schránky Zástupce do datové schránky ČP (kr7cdry)</w:t>
      </w:r>
      <w:r w:rsidR="002070D1">
        <w:t>.</w:t>
      </w:r>
    </w:p>
    <w:p w14:paraId="431A2A23" w14:textId="06A43154" w:rsidR="005C210C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t>Společná a závěrečná ustanovení</w:t>
      </w:r>
    </w:p>
    <w:p w14:paraId="5DCF6079" w14:textId="2341F627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 xml:space="preserve">Řídící poštou je pro účely Smlouvy </w:t>
      </w:r>
      <w:r w:rsidR="00780AA8">
        <w:rPr>
          <w:szCs w:val="22"/>
        </w:rPr>
        <w:t xml:space="preserve">pro provozovnu </w:t>
      </w:r>
      <w:r w:rsidRPr="00502647">
        <w:rPr>
          <w:szCs w:val="22"/>
        </w:rPr>
        <w:t xml:space="preserve">Partner </w:t>
      </w:r>
      <w:r w:rsidR="00DE7705">
        <w:rPr>
          <w:b/>
          <w:bCs/>
          <w:szCs w:val="22"/>
        </w:rPr>
        <w:t>Týn nad Vltavou 3</w:t>
      </w:r>
      <w:r w:rsidRPr="00E7206A">
        <w:rPr>
          <w:szCs w:val="22"/>
        </w:rPr>
        <w:t xml:space="preserve"> myšlena provozovna ČP s názvem </w:t>
      </w:r>
      <w:r w:rsidR="00DE7705">
        <w:rPr>
          <w:b/>
          <w:bCs/>
          <w:szCs w:val="22"/>
        </w:rPr>
        <w:t>České Budějovice 1</w:t>
      </w:r>
      <w:r w:rsidRPr="00E7206A">
        <w:rPr>
          <w:szCs w:val="22"/>
        </w:rPr>
        <w:t xml:space="preserve"> umístěna na adrese </w:t>
      </w:r>
      <w:r w:rsidR="00DE7705" w:rsidRPr="00DE7705">
        <w:rPr>
          <w:b/>
          <w:bCs/>
          <w:szCs w:val="22"/>
        </w:rPr>
        <w:t>Senovážné náměstí 240/1, České Budějovice 6, 370 01 České Budějovice</w:t>
      </w:r>
      <w:r w:rsidRPr="00E7206A">
        <w:rPr>
          <w:szCs w:val="22"/>
        </w:rPr>
        <w:t xml:space="preserve">, telefonní kontakt </w:t>
      </w:r>
      <w:r w:rsidR="00DE7705" w:rsidRPr="00DE7705">
        <w:rPr>
          <w:b/>
          <w:bCs/>
          <w:szCs w:val="22"/>
        </w:rPr>
        <w:t>954 237 001</w:t>
      </w:r>
      <w:r w:rsidR="002070D1">
        <w:rPr>
          <w:szCs w:val="22"/>
        </w:rPr>
        <w:t xml:space="preserve">. </w:t>
      </w:r>
      <w:r w:rsidRPr="00E7206A">
        <w:rPr>
          <w:szCs w:val="22"/>
        </w:rPr>
        <w:t>ČP je kdykoliv oprávněna přistoupit ke změně řídící pošty. V takovém případě bude Zástupce o provedené změně informován v předstihu písemnou formou</w:t>
      </w:r>
      <w:r>
        <w:rPr>
          <w:szCs w:val="22"/>
        </w:rPr>
        <w:t xml:space="preserve"> či e-mailem</w:t>
      </w:r>
      <w:r w:rsidRPr="00E7206A">
        <w:rPr>
          <w:szCs w:val="22"/>
        </w:rPr>
        <w:t>.</w:t>
      </w:r>
    </w:p>
    <w:p w14:paraId="712A29BA" w14:textId="74018C0E" w:rsidR="005C210C" w:rsidRPr="00D27A05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 xml:space="preserve">Tato Smlouva je </w:t>
      </w:r>
      <w:r w:rsidRPr="00D27A05">
        <w:rPr>
          <w:szCs w:val="22"/>
        </w:rPr>
        <w:t xml:space="preserve">uzavřena dnem </w:t>
      </w:r>
      <w:r w:rsidRPr="00C26AC1">
        <w:rPr>
          <w:szCs w:val="22"/>
        </w:rPr>
        <w:t>podpisu a nabývá účinnosti dne</w:t>
      </w:r>
      <w:r w:rsidR="00D20873" w:rsidRPr="00C26AC1">
        <w:rPr>
          <w:bCs/>
          <w:szCs w:val="22"/>
        </w:rPr>
        <w:t xml:space="preserve"> </w:t>
      </w:r>
      <w:r w:rsidR="00DE7705">
        <w:rPr>
          <w:b/>
          <w:bCs/>
          <w:szCs w:val="22"/>
        </w:rPr>
        <w:t>01.05.2024</w:t>
      </w:r>
      <w:r w:rsidR="00D20873" w:rsidRPr="00D20873">
        <w:rPr>
          <w:bCs/>
          <w:szCs w:val="22"/>
        </w:rPr>
        <w:t xml:space="preserve">. </w:t>
      </w:r>
      <w:r w:rsidRPr="00D27A05">
        <w:rPr>
          <w:szCs w:val="22"/>
        </w:rPr>
        <w:t xml:space="preserve">Tento den se považuje za počátek výkonu činnosti Zástupce na základě této Smlouvy. Tato Smlouva se uzavírá na </w:t>
      </w:r>
      <w:r w:rsidRPr="007C3AB2">
        <w:rPr>
          <w:b/>
          <w:szCs w:val="22"/>
        </w:rPr>
        <w:t>dobu neurčitou</w:t>
      </w:r>
      <w:r w:rsidRPr="00D27A05">
        <w:rPr>
          <w:szCs w:val="22"/>
        </w:rPr>
        <w:t xml:space="preserve">. Zástupce se zavazuje na žádost banky uvedené v Následné plné moci doručenou Zástupci </w:t>
      </w:r>
      <w:r w:rsidRPr="00D27A05">
        <w:rPr>
          <w:szCs w:val="22"/>
        </w:rPr>
        <w:lastRenderedPageBreak/>
        <w:t>prostřednictvím ČP pozastavit, omezit nebo ukončit zajišťování služeb pro banky uvedených v Následné plné moci, jestliže k tomu banku uvedenou v Následné plné moci vyzve v rámci výkonu dohledu nad činností bank Česká národní banka.</w:t>
      </w:r>
    </w:p>
    <w:p w14:paraId="069AC94E" w14:textId="77777777" w:rsidR="005C210C" w:rsidRPr="00AD08CD" w:rsidRDefault="005C210C" w:rsidP="008334B0">
      <w:pPr>
        <w:pStyle w:val="Zkladntext"/>
        <w:numPr>
          <w:ilvl w:val="1"/>
          <w:numId w:val="7"/>
        </w:numPr>
        <w:spacing w:after="120"/>
        <w:ind w:left="454" w:hanging="454"/>
        <w:jc w:val="both"/>
        <w:rPr>
          <w:szCs w:val="22"/>
        </w:rPr>
      </w:pPr>
      <w:r w:rsidRPr="00AD08CD">
        <w:rPr>
          <w:szCs w:val="22"/>
        </w:rPr>
        <w:t>Smluvní strany ujednávají, že případné nároky na náhradu škody a na zaplacení smluvní pokuty zůstávají zachovány i po ukončení účinnosti této Smlouvy.</w:t>
      </w:r>
    </w:p>
    <w:p w14:paraId="7B296C08" w14:textId="36893378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2070D1">
        <w:rPr>
          <w:szCs w:val="22"/>
        </w:rPr>
        <w:t xml:space="preserve">. </w:t>
      </w:r>
      <w:r w:rsidRPr="00E7206A">
        <w:rPr>
          <w:szCs w:val="22"/>
        </w:rPr>
        <w:t xml:space="preserve">Výpovědní doba činí šest měsíců a počíná běžet </w:t>
      </w:r>
      <w:r w:rsidR="00D20873">
        <w:rPr>
          <w:szCs w:val="22"/>
        </w:rPr>
        <w:t xml:space="preserve">prvním </w:t>
      </w:r>
      <w:r w:rsidRPr="00E7206A">
        <w:rPr>
          <w:szCs w:val="22"/>
        </w:rPr>
        <w:t>dnem následující</w:t>
      </w:r>
      <w:r w:rsidR="00D20873">
        <w:rPr>
          <w:szCs w:val="22"/>
        </w:rPr>
        <w:t>ho měsíce</w:t>
      </w:r>
      <w:r w:rsidRPr="00E7206A">
        <w:rPr>
          <w:szCs w:val="22"/>
        </w:rPr>
        <w:t xml:space="preserve"> po doručení písemné výpovědi druhé Smluvní straně. </w:t>
      </w:r>
    </w:p>
    <w:p w14:paraId="49232054" w14:textId="5E050F0F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DE7705">
        <w:rPr>
          <w:b/>
          <w:bCs/>
          <w:szCs w:val="22"/>
        </w:rPr>
        <w:t>2024/</w:t>
      </w:r>
      <w:r w:rsidR="004F22CD">
        <w:rPr>
          <w:b/>
          <w:bCs/>
          <w:szCs w:val="22"/>
        </w:rPr>
        <w:t>00296</w:t>
      </w:r>
      <w:r w:rsidRPr="00E7206A">
        <w:rPr>
          <w:szCs w:val="22"/>
        </w:rPr>
        <w:t xml:space="preserve"> dokládá: </w:t>
      </w:r>
    </w:p>
    <w:p w14:paraId="639C0723" w14:textId="39CD1C59" w:rsidR="005C210C" w:rsidRPr="00E7206A" w:rsidRDefault="005C210C" w:rsidP="005C210C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7D1E9B89" w14:textId="2446EEC4" w:rsidR="005C210C" w:rsidRPr="00DE7705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DE7705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</w:t>
      </w:r>
      <w:r w:rsidR="0087798A" w:rsidRPr="00DE7705">
        <w:rPr>
          <w:szCs w:val="22"/>
        </w:rPr>
        <w:t> </w:t>
      </w:r>
      <w:r w:rsidRPr="00DE7705">
        <w:rPr>
          <w:szCs w:val="22"/>
        </w:rPr>
        <w:t xml:space="preserve">dohody stran Smlouvy zajistí odeslání této Smlouvy správci registru smluv ČP. ČP je oprávněna před odesláním Smlouvy správci registru smluv ve Smlouvě znečitelnit informace, na něž se nevztahuje </w:t>
      </w:r>
      <w:proofErr w:type="spellStart"/>
      <w:r w:rsidRPr="00DE7705">
        <w:rPr>
          <w:szCs w:val="22"/>
        </w:rPr>
        <w:t>uveřejňovací</w:t>
      </w:r>
      <w:proofErr w:type="spellEnd"/>
      <w:r w:rsidRPr="00DE7705">
        <w:rPr>
          <w:szCs w:val="22"/>
        </w:rPr>
        <w:t xml:space="preserve"> povinnost podle zákona o registru smluv. </w:t>
      </w:r>
    </w:p>
    <w:p w14:paraId="1A41DE8B" w14:textId="77777777" w:rsidR="005C210C" w:rsidRPr="004B38D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4B38DE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6C033311" w14:textId="77777777" w:rsidR="005C210C" w:rsidRPr="004B38D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4B38DE">
        <w:rPr>
          <w:szCs w:val="22"/>
        </w:rPr>
        <w:t xml:space="preserve">Smlouva je vyhotovena ve 2 (slovy: dvou) stejnopisech s platností originálu, z nichž každá Smluvní strana </w:t>
      </w:r>
      <w:proofErr w:type="gramStart"/>
      <w:r w:rsidRPr="004B38DE">
        <w:rPr>
          <w:szCs w:val="22"/>
        </w:rPr>
        <w:t>obdrží</w:t>
      </w:r>
      <w:proofErr w:type="gramEnd"/>
      <w:r w:rsidRPr="004B38DE">
        <w:rPr>
          <w:szCs w:val="22"/>
        </w:rPr>
        <w:t xml:space="preserve"> po jednom.</w:t>
      </w:r>
    </w:p>
    <w:p w14:paraId="51CAF255" w14:textId="1ECDB5BD" w:rsidR="005C210C" w:rsidRPr="00E32E7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32E7E">
        <w:rPr>
          <w:szCs w:val="22"/>
        </w:rPr>
        <w:t>Nedílnou součástí této Smlouvy jsou následující přílohy:</w:t>
      </w:r>
    </w:p>
    <w:p w14:paraId="54C1E6D4" w14:textId="7B73918C" w:rsidR="00E32E7E" w:rsidRPr="0040237B" w:rsidRDefault="00E32E7E" w:rsidP="001A5366">
      <w:pPr>
        <w:tabs>
          <w:tab w:val="left" w:pos="357"/>
        </w:tabs>
        <w:spacing w:after="120"/>
        <w:ind w:firstLine="454"/>
      </w:pPr>
      <w:r w:rsidRPr="0040237B">
        <w:t>Příloha č. 1</w:t>
      </w:r>
      <w:r w:rsidRPr="0040237B">
        <w:tab/>
        <w:t>Následná plná moc</w:t>
      </w:r>
    </w:p>
    <w:p w14:paraId="12A6831D" w14:textId="12F664F2" w:rsidR="0040237B" w:rsidRDefault="005C210C" w:rsidP="001A5366">
      <w:pPr>
        <w:tabs>
          <w:tab w:val="left" w:pos="357"/>
        </w:tabs>
        <w:spacing w:after="120"/>
        <w:ind w:firstLine="454"/>
      </w:pPr>
      <w:r w:rsidRPr="00E32E7E">
        <w:t xml:space="preserve">Příloha č. </w:t>
      </w:r>
      <w:r w:rsidR="00E32E7E" w:rsidRPr="00E32E7E">
        <w:t>2</w:t>
      </w:r>
      <w:r w:rsidRPr="00E32E7E">
        <w:tab/>
      </w:r>
      <w:r w:rsidR="0040237B" w:rsidRPr="0040237B">
        <w:t>Seznam sjednaných služeb a měsíčních provizí</w:t>
      </w:r>
    </w:p>
    <w:p w14:paraId="6E705E7E" w14:textId="503E6F49" w:rsidR="0040237B" w:rsidRDefault="00E32E7E" w:rsidP="001A5366">
      <w:pPr>
        <w:tabs>
          <w:tab w:val="left" w:pos="357"/>
        </w:tabs>
        <w:spacing w:after="120"/>
        <w:ind w:firstLine="454"/>
      </w:pPr>
      <w:r w:rsidRPr="00E32E7E">
        <w:t>Příloha č. 3</w:t>
      </w:r>
      <w:r w:rsidRPr="00E32E7E">
        <w:tab/>
      </w:r>
      <w:r w:rsidR="0040237B" w:rsidRPr="0040237B">
        <w:t>Pravidla poskytování služby On-line dobíjení předplacených SIM karet</w:t>
      </w:r>
    </w:p>
    <w:p w14:paraId="7A094885" w14:textId="72AA5FB0" w:rsidR="0040237B" w:rsidRDefault="005C210C" w:rsidP="001A5366">
      <w:pPr>
        <w:tabs>
          <w:tab w:val="left" w:pos="357"/>
        </w:tabs>
        <w:spacing w:after="120"/>
        <w:ind w:firstLine="454"/>
      </w:pPr>
      <w:r w:rsidRPr="0040237B">
        <w:t>Příloha č. 4</w:t>
      </w:r>
      <w:r w:rsidRPr="00E32E7E">
        <w:tab/>
      </w:r>
      <w:r w:rsidR="0040237B" w:rsidRPr="0040237B">
        <w:t>Pravidla prodeje Losů okamžitých loterií</w:t>
      </w:r>
    </w:p>
    <w:p w14:paraId="7AD2EEA8" w14:textId="5393B2D8" w:rsidR="0040237B" w:rsidRDefault="005C210C" w:rsidP="001A5366">
      <w:pPr>
        <w:tabs>
          <w:tab w:val="left" w:pos="357"/>
        </w:tabs>
        <w:spacing w:after="120"/>
        <w:ind w:firstLine="454"/>
      </w:pPr>
      <w:r w:rsidRPr="00E32E7E">
        <w:t>Příloha č. 5</w:t>
      </w:r>
      <w:r w:rsidRPr="00E32E7E">
        <w:tab/>
        <w:t xml:space="preserve">Pravidla prodeje kolkových známek </w:t>
      </w:r>
    </w:p>
    <w:p w14:paraId="42331D31" w14:textId="6563AB29" w:rsidR="00C26AC1" w:rsidRPr="00E32E7E" w:rsidRDefault="005C210C" w:rsidP="004F22CD">
      <w:pPr>
        <w:tabs>
          <w:tab w:val="left" w:pos="357"/>
        </w:tabs>
        <w:spacing w:after="120"/>
        <w:ind w:firstLine="454"/>
      </w:pPr>
      <w:r w:rsidRPr="00E32E7E">
        <w:t>Příloha č. 6</w:t>
      </w:r>
      <w:r w:rsidRPr="00E32E7E">
        <w:tab/>
      </w:r>
      <w:r w:rsidR="0040237B" w:rsidRPr="0040237B">
        <w:t>Pravidla prodeje elektronických dálničních známek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70"/>
        <w:gridCol w:w="4502"/>
      </w:tblGrid>
      <w:tr w:rsidR="004D6F27" w14:paraId="625C356D" w14:textId="77777777" w:rsidTr="00697A7D">
        <w:trPr>
          <w:trHeight w:val="709"/>
        </w:trPr>
        <w:tc>
          <w:tcPr>
            <w:tcW w:w="4570" w:type="dxa"/>
          </w:tcPr>
          <w:p w14:paraId="6DDF08E1" w14:textId="77777777" w:rsidR="00E32E7E" w:rsidRDefault="00E32E7E" w:rsidP="00C26AC1">
            <w:pPr>
              <w:pStyle w:val="cpodstavecslovan1"/>
              <w:keepNext/>
              <w:keepLines/>
              <w:numPr>
                <w:ilvl w:val="0"/>
                <w:numId w:val="0"/>
              </w:numPr>
            </w:pPr>
          </w:p>
          <w:p w14:paraId="2193AC98" w14:textId="5240DD1C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>V</w:t>
            </w:r>
            <w:r w:rsidR="00735635">
              <w:t> Českých Budějovicích</w:t>
            </w:r>
            <w:r>
              <w:t xml:space="preserve"> dne </w:t>
            </w:r>
          </w:p>
        </w:tc>
        <w:tc>
          <w:tcPr>
            <w:tcW w:w="4502" w:type="dxa"/>
          </w:tcPr>
          <w:p w14:paraId="3950F785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  <w:p w14:paraId="72347AE9" w14:textId="6B86C3AE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 xml:space="preserve">V </w:t>
            </w:r>
            <w:r w:rsidR="00735635">
              <w:t xml:space="preserve">                               </w:t>
            </w:r>
            <w:r>
              <w:t xml:space="preserve"> dne </w:t>
            </w:r>
          </w:p>
        </w:tc>
      </w:tr>
      <w:tr w:rsidR="004D6F27" w14:paraId="5DDBEFC3" w14:textId="77777777" w:rsidTr="00697A7D">
        <w:trPr>
          <w:trHeight w:val="703"/>
        </w:trPr>
        <w:tc>
          <w:tcPr>
            <w:tcW w:w="4570" w:type="dxa"/>
          </w:tcPr>
          <w:p w14:paraId="067A8F50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502" w:type="dxa"/>
          </w:tcPr>
          <w:p w14:paraId="3029449D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>za Zástupce:</w:t>
            </w:r>
          </w:p>
          <w:p w14:paraId="5E9F054F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  <w:p w14:paraId="0A7D5488" w14:textId="77777777" w:rsidR="004D6F27" w:rsidRDefault="004D6F27" w:rsidP="00C26AC1">
            <w:pPr>
              <w:pStyle w:val="cpodstavecslovan1"/>
              <w:keepNext/>
              <w:keepLines/>
              <w:numPr>
                <w:ilvl w:val="0"/>
                <w:numId w:val="0"/>
              </w:numPr>
            </w:pPr>
          </w:p>
          <w:p w14:paraId="26D89514" w14:textId="159B8656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</w:tr>
      <w:tr w:rsidR="004D6F27" w14:paraId="5936CF3B" w14:textId="77777777" w:rsidTr="00697A7D">
        <w:trPr>
          <w:trHeight w:val="20"/>
        </w:trPr>
        <w:tc>
          <w:tcPr>
            <w:tcW w:w="4570" w:type="dxa"/>
          </w:tcPr>
          <w:p w14:paraId="598A0153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E61C62A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7FBFA26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  <w:tc>
          <w:tcPr>
            <w:tcW w:w="4502" w:type="dxa"/>
          </w:tcPr>
          <w:p w14:paraId="08B842D3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FE842EA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C5BCF92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</w:tr>
      <w:tr w:rsidR="004D6F27" w14:paraId="4135140C" w14:textId="77777777" w:rsidTr="00697A7D">
        <w:tc>
          <w:tcPr>
            <w:tcW w:w="4570" w:type="dxa"/>
          </w:tcPr>
          <w:p w14:paraId="26B8F74E" w14:textId="0A1DB4CE" w:rsidR="004D6F27" w:rsidRPr="004D6F27" w:rsidRDefault="00880B12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Ing. Pavla Nešpůrková</w:t>
            </w:r>
          </w:p>
          <w:p w14:paraId="20F44241" w14:textId="4D9ED949" w:rsidR="004D6F27" w:rsidRPr="004D6F27" w:rsidRDefault="004D6F27" w:rsidP="000E5FAC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</w:rPr>
            </w:pPr>
            <w:r w:rsidRPr="004D6F27">
              <w:rPr>
                <w:iCs/>
                <w:color w:val="000000" w:themeColor="text1"/>
              </w:rPr>
              <w:t>manažer</w:t>
            </w:r>
            <w:r w:rsidR="00880B12">
              <w:rPr>
                <w:iCs/>
                <w:color w:val="000000" w:themeColor="text1"/>
              </w:rPr>
              <w:t>ka</w:t>
            </w:r>
            <w:r w:rsidRPr="004D6F27">
              <w:rPr>
                <w:iCs/>
                <w:color w:val="000000" w:themeColor="text1"/>
              </w:rPr>
              <w:t xml:space="preserve"> </w:t>
            </w:r>
            <w:r w:rsidR="000E5FAC" w:rsidRPr="000E5FAC">
              <w:rPr>
                <w:iCs/>
                <w:color w:val="000000" w:themeColor="text1"/>
              </w:rPr>
              <w:t>specializovan</w:t>
            </w:r>
            <w:r w:rsidR="000E5FAC">
              <w:rPr>
                <w:iCs/>
                <w:color w:val="000000" w:themeColor="text1"/>
              </w:rPr>
              <w:t>ého</w:t>
            </w:r>
            <w:r w:rsidR="000E5FAC" w:rsidRPr="000E5FAC">
              <w:rPr>
                <w:iCs/>
                <w:color w:val="000000" w:themeColor="text1"/>
              </w:rPr>
              <w:t xml:space="preserve"> útvar</w:t>
            </w:r>
            <w:r w:rsidR="000E5FAC">
              <w:rPr>
                <w:iCs/>
                <w:color w:val="000000" w:themeColor="text1"/>
              </w:rPr>
              <w:t>u</w:t>
            </w:r>
            <w:r w:rsidR="000E5FAC" w:rsidRPr="000E5FAC">
              <w:rPr>
                <w:iCs/>
                <w:color w:val="000000" w:themeColor="text1"/>
              </w:rPr>
              <w:t xml:space="preserve"> </w:t>
            </w:r>
            <w:r w:rsidR="00880B12">
              <w:rPr>
                <w:iCs/>
                <w:color w:val="000000" w:themeColor="text1"/>
              </w:rPr>
              <w:t>správa externích sítí a realit SPS</w:t>
            </w:r>
          </w:p>
        </w:tc>
        <w:tc>
          <w:tcPr>
            <w:tcW w:w="4502" w:type="dxa"/>
          </w:tcPr>
          <w:p w14:paraId="559E8610" w14:textId="25A0ECE6" w:rsidR="004D6F27" w:rsidRPr="004D6F27" w:rsidRDefault="00DE7705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</w:rPr>
            </w:pPr>
            <w:r>
              <w:rPr>
                <w:iCs/>
              </w:rPr>
              <w:t>Martin Maroušek</w:t>
            </w:r>
          </w:p>
          <w:p w14:paraId="3D89F478" w14:textId="51EA174F" w:rsidR="004D6F27" w:rsidRPr="004D6F27" w:rsidRDefault="00DE7705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jednatel</w:t>
            </w:r>
          </w:p>
          <w:p w14:paraId="70748592" w14:textId="77777777" w:rsidR="004D6F27" w:rsidRP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noProof/>
              </w:rPr>
            </w:pPr>
          </w:p>
        </w:tc>
      </w:tr>
    </w:tbl>
    <w:p w14:paraId="42093A61" w14:textId="76BC299F" w:rsidR="003E0E92" w:rsidRPr="00460E56" w:rsidRDefault="003E0E92" w:rsidP="00C26AC1">
      <w:pPr>
        <w:pStyle w:val="cpodstavecslovan1"/>
        <w:numPr>
          <w:ilvl w:val="0"/>
          <w:numId w:val="0"/>
        </w:numPr>
        <w:rPr>
          <w:color w:val="FF6600"/>
        </w:rPr>
      </w:pPr>
    </w:p>
    <w:sectPr w:rsidR="003E0E92" w:rsidRPr="00460E5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6DD5" w14:textId="77777777" w:rsidR="008D3686" w:rsidRDefault="008D3686" w:rsidP="00BB2C84">
      <w:pPr>
        <w:spacing w:after="0" w:line="240" w:lineRule="auto"/>
      </w:pPr>
      <w:r>
        <w:separator/>
      </w:r>
    </w:p>
  </w:endnote>
  <w:endnote w:type="continuationSeparator" w:id="0">
    <w:p w14:paraId="50ED38C8" w14:textId="77777777" w:rsidR="008D3686" w:rsidRDefault="008D368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CE7" w14:textId="2274AC6C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56DCE38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13CE" w14:textId="77777777" w:rsidR="008D3686" w:rsidRDefault="008D3686" w:rsidP="00BB2C84">
      <w:pPr>
        <w:spacing w:after="0" w:line="240" w:lineRule="auto"/>
      </w:pPr>
      <w:r>
        <w:separator/>
      </w:r>
    </w:p>
  </w:footnote>
  <w:footnote w:type="continuationSeparator" w:id="0">
    <w:p w14:paraId="1D40A6F0" w14:textId="77777777" w:rsidR="008D3686" w:rsidRDefault="008D368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491" w14:textId="77777777" w:rsidR="00BB2C84" w:rsidRPr="00157D8C" w:rsidRDefault="00E22101" w:rsidP="000F3BA8">
    <w:pPr>
      <w:pStyle w:val="Zhlav"/>
      <w:tabs>
        <w:tab w:val="clear" w:pos="4536"/>
        <w:tab w:val="clear" w:pos="9072"/>
      </w:tabs>
      <w:jc w:val="left"/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4F98CD" wp14:editId="0CA5E238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468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108B8" w14:textId="54E0969D" w:rsidR="00E22101" w:rsidRPr="006A3E0A" w:rsidRDefault="000F3BA8" w:rsidP="000F3BA8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6A3E0A">
                            <w:rPr>
                              <w:rFonts w:asciiTheme="minorHAnsi" w:hAnsiTheme="minorHAnsi" w:cstheme="minorHAnsi"/>
                              <w:noProof/>
                            </w:rPr>
                            <w:t xml:space="preserve">Smlouva o zajištění služeb pro Českou poštu, s. p. </w:t>
                          </w:r>
                          <w:r w:rsidRPr="006A3E0A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          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DE7705">
                            <w:rPr>
                              <w:rFonts w:asciiTheme="minorHAnsi" w:hAnsiTheme="minorHAnsi" w:cstheme="minorHAnsi"/>
                            </w:rPr>
                            <w:t xml:space="preserve">            </w:t>
                          </w:r>
                          <w:bookmarkStart w:id="5" w:name="_Hlk155952516"/>
                          <w:r w:rsidR="00780AA8" w:rsidRPr="006A3E0A">
                            <w:rPr>
                              <w:rFonts w:asciiTheme="minorHAnsi" w:hAnsiTheme="minorHAnsi" w:cstheme="minorHAnsi"/>
                            </w:rPr>
                            <w:t>č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DE7705">
                            <w:rPr>
                              <w:rFonts w:asciiTheme="minorHAnsi" w:hAnsiTheme="minorHAnsi" w:cstheme="minorHAnsi"/>
                            </w:rPr>
                            <w:t>2024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r w:rsidR="004F22CD">
                            <w:rPr>
                              <w:rFonts w:asciiTheme="minorHAnsi" w:hAnsiTheme="minorHAnsi" w:cstheme="minorHAnsi"/>
                            </w:rPr>
                            <w:t xml:space="preserve">00296 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DE7705">
                            <w:rPr>
                              <w:rFonts w:asciiTheme="minorHAnsi" w:hAnsiTheme="minorHAnsi" w:cstheme="minorHAnsi"/>
                            </w:rPr>
                            <w:t xml:space="preserve">      </w:t>
                          </w:r>
                          <w:proofErr w:type="gramStart"/>
                          <w:r w:rsidR="00DE7705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bookmarkStart w:id="6" w:name="_Hlk155952435"/>
                          <w:r w:rsidR="00DE7705">
                            <w:rPr>
                              <w:rFonts w:asciiTheme="minorHAnsi" w:hAnsiTheme="minorHAnsi" w:cstheme="minorHAnsi"/>
                            </w:rPr>
                            <w:t xml:space="preserve"> (</w:t>
                          </w:r>
                          <w:proofErr w:type="gramEnd"/>
                          <w:r w:rsidR="00DE7705">
                            <w:rPr>
                              <w:rFonts w:asciiTheme="minorHAnsi" w:hAnsiTheme="minorHAnsi" w:cstheme="minorHAnsi"/>
                            </w:rPr>
                            <w:t>Týn nad Vltavou 3, JČ, ČB 1)</w:t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F98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7.15pt;height:3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" filled="f" stroked="f">
              <v:textbox>
                <w:txbxContent>
                  <w:p w14:paraId="5C8108B8" w14:textId="54E0969D" w:rsidR="00E22101" w:rsidRPr="006A3E0A" w:rsidRDefault="000F3BA8" w:rsidP="000F3BA8">
                    <w:pPr>
                      <w:jc w:val="lef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 w:rsidRPr="006A3E0A">
                      <w:rPr>
                        <w:rFonts w:asciiTheme="minorHAnsi" w:hAnsiTheme="minorHAnsi" w:cstheme="minorHAnsi"/>
                        <w:noProof/>
                      </w:rPr>
                      <w:t xml:space="preserve">Smlouva o zajištění služeb pro Českou poštu, s. p. </w:t>
                    </w:r>
                    <w:r w:rsidRPr="006A3E0A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          </w:t>
                    </w:r>
                    <w:r w:rsidRPr="006A3E0A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DE7705">
                      <w:rPr>
                        <w:rFonts w:asciiTheme="minorHAnsi" w:hAnsiTheme="minorHAnsi" w:cstheme="minorHAnsi"/>
                      </w:rPr>
                      <w:t xml:space="preserve">            </w:t>
                    </w:r>
                    <w:bookmarkStart w:id="7" w:name="_Hlk155952516"/>
                    <w:r w:rsidR="00780AA8" w:rsidRPr="006A3E0A">
                      <w:rPr>
                        <w:rFonts w:asciiTheme="minorHAnsi" w:hAnsiTheme="minorHAnsi" w:cstheme="minorHAnsi"/>
                      </w:rPr>
                      <w:t>č</w:t>
                    </w:r>
                    <w:r w:rsidRPr="006A3E0A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 w:rsidR="00DE7705">
                      <w:rPr>
                        <w:rFonts w:asciiTheme="minorHAnsi" w:hAnsiTheme="minorHAnsi" w:cstheme="minorHAnsi"/>
                      </w:rPr>
                      <w:t>2024</w:t>
                    </w:r>
                    <w:r w:rsidRPr="006A3E0A">
                      <w:rPr>
                        <w:rFonts w:asciiTheme="minorHAnsi" w:hAnsiTheme="minorHAnsi" w:cstheme="minorHAnsi"/>
                      </w:rPr>
                      <w:t>/</w:t>
                    </w:r>
                    <w:r w:rsidR="004F22CD">
                      <w:rPr>
                        <w:rFonts w:asciiTheme="minorHAnsi" w:hAnsiTheme="minorHAnsi" w:cstheme="minorHAnsi"/>
                      </w:rPr>
                      <w:t xml:space="preserve">00296 </w:t>
                    </w:r>
                    <w:r w:rsidRPr="006A3E0A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DE7705">
                      <w:rPr>
                        <w:rFonts w:asciiTheme="minorHAnsi" w:hAnsiTheme="minorHAnsi" w:cstheme="minorHAnsi"/>
                      </w:rPr>
                      <w:t xml:space="preserve">      </w:t>
                    </w:r>
                    <w:proofErr w:type="gramStart"/>
                    <w:r w:rsidR="00DE7705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bookmarkStart w:id="8" w:name="_Hlk155952435"/>
                    <w:r w:rsidR="00DE7705">
                      <w:rPr>
                        <w:rFonts w:asciiTheme="minorHAnsi" w:hAnsiTheme="minorHAnsi" w:cstheme="minorHAnsi"/>
                      </w:rPr>
                      <w:t xml:space="preserve"> (</w:t>
                    </w:r>
                    <w:proofErr w:type="gramEnd"/>
                    <w:r w:rsidR="00DE7705">
                      <w:rPr>
                        <w:rFonts w:asciiTheme="minorHAnsi" w:hAnsiTheme="minorHAnsi" w:cstheme="minorHAnsi"/>
                      </w:rPr>
                      <w:t>Týn nad Vltavou 3, JČ, ČB 1)</w:t>
                    </w:r>
                    <w:bookmarkEnd w:id="7"/>
                    <w:bookmarkEnd w:id="8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551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2E4277B" wp14:editId="15CB68D0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EF845964"/>
    <w:numStyleLink w:val="StylVcerovovTun"/>
  </w:abstractNum>
  <w:abstractNum w:abstractNumId="1" w15:restartNumberingAfterBreak="0">
    <w:nsid w:val="10303300"/>
    <w:multiLevelType w:val="multilevel"/>
    <w:tmpl w:val="6A3E69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3.2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10829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916D33"/>
    <w:multiLevelType w:val="multilevel"/>
    <w:tmpl w:val="8BA26D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872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45823"/>
    <w:multiLevelType w:val="multilevel"/>
    <w:tmpl w:val="DC7065A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6FD3309"/>
    <w:multiLevelType w:val="multilevel"/>
    <w:tmpl w:val="296A3C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220A3"/>
    <w:multiLevelType w:val="multilevel"/>
    <w:tmpl w:val="BBC4CF3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38510402">
    <w:abstractNumId w:val="14"/>
  </w:num>
  <w:num w:numId="2" w16cid:durableId="614797246">
    <w:abstractNumId w:val="6"/>
  </w:num>
  <w:num w:numId="3" w16cid:durableId="1507288306">
    <w:abstractNumId w:val="7"/>
  </w:num>
  <w:num w:numId="4" w16cid:durableId="1491600396">
    <w:abstractNumId w:val="13"/>
  </w:num>
  <w:num w:numId="5" w16cid:durableId="85734920">
    <w:abstractNumId w:val="11"/>
  </w:num>
  <w:num w:numId="6" w16cid:durableId="350766067">
    <w:abstractNumId w:val="2"/>
  </w:num>
  <w:num w:numId="7" w16cid:durableId="1047605017">
    <w:abstractNumId w:val="0"/>
  </w:num>
  <w:num w:numId="8" w16cid:durableId="1353456184">
    <w:abstractNumId w:val="4"/>
  </w:num>
  <w:num w:numId="9" w16cid:durableId="942416384">
    <w:abstractNumId w:val="12"/>
  </w:num>
  <w:num w:numId="10" w16cid:durableId="1311977492">
    <w:abstractNumId w:val="10"/>
  </w:num>
  <w:num w:numId="11" w16cid:durableId="1983389509">
    <w:abstractNumId w:val="8"/>
  </w:num>
  <w:num w:numId="12" w16cid:durableId="1583491992">
    <w:abstractNumId w:val="9"/>
  </w:num>
  <w:num w:numId="13" w16cid:durableId="1118140240">
    <w:abstractNumId w:val="1"/>
  </w:num>
  <w:num w:numId="14" w16cid:durableId="1777825396">
    <w:abstractNumId w:val="5"/>
  </w:num>
  <w:num w:numId="15" w16cid:durableId="92001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27"/>
    <w:rsid w:val="00007D77"/>
    <w:rsid w:val="00054997"/>
    <w:rsid w:val="00095F5B"/>
    <w:rsid w:val="000D090B"/>
    <w:rsid w:val="000D246F"/>
    <w:rsid w:val="000E241F"/>
    <w:rsid w:val="000E2614"/>
    <w:rsid w:val="000E5FAC"/>
    <w:rsid w:val="000E6D75"/>
    <w:rsid w:val="000F3BA8"/>
    <w:rsid w:val="001204DD"/>
    <w:rsid w:val="00120E1F"/>
    <w:rsid w:val="00157D8C"/>
    <w:rsid w:val="00160A6D"/>
    <w:rsid w:val="0018448B"/>
    <w:rsid w:val="00191C10"/>
    <w:rsid w:val="00195E4B"/>
    <w:rsid w:val="001A5366"/>
    <w:rsid w:val="002070D1"/>
    <w:rsid w:val="002235CC"/>
    <w:rsid w:val="0022557C"/>
    <w:rsid w:val="00232CBE"/>
    <w:rsid w:val="002736D1"/>
    <w:rsid w:val="002B5371"/>
    <w:rsid w:val="002E237F"/>
    <w:rsid w:val="00304018"/>
    <w:rsid w:val="00355FFC"/>
    <w:rsid w:val="00383C0F"/>
    <w:rsid w:val="00395BA6"/>
    <w:rsid w:val="003A5837"/>
    <w:rsid w:val="003C5BF8"/>
    <w:rsid w:val="003E0E92"/>
    <w:rsid w:val="003E78DD"/>
    <w:rsid w:val="003F5399"/>
    <w:rsid w:val="0040012A"/>
    <w:rsid w:val="0040237B"/>
    <w:rsid w:val="004433EA"/>
    <w:rsid w:val="00460E56"/>
    <w:rsid w:val="00496576"/>
    <w:rsid w:val="004B38DE"/>
    <w:rsid w:val="004D1BC3"/>
    <w:rsid w:val="004D6F27"/>
    <w:rsid w:val="004F0108"/>
    <w:rsid w:val="004F22CD"/>
    <w:rsid w:val="00501F22"/>
    <w:rsid w:val="005022BF"/>
    <w:rsid w:val="00502647"/>
    <w:rsid w:val="005031D1"/>
    <w:rsid w:val="00513FD5"/>
    <w:rsid w:val="00560AFB"/>
    <w:rsid w:val="0057070A"/>
    <w:rsid w:val="005712A4"/>
    <w:rsid w:val="005746B6"/>
    <w:rsid w:val="00594D04"/>
    <w:rsid w:val="005A50AF"/>
    <w:rsid w:val="005C210C"/>
    <w:rsid w:val="005C58F3"/>
    <w:rsid w:val="005C6993"/>
    <w:rsid w:val="005D75B7"/>
    <w:rsid w:val="005E0915"/>
    <w:rsid w:val="00602989"/>
    <w:rsid w:val="00635A91"/>
    <w:rsid w:val="00662D45"/>
    <w:rsid w:val="0066614B"/>
    <w:rsid w:val="0067622E"/>
    <w:rsid w:val="0068428C"/>
    <w:rsid w:val="0069684D"/>
    <w:rsid w:val="006A3E0A"/>
    <w:rsid w:val="006A4E6B"/>
    <w:rsid w:val="006B13BF"/>
    <w:rsid w:val="00705DEA"/>
    <w:rsid w:val="00731911"/>
    <w:rsid w:val="00735635"/>
    <w:rsid w:val="00780AA8"/>
    <w:rsid w:val="007850CE"/>
    <w:rsid w:val="00786E3F"/>
    <w:rsid w:val="00787E37"/>
    <w:rsid w:val="00792DA9"/>
    <w:rsid w:val="00795064"/>
    <w:rsid w:val="007A1D5C"/>
    <w:rsid w:val="007C3AB2"/>
    <w:rsid w:val="007D0848"/>
    <w:rsid w:val="007D2C36"/>
    <w:rsid w:val="007D777B"/>
    <w:rsid w:val="007E36E6"/>
    <w:rsid w:val="007E4342"/>
    <w:rsid w:val="008334B0"/>
    <w:rsid w:val="00834B01"/>
    <w:rsid w:val="00857729"/>
    <w:rsid w:val="0087798A"/>
    <w:rsid w:val="00880B12"/>
    <w:rsid w:val="008A07A1"/>
    <w:rsid w:val="008A08ED"/>
    <w:rsid w:val="008A737C"/>
    <w:rsid w:val="008B4880"/>
    <w:rsid w:val="008D3686"/>
    <w:rsid w:val="0091705E"/>
    <w:rsid w:val="0094551A"/>
    <w:rsid w:val="00973910"/>
    <w:rsid w:val="00993718"/>
    <w:rsid w:val="009A48B3"/>
    <w:rsid w:val="009D18B5"/>
    <w:rsid w:val="009E3EF0"/>
    <w:rsid w:val="00A40F40"/>
    <w:rsid w:val="00A47954"/>
    <w:rsid w:val="00A54337"/>
    <w:rsid w:val="00A75106"/>
    <w:rsid w:val="00A77E95"/>
    <w:rsid w:val="00A875F5"/>
    <w:rsid w:val="00AA0618"/>
    <w:rsid w:val="00AB284E"/>
    <w:rsid w:val="00AF1B7F"/>
    <w:rsid w:val="00AF2396"/>
    <w:rsid w:val="00B00562"/>
    <w:rsid w:val="00B0168C"/>
    <w:rsid w:val="00B313CF"/>
    <w:rsid w:val="00B71907"/>
    <w:rsid w:val="00B8595F"/>
    <w:rsid w:val="00BB2C84"/>
    <w:rsid w:val="00BB7592"/>
    <w:rsid w:val="00C10128"/>
    <w:rsid w:val="00C176CB"/>
    <w:rsid w:val="00C21A9C"/>
    <w:rsid w:val="00C26AC1"/>
    <w:rsid w:val="00C46E50"/>
    <w:rsid w:val="00C761AF"/>
    <w:rsid w:val="00C7705E"/>
    <w:rsid w:val="00CB1E2D"/>
    <w:rsid w:val="00CC416D"/>
    <w:rsid w:val="00CD0E12"/>
    <w:rsid w:val="00CF6F7F"/>
    <w:rsid w:val="00D11957"/>
    <w:rsid w:val="00D20873"/>
    <w:rsid w:val="00D27A05"/>
    <w:rsid w:val="00D36D5C"/>
    <w:rsid w:val="00D430A6"/>
    <w:rsid w:val="00D66481"/>
    <w:rsid w:val="00D856C6"/>
    <w:rsid w:val="00DE50A0"/>
    <w:rsid w:val="00DE7705"/>
    <w:rsid w:val="00E13657"/>
    <w:rsid w:val="00E17391"/>
    <w:rsid w:val="00E22101"/>
    <w:rsid w:val="00E25713"/>
    <w:rsid w:val="00E32E7E"/>
    <w:rsid w:val="00E32E8A"/>
    <w:rsid w:val="00E53147"/>
    <w:rsid w:val="00E5459E"/>
    <w:rsid w:val="00E6080F"/>
    <w:rsid w:val="00E648E0"/>
    <w:rsid w:val="00E8038A"/>
    <w:rsid w:val="00EC7C75"/>
    <w:rsid w:val="00ED7CA3"/>
    <w:rsid w:val="00EF4640"/>
    <w:rsid w:val="00F15FA1"/>
    <w:rsid w:val="00F17F99"/>
    <w:rsid w:val="00F34876"/>
    <w:rsid w:val="00F4378C"/>
    <w:rsid w:val="00F5065B"/>
    <w:rsid w:val="00F57000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DA3F"/>
  <w15:docId w15:val="{FF04B759-7527-45A0-AD25-05FCE321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4D6F27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4D6F27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4D6F27"/>
    <w:pPr>
      <w:numPr>
        <w:numId w:val="6"/>
      </w:numPr>
      <w:jc w:val="center"/>
    </w:pPr>
    <w:rPr>
      <w:rFonts w:ascii="Tahoma" w:eastAsia="Times New Roman" w:hAnsi="Tahoma"/>
      <w:b/>
      <w:sz w:val="24"/>
      <w:szCs w:val="24"/>
    </w:rPr>
  </w:style>
  <w:style w:type="character" w:styleId="Hypertextovodkaz">
    <w:name w:val="Hyperlink"/>
    <w:basedOn w:val="Standardnpsmoodstavce"/>
    <w:unhideWhenUsed/>
    <w:rsid w:val="004D6F2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F27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F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4D6F27"/>
    <w:rPr>
      <w:vertAlign w:val="superscript"/>
    </w:rPr>
  </w:style>
  <w:style w:type="paragraph" w:styleId="Nzev">
    <w:name w:val="Title"/>
    <w:basedOn w:val="Normln"/>
    <w:link w:val="NzevChar"/>
    <w:uiPriority w:val="99"/>
    <w:qFormat/>
    <w:rsid w:val="000F3BA8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F3BA8"/>
    <w:rPr>
      <w:rFonts w:ascii="Times New Roman" w:eastAsia="Times New Roman" w:hAnsi="Times New Roman"/>
      <w:b/>
      <w:bCs/>
      <w:sz w:val="22"/>
      <w:szCs w:val="24"/>
    </w:rPr>
  </w:style>
  <w:style w:type="table" w:styleId="Mkatabulky">
    <w:name w:val="Table Grid"/>
    <w:basedOn w:val="Normlntabulka"/>
    <w:uiPriority w:val="59"/>
    <w:rsid w:val="005C2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C210C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23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3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37F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37F"/>
    <w:rPr>
      <w:rFonts w:ascii="Times New Roman" w:hAnsi="Times New Roman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E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Nov&#253;%20vzor%20Smlouvy%20PP\vzor_Smlouva%20s%20hlavi&#269;kou_BW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5E18-B675-4B8D-A686-C83D2FF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s hlavičkou_BW_SPS</Template>
  <TotalTime>6</TotalTime>
  <Pages>3</Pages>
  <Words>1042</Words>
  <Characters>6151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Kochová Věra</cp:lastModifiedBy>
  <cp:revision>2</cp:revision>
  <dcterms:created xsi:type="dcterms:W3CDTF">2024-08-01T09:34:00Z</dcterms:created>
  <dcterms:modified xsi:type="dcterms:W3CDTF">2024-08-01T09:34:00Z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2023-12-20T12:46:58Z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b1bf1651-8753-49a4-94eb-8d664dfa5156</vt:lpwstr>
  </property>
  <property fmtid="{D5CDD505-2E9C-101B-9397-08002B2CF9AE}" pid="8" name="MSIP_Label_06385286-8155-42cb-8f3c-2e99713295e1_ContentBits">
    <vt:lpwstr>0</vt:lpwstr>
  </property>
</Properties>
</file>