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410325" w:rsidRDefault="00726B26" w:rsidP="00726B26">
      <w:pPr>
        <w:jc w:val="center"/>
      </w:pPr>
      <w:r w:rsidRPr="00726B26">
        <w:t xml:space="preserve">uzavřená </w:t>
      </w:r>
      <w:r w:rsidR="00074676">
        <w:t xml:space="preserve">dle § 2079 zákona č. 89/2012 Sb., občanský zákoník, ve znění pozdějších předpisů (dále jen </w:t>
      </w:r>
      <w:r w:rsidR="00074676" w:rsidRPr="00410325">
        <w:t>„</w:t>
      </w:r>
      <w:r w:rsidR="00074676" w:rsidRPr="00410325">
        <w:rPr>
          <w:b/>
        </w:rPr>
        <w:t>občanský zákoník</w:t>
      </w:r>
      <w:r w:rsidR="00074676" w:rsidRPr="00410325">
        <w:t xml:space="preserve">“), </w:t>
      </w:r>
      <w:r w:rsidRPr="00410325">
        <w:t>níže uvedeného dne, měsíce a roku mezi těmito smluvními stranami:</w:t>
      </w:r>
    </w:p>
    <w:p w14:paraId="5F470EA0" w14:textId="77777777" w:rsidR="00726B26" w:rsidRPr="00410325" w:rsidRDefault="00726B26" w:rsidP="00726B26"/>
    <w:p w14:paraId="4408F820" w14:textId="1FABEC36" w:rsidR="00726B26" w:rsidRPr="00410325" w:rsidRDefault="00997A4A" w:rsidP="00726B26">
      <w:pPr>
        <w:rPr>
          <w:b/>
        </w:rPr>
      </w:pPr>
      <w:proofErr w:type="spellStart"/>
      <w:r w:rsidRPr="00410325">
        <w:rPr>
          <w:b/>
        </w:rPr>
        <w:t>Perfect</w:t>
      </w:r>
      <w:proofErr w:type="spellEnd"/>
      <w:r w:rsidRPr="00410325">
        <w:rPr>
          <w:b/>
        </w:rPr>
        <w:t xml:space="preserve"> </w:t>
      </w:r>
      <w:proofErr w:type="spellStart"/>
      <w:r w:rsidRPr="00410325">
        <w:rPr>
          <w:b/>
        </w:rPr>
        <w:t>Distribution</w:t>
      </w:r>
      <w:proofErr w:type="spellEnd"/>
      <w:r w:rsidRPr="00410325">
        <w:rPr>
          <w:b/>
        </w:rPr>
        <w:t xml:space="preserve"> a.s. </w:t>
      </w:r>
    </w:p>
    <w:p w14:paraId="2723C1F6" w14:textId="05963EB7" w:rsidR="00726B26" w:rsidRPr="00410325" w:rsidRDefault="00726B26" w:rsidP="00726B26">
      <w:r w:rsidRPr="00410325">
        <w:t>IČ</w:t>
      </w:r>
      <w:r w:rsidR="003962B6" w:rsidRPr="00410325">
        <w:t>O</w:t>
      </w:r>
      <w:r w:rsidRPr="00410325">
        <w:t xml:space="preserve">: </w:t>
      </w:r>
      <w:r w:rsidR="00997A4A" w:rsidRPr="00410325">
        <w:t xml:space="preserve">47675934 </w:t>
      </w:r>
    </w:p>
    <w:p w14:paraId="21D4C825" w14:textId="4AE15431" w:rsidR="00726B26" w:rsidRPr="00410325" w:rsidRDefault="00726B26" w:rsidP="00726B26">
      <w:r w:rsidRPr="00410325">
        <w:t xml:space="preserve">DIČ: </w:t>
      </w:r>
      <w:r w:rsidR="00997A4A" w:rsidRPr="00410325">
        <w:t>CZ699000899</w:t>
      </w:r>
    </w:p>
    <w:p w14:paraId="7B0EFBBE" w14:textId="67588BFA" w:rsidR="00726B26" w:rsidRPr="00410325" w:rsidRDefault="00726B26" w:rsidP="00726B26">
      <w:r w:rsidRPr="00410325">
        <w:t xml:space="preserve">se sídlem:  </w:t>
      </w:r>
      <w:r w:rsidR="00997A4A" w:rsidRPr="00410325">
        <w:t xml:space="preserve">U Spalovny 4582/17, 796 01 Prostějov </w:t>
      </w:r>
    </w:p>
    <w:p w14:paraId="08DCB318" w14:textId="02F3016A" w:rsidR="00726B26" w:rsidRPr="00410325" w:rsidRDefault="00726B26" w:rsidP="00726B26">
      <w:r w:rsidRPr="00410325">
        <w:t xml:space="preserve">zastoupena: </w:t>
      </w:r>
      <w:r w:rsidR="00997A4A" w:rsidRPr="00410325">
        <w:tab/>
      </w:r>
      <w:r w:rsidR="00F949EA" w:rsidRPr="00F949EA">
        <w:t xml:space="preserve">Tomáš </w:t>
      </w:r>
      <w:proofErr w:type="spellStart"/>
      <w:r w:rsidR="00F949EA" w:rsidRPr="00F949EA">
        <w:t>Lyžbicki</w:t>
      </w:r>
      <w:proofErr w:type="spellEnd"/>
      <w:r w:rsidR="00F949EA" w:rsidRPr="00F949EA">
        <w:t>, MBA</w:t>
      </w:r>
      <w:r w:rsidR="00997A4A" w:rsidRPr="00410325">
        <w:t xml:space="preserve">, předseda představenstva </w:t>
      </w:r>
    </w:p>
    <w:p w14:paraId="0C5E68CD" w14:textId="017E0E1A" w:rsidR="00997A4A" w:rsidRPr="00410325" w:rsidRDefault="00997A4A" w:rsidP="00726B26">
      <w:r w:rsidRPr="00410325">
        <w:tab/>
      </w:r>
      <w:r w:rsidRPr="00410325">
        <w:tab/>
        <w:t xml:space="preserve">Martin </w:t>
      </w:r>
      <w:proofErr w:type="spellStart"/>
      <w:r w:rsidRPr="00410325">
        <w:t>Mendrek</w:t>
      </w:r>
      <w:proofErr w:type="spellEnd"/>
      <w:r w:rsidRPr="00410325">
        <w:t xml:space="preserve">. člen představenstva </w:t>
      </w:r>
    </w:p>
    <w:p w14:paraId="15CF57FE" w14:textId="5EDD0A55" w:rsidR="00726B26" w:rsidRPr="00410325" w:rsidRDefault="00726B26" w:rsidP="00726B26">
      <w:r w:rsidRPr="00410325">
        <w:t xml:space="preserve">bankovní spojení: </w:t>
      </w:r>
      <w:r w:rsidR="00997A4A" w:rsidRPr="00410325">
        <w:t xml:space="preserve">ČSOB a.s. </w:t>
      </w:r>
    </w:p>
    <w:p w14:paraId="4E6F6E8F" w14:textId="018A1F95" w:rsidR="00726B26" w:rsidRPr="00410325" w:rsidRDefault="00726B26" w:rsidP="00726B26">
      <w:r w:rsidRPr="00410325">
        <w:t xml:space="preserve">číslo účtu: </w:t>
      </w:r>
      <w:r w:rsidR="00997A4A" w:rsidRPr="00410325">
        <w:t>117094303/0300</w:t>
      </w:r>
    </w:p>
    <w:p w14:paraId="23F14223" w14:textId="47A2382D" w:rsidR="00726B26" w:rsidRPr="00512AB9" w:rsidRDefault="00726B26" w:rsidP="00726B26">
      <w:r w:rsidRPr="00410325">
        <w:t xml:space="preserve">zapsána v obchodním rejstříku vedeném </w:t>
      </w:r>
      <w:r w:rsidR="00997A4A" w:rsidRPr="00410325">
        <w:t>Krajským</w:t>
      </w:r>
      <w:r w:rsidRPr="00410325">
        <w:t xml:space="preserve"> soudem v </w:t>
      </w:r>
      <w:r w:rsidR="00997A4A" w:rsidRPr="00410325">
        <w:t>Brně</w:t>
      </w:r>
      <w:r w:rsidRPr="00410325">
        <w:t xml:space="preserve">, oddíl </w:t>
      </w:r>
      <w:r w:rsidR="00997A4A" w:rsidRPr="00410325">
        <w:t>B</w:t>
      </w:r>
      <w:r w:rsidRPr="00410325">
        <w:t xml:space="preserve">, vložka </w:t>
      </w:r>
      <w:r w:rsidR="00997A4A" w:rsidRPr="00410325">
        <w:t>6538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6736F0EE" w:rsidR="00726B26" w:rsidRPr="002B77A6" w:rsidRDefault="00726B26" w:rsidP="00726B26">
      <w:r w:rsidRPr="002B77A6">
        <w:t>IČ</w:t>
      </w:r>
      <w:r w:rsidR="003962B6">
        <w:t>O</w:t>
      </w:r>
      <w:r w:rsidRPr="002B77A6">
        <w:t>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574F38E9" w:rsidR="00726B26" w:rsidRPr="002B77A6" w:rsidRDefault="00726B26" w:rsidP="00726B26">
      <w:r>
        <w:t>zastoupena</w:t>
      </w:r>
      <w:r w:rsidR="00900439">
        <w:t xml:space="preserve">: </w:t>
      </w:r>
      <w:r w:rsidR="00606C7B">
        <w:t xml:space="preserve">MUDr. </w:t>
      </w:r>
      <w:r w:rsidR="00C3785C">
        <w:t>Ivo Rovný</w:t>
      </w:r>
      <w:r w:rsidR="00606C7B">
        <w:t>,</w:t>
      </w:r>
      <w:r w:rsidR="00C3785C">
        <w:t xml:space="preserve"> MBA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7EA78EB0" w:rsidR="00014CFB" w:rsidRDefault="00014CFB" w:rsidP="00AB2CB9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</w:t>
      </w:r>
      <w:r w:rsidRPr="00410325">
        <w:t>rámci veřejné zakázky</w:t>
      </w:r>
      <w:r w:rsidR="000D35F4" w:rsidRPr="00410325">
        <w:t xml:space="preserve"> </w:t>
      </w:r>
      <w:r w:rsidRPr="00410325">
        <w:rPr>
          <w:u w:val="single"/>
        </w:rPr>
        <w:t>„</w:t>
      </w:r>
      <w:r w:rsidR="00080EEB" w:rsidRPr="00410325">
        <w:rPr>
          <w:u w:val="single"/>
        </w:rPr>
        <w:t>De</w:t>
      </w:r>
      <w:r w:rsidR="00B71996" w:rsidRPr="00410325">
        <w:rPr>
          <w:u w:val="single"/>
        </w:rPr>
        <w:t>z</w:t>
      </w:r>
      <w:r w:rsidR="00080EEB" w:rsidRPr="00410325">
        <w:rPr>
          <w:u w:val="single"/>
        </w:rPr>
        <w:t xml:space="preserve">infekční </w:t>
      </w:r>
      <w:r w:rsidR="006D3204" w:rsidRPr="00410325">
        <w:rPr>
          <w:u w:val="single"/>
        </w:rPr>
        <w:t>přípravky na kůži</w:t>
      </w:r>
      <w:r w:rsidRPr="00410325">
        <w:rPr>
          <w:u w:val="single"/>
        </w:rPr>
        <w:t>“</w:t>
      </w:r>
      <w:r w:rsidRPr="00410325">
        <w:t xml:space="preserve"> (dále jen „</w:t>
      </w:r>
      <w:r w:rsidRPr="00410325">
        <w:rPr>
          <w:b/>
        </w:rPr>
        <w:t>Veřejná zakázka</w:t>
      </w:r>
      <w:r w:rsidRPr="00410325">
        <w:t>“),</w:t>
      </w:r>
      <w:r w:rsidR="00080EEB" w:rsidRPr="00410325">
        <w:t xml:space="preserve"> část č. </w:t>
      </w:r>
      <w:r w:rsidR="00997A4A" w:rsidRPr="00410325">
        <w:t>1 Alkoholový dezinfekční přípravek na kůži bezbarvý,</w:t>
      </w:r>
      <w:r w:rsidRPr="00410325">
        <w:t xml:space="preserve"> které budou na základě této smlouvy zasílány Prodávajícímu.</w:t>
      </w:r>
    </w:p>
    <w:p w14:paraId="74626DBD" w14:textId="00F84902" w:rsidR="00014CFB" w:rsidRDefault="00014CFB" w:rsidP="00014CFB">
      <w:pPr>
        <w:jc w:val="center"/>
        <w:rPr>
          <w:b/>
          <w:bCs/>
        </w:rPr>
      </w:pPr>
    </w:p>
    <w:p w14:paraId="50158CB2" w14:textId="77777777" w:rsidR="00442F74" w:rsidRDefault="00442F74" w:rsidP="00014CFB">
      <w:pPr>
        <w:jc w:val="center"/>
        <w:rPr>
          <w:b/>
          <w:bCs/>
        </w:rPr>
      </w:pPr>
    </w:p>
    <w:p w14:paraId="70C2BFDF" w14:textId="77777777" w:rsidR="00B74012" w:rsidRDefault="00B74012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5675C74B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>se zadávací</w:t>
      </w:r>
      <w:r w:rsidR="003962B6">
        <w:t xml:space="preserve"> dokumentací k Veřejné zakázce </w:t>
      </w:r>
      <w:r>
        <w:t>(dále 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174D3DEB" w:rsidR="00014CFB" w:rsidRPr="00080EEB" w:rsidRDefault="00080EEB" w:rsidP="00014CFB">
      <w:pPr>
        <w:pStyle w:val="Odstavecsmlouvy"/>
      </w:pPr>
      <w:r w:rsidRPr="00080EEB">
        <w:rPr>
          <w:color w:val="000000"/>
          <w:shd w:val="clear" w:color="auto" w:fill="FFFFFF"/>
        </w:rPr>
        <w:lastRenderedPageBreak/>
        <w:t>Předmětem této smlouvy jsou podmínky dodávek zboží specifikovaného v příloze č. 1 této smlouvy (dále též pouze „</w:t>
      </w:r>
      <w:r w:rsidRPr="00080EEB">
        <w:rPr>
          <w:b/>
          <w:bCs/>
          <w:color w:val="000000"/>
          <w:shd w:val="clear" w:color="auto" w:fill="FFFFFF"/>
        </w:rPr>
        <w:t>Zboží</w:t>
      </w:r>
      <w:r w:rsidRPr="00080EEB">
        <w:rPr>
          <w:color w:val="000000"/>
          <w:shd w:val="clear" w:color="auto" w:fill="FFFFFF"/>
        </w:rP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080EEB">
        <w:rPr>
          <w:b/>
          <w:color w:val="000000"/>
          <w:shd w:val="clear" w:color="auto" w:fill="FFFFFF"/>
        </w:rPr>
        <w:t>Objednávky</w:t>
      </w:r>
      <w:r w:rsidRPr="00080EEB">
        <w:rPr>
          <w:color w:val="000000"/>
          <w:shd w:val="clear" w:color="auto" w:fill="FFFFFF"/>
        </w:rPr>
        <w:t>“ či jednotlivě „</w:t>
      </w:r>
      <w:r w:rsidRPr="00080EEB">
        <w:rPr>
          <w:b/>
          <w:color w:val="000000"/>
          <w:shd w:val="clear" w:color="auto" w:fill="FFFFFF"/>
        </w:rPr>
        <w:t>Objednávka</w:t>
      </w:r>
      <w:r w:rsidRPr="00080EEB">
        <w:rPr>
          <w:color w:val="000000"/>
          <w:shd w:val="clear" w:color="auto" w:fill="FFFFFF"/>
        </w:rPr>
        <w:t>“), jejichž prostřednictvím dá Kupující Prodávajícímu pokyn k částečnému plnění této smlouvy postupem dle čl. III této smlouvy.</w:t>
      </w:r>
      <w:r w:rsidR="00014CFB" w:rsidRPr="00080EEB">
        <w:t xml:space="preserve">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03BEAA0C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AB2CB9">
        <w:t>za podmínek této smlouvy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17437E07" w:rsidR="00014CFB" w:rsidRDefault="00014CFB" w:rsidP="00014CFB">
      <w:pPr>
        <w:jc w:val="center"/>
        <w:rPr>
          <w:b/>
          <w:bCs/>
        </w:rPr>
      </w:pPr>
    </w:p>
    <w:p w14:paraId="7A47B170" w14:textId="77777777" w:rsidR="00B74012" w:rsidRDefault="00B74012" w:rsidP="00014CFB">
      <w:pPr>
        <w:jc w:val="center"/>
        <w:rPr>
          <w:b/>
          <w:bCs/>
        </w:rPr>
      </w:pPr>
    </w:p>
    <w:p w14:paraId="134685A6" w14:textId="77777777" w:rsidR="00442F74" w:rsidRDefault="00442F74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Pr="00410325" w:rsidRDefault="00014CFB" w:rsidP="00014CFB">
      <w:pPr>
        <w:pStyle w:val="Odstavecsmlouvy"/>
      </w:pPr>
      <w:bookmarkStart w:id="2" w:name="_Ref501111900"/>
      <w:r>
        <w:t xml:space="preserve">Dodávky Zboží budou realizovány na základě Objednávek doručených Prodávajícímu jedním z následujících způsobů dle </w:t>
      </w:r>
      <w:r w:rsidRPr="00410325">
        <w:t>volby Kupujícího:</w:t>
      </w:r>
      <w:bookmarkEnd w:id="2"/>
    </w:p>
    <w:p w14:paraId="7966383B" w14:textId="5884E473" w:rsidR="00014CFB" w:rsidRPr="00410325" w:rsidRDefault="00014CFB" w:rsidP="00014CFB">
      <w:pPr>
        <w:pStyle w:val="Psmenoodstavce"/>
      </w:pPr>
      <w:r w:rsidRPr="00410325">
        <w:t>e-mailem na adresu</w:t>
      </w:r>
      <w:r w:rsidR="00997A4A" w:rsidRPr="00410325">
        <w:t>:</w:t>
      </w:r>
      <w:r w:rsidRPr="00410325">
        <w:t xml:space="preserve"> </w:t>
      </w:r>
      <w:r w:rsidR="006D6716">
        <w:t>XXX</w:t>
      </w:r>
    </w:p>
    <w:p w14:paraId="6188391D" w14:textId="25C95FED" w:rsidR="00014CFB" w:rsidRPr="00410325" w:rsidRDefault="00014CFB" w:rsidP="00014CFB">
      <w:pPr>
        <w:pStyle w:val="Psmenoodstavce"/>
      </w:pPr>
      <w:r w:rsidRPr="00410325">
        <w:t>na telefonní číslo</w:t>
      </w:r>
      <w:r w:rsidR="00997A4A" w:rsidRPr="00410325">
        <w:t>:</w:t>
      </w:r>
      <w:r w:rsidRPr="00410325">
        <w:t xml:space="preserve"> </w:t>
      </w:r>
      <w:r w:rsidR="006D6716">
        <w:t>XXX</w:t>
      </w:r>
    </w:p>
    <w:p w14:paraId="4203FD1B" w14:textId="07E014B7" w:rsidR="00014CFB" w:rsidRPr="00410325" w:rsidRDefault="00014CFB" w:rsidP="00014CFB">
      <w:pPr>
        <w:pStyle w:val="Psmenoodstavce"/>
      </w:pPr>
      <w:r w:rsidRPr="00410325">
        <w:t>v internetovém systému Prodávajícího na adrese</w:t>
      </w:r>
      <w:r w:rsidR="00997A4A" w:rsidRPr="00410325">
        <w:t xml:space="preserve">: </w:t>
      </w:r>
      <w:r w:rsidR="006D6716">
        <w:t>XXX</w:t>
      </w:r>
    </w:p>
    <w:p w14:paraId="2E11BA0B" w14:textId="77777777" w:rsidR="00014CFB" w:rsidRPr="00410325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91B0B8A" w14:textId="444B426E" w:rsidR="00014CFB" w:rsidRPr="00410325" w:rsidRDefault="00014CFB" w:rsidP="00014CFB">
      <w:pPr>
        <w:pStyle w:val="Odstavecsmlouvy"/>
      </w:pPr>
      <w:r w:rsidRPr="00410325">
        <w:t>V naléhavých případech je Kupující oprávněn učinit Objednávku rovněž telefonicky na čísle</w:t>
      </w:r>
      <w:r w:rsidR="00997A4A" w:rsidRPr="00410325">
        <w:t xml:space="preserve">: </w:t>
      </w:r>
      <w:r w:rsidR="006D6716">
        <w:t>XXX</w:t>
      </w:r>
      <w:r w:rsidRPr="00410325">
        <w:t xml:space="preserve">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0B710D51" w:rsidR="00014CFB" w:rsidRPr="007D127D" w:rsidRDefault="00014CFB" w:rsidP="00014CFB">
      <w:pPr>
        <w:pStyle w:val="Odstavecsmlouvy"/>
      </w:pPr>
      <w:r w:rsidRPr="007D127D">
        <w:t xml:space="preserve">Prodávající je povinen </w:t>
      </w:r>
      <w:r w:rsidR="00C37DD2" w:rsidRPr="007D127D">
        <w:t>doručení Objednávky</w:t>
      </w:r>
      <w:r w:rsidRPr="007D127D">
        <w:t xml:space="preserve"> </w:t>
      </w:r>
      <w:r w:rsidR="00C37DD2" w:rsidRPr="007D127D">
        <w:t xml:space="preserve">Kupujícímu </w:t>
      </w:r>
      <w:r w:rsidRPr="007D127D">
        <w:t>písemně potvrdit, a to e-mailem bez zbytečného odkladu po přijetí Objednávky na adresu, z níž byla Objednávka odeslána</w:t>
      </w:r>
      <w:r w:rsidR="00763C47" w:rsidRPr="007D127D">
        <w:t xml:space="preserve">, případně </w:t>
      </w:r>
      <w:r w:rsidR="00A324DC" w:rsidRPr="007D127D">
        <w:t xml:space="preserve">rovněž </w:t>
      </w:r>
      <w:r w:rsidR="00763C47" w:rsidRPr="007D127D">
        <w:t xml:space="preserve">na </w:t>
      </w:r>
      <w:r w:rsidR="00A324DC" w:rsidRPr="007D127D">
        <w:t xml:space="preserve">jinou, mezi </w:t>
      </w:r>
      <w:r w:rsidR="00A324DC" w:rsidRPr="00EF0C53">
        <w:t>smluvními stranami dohodnutou</w:t>
      </w:r>
      <w:r w:rsidR="00A31EAD" w:rsidRPr="00EF0C53">
        <w:t>,</w:t>
      </w:r>
      <w:r w:rsidR="00A324DC" w:rsidRPr="00EF0C53">
        <w:t xml:space="preserve"> </w:t>
      </w:r>
      <w:r w:rsidR="00763C47" w:rsidRPr="00EF0C53">
        <w:t>adresu</w:t>
      </w:r>
      <w:r w:rsidRPr="00EF0C53">
        <w:t xml:space="preserve">. V případě Objednávky učiněné telefonicky nebo faxem je Prodávající povinen </w:t>
      </w:r>
      <w:r w:rsidR="00C37DD2" w:rsidRPr="00EF0C53">
        <w:t>doručení Objednávky</w:t>
      </w:r>
      <w:r w:rsidRPr="00EF0C53">
        <w:t xml:space="preserve"> </w:t>
      </w:r>
      <w:r w:rsidR="00C37DD2" w:rsidRPr="00EF0C53">
        <w:t xml:space="preserve">Kupujícímu </w:t>
      </w:r>
      <w:r w:rsidRPr="00EF0C53">
        <w:t>potvrdit e-mailem bez zbytečného odkladu na adresu</w:t>
      </w:r>
      <w:r w:rsidR="00EF0C53" w:rsidRPr="00EF0C53">
        <w:rPr>
          <w:rStyle w:val="Odkaznakoment"/>
          <w:sz w:val="22"/>
          <w:szCs w:val="22"/>
        </w:rPr>
        <w:t xml:space="preserve"> </w:t>
      </w:r>
      <w:r w:rsidR="006D6716">
        <w:rPr>
          <w:rStyle w:val="Odkaznakoment"/>
          <w:b/>
          <w:sz w:val="22"/>
          <w:szCs w:val="22"/>
        </w:rPr>
        <w:t>XXX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8C33142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r w:rsidRPr="00834479">
        <w:rPr>
          <w:b/>
        </w:rPr>
        <w:t>III.7</w:t>
      </w:r>
      <w:r w:rsidRPr="00D10B28">
        <w:t xml:space="preserve"> </w:t>
      </w:r>
      <w:r w:rsidR="00834479" w:rsidRPr="00D10B28">
        <w:t xml:space="preserve">  </w:t>
      </w:r>
      <w:r w:rsidRPr="00D10B28">
        <w:t>V</w:t>
      </w:r>
      <w:r w:rsidR="00264406">
        <w:t> </w:t>
      </w:r>
      <w:r w:rsidRPr="00D10B28">
        <w:t>případě</w:t>
      </w:r>
      <w:r w:rsidR="00264406">
        <w:t>,</w:t>
      </w:r>
      <w:r w:rsidRPr="00D10B28">
        <w:t xml:space="preserve"> že Prodávající není schopen (při splnění podmínek smlouvy) dílčí plnění dodat či jej není schopen dodat v celém rozsahu, je povinen o této skutečnosti Kupujícího informovat formou tzv. </w:t>
      </w:r>
      <w:r w:rsidRPr="00D10B28">
        <w:rPr>
          <w:b/>
        </w:rPr>
        <w:t>„Defektního listu“</w:t>
      </w:r>
      <w:r w:rsidRPr="00D10B28">
        <w:t xml:space="preserve"> zaslaného do dvou hodin od doručení Objednávky. Z Defektního listu musí vyplývat, v jakém rozsahu není Prodávající dílčí plnění schopen dodat. V rozsahu vymezeném Defektním listem pak Prodávající dílčí plnění nedodá.</w:t>
      </w:r>
    </w:p>
    <w:p w14:paraId="2B6F1764" w14:textId="77777777" w:rsidR="00B74012" w:rsidRDefault="00B74012" w:rsidP="00014CFB">
      <w:pPr>
        <w:pStyle w:val="Odstavecsmlouvy"/>
        <w:numPr>
          <w:ilvl w:val="0"/>
          <w:numId w:val="0"/>
        </w:numPr>
        <w:ind w:left="567"/>
      </w:pPr>
      <w:bookmarkStart w:id="4" w:name="_Ref477351956"/>
    </w:p>
    <w:p w14:paraId="0C156D3B" w14:textId="25149AC1" w:rsidR="006335A1" w:rsidRPr="00C3785C" w:rsidRDefault="006335A1" w:rsidP="006335A1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Fonts w:ascii="Arial" w:eastAsia="Times New Roman" w:hAnsi="Arial"/>
          <w:b/>
          <w:bCs/>
          <w:caps/>
          <w:lang w:eastAsia="cs-CZ"/>
        </w:rPr>
      </w:pPr>
      <w:r w:rsidRPr="00C3785C">
        <w:rPr>
          <w:rFonts w:ascii="Arial" w:eastAsia="Times New Roman" w:hAnsi="Arial"/>
          <w:b/>
          <w:bCs/>
          <w:caps/>
          <w:lang w:eastAsia="cs-CZ"/>
        </w:rPr>
        <w:t>DODACÍ PODMÍNKY</w:t>
      </w:r>
    </w:p>
    <w:p w14:paraId="2BD712F2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  <w:jc w:val="center"/>
      </w:pPr>
    </w:p>
    <w:p w14:paraId="0AE426AD" w14:textId="44D12940" w:rsidR="00560C64" w:rsidRDefault="00560C64" w:rsidP="00B530A2">
      <w:pPr>
        <w:pStyle w:val="Odstavecsmlouvy"/>
      </w:pPr>
      <w:r>
        <w:t xml:space="preserve">Místem dodání je </w:t>
      </w:r>
      <w:r w:rsidR="004C54DD">
        <w:t>Nemocniční lékárna</w:t>
      </w:r>
      <w:r w:rsidR="004C54DD" w:rsidRPr="006E2DA5">
        <w:t xml:space="preserve"> </w:t>
      </w:r>
      <w:r w:rsidR="004C54DD">
        <w:t>Fakultní nemocnice Brno, a to dle volby Kupujícího Pracoviště Nemocnice Bohunice a Porodnice, Jihlavská 20, 625 00 Brno, nebo Pracoviště Dětská nemocnice, Černopolní 9, 613 00 Brno.</w:t>
      </w:r>
    </w:p>
    <w:p w14:paraId="23DC557D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</w:pPr>
    </w:p>
    <w:p w14:paraId="6EA99CA9" w14:textId="397FFD60" w:rsidR="006335A1" w:rsidRDefault="006335A1" w:rsidP="006335A1">
      <w:pPr>
        <w:pStyle w:val="Odstavecsmlouvy"/>
      </w:pPr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4C54DD">
        <w:rPr>
          <w:b/>
        </w:rPr>
        <w:t>48</w:t>
      </w:r>
      <w:r>
        <w:rPr>
          <w:b/>
        </w:rPr>
        <w:t xml:space="preserve"> hodin</w:t>
      </w:r>
      <w:r w:rsidR="0056075A">
        <w:rPr>
          <w:b/>
        </w:rPr>
        <w:t xml:space="preserve"> </w:t>
      </w:r>
      <w:r w:rsidR="0056075A" w:rsidRPr="005F4F7B">
        <w:rPr>
          <w:b/>
        </w:rPr>
        <w:t>(</w:t>
      </w:r>
      <w:r w:rsidR="00B530A2" w:rsidRPr="005F4F7B">
        <w:rPr>
          <w:b/>
        </w:rPr>
        <w:t>v pracovních dnech)</w:t>
      </w:r>
      <w:r w:rsidRPr="005F4F7B">
        <w:t xml:space="preserve"> </w:t>
      </w:r>
      <w:r>
        <w:t>od jejího doručení Prodávajícímu, ledaže si smluvní strany dohodly rozvozový plán.</w:t>
      </w:r>
      <w:r w:rsidRPr="00B936A8">
        <w:t xml:space="preserve"> </w:t>
      </w:r>
      <w:r>
        <w:t>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 xml:space="preserve">tohoto rozvozového plánu. Zboží však vždy musí být dodáno v pracovních dnech v době od 7:00 hodin do 15:00 hodin, </w:t>
      </w:r>
      <w:r w:rsidR="004C54DD">
        <w:t>nebo v sobotu v době od 8:00 hodin do 12:00 hodin, ledaže se smluvní strany dohodnou jinak.</w:t>
      </w:r>
    </w:p>
    <w:p w14:paraId="6CA4F6FA" w14:textId="619A5BB4" w:rsidR="006335A1" w:rsidRDefault="006335A1" w:rsidP="00DA61DE">
      <w:pPr>
        <w:pStyle w:val="Odstavecsmlouvy"/>
        <w:numPr>
          <w:ilvl w:val="0"/>
          <w:numId w:val="0"/>
        </w:numPr>
      </w:pPr>
    </w:p>
    <w:p w14:paraId="4C8D3249" w14:textId="77777777" w:rsidR="006335A1" w:rsidRDefault="006335A1" w:rsidP="006335A1">
      <w:pPr>
        <w:pStyle w:val="Odstavecsmlouvy"/>
      </w:pPr>
      <w:r>
        <w:t>Zboží může být dodáno pouze po baleních o maximální hmotnosti 15 kg.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C21058F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A30612">
        <w:t>14</w:t>
      </w:r>
      <w:r w:rsidR="00754D50">
        <w:t xml:space="preserve"> nebo vyšší</w:t>
      </w:r>
      <w:r w:rsidR="00806564">
        <w:t>, případně ve formátech XML nebo CSV sestavený tak, aby umožnil automatizovanou</w:t>
      </w:r>
      <w:r w:rsidR="00A30612">
        <w:t xml:space="preserve"> 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68A6FA28" w:rsidR="00EA4C8B" w:rsidRDefault="00EA4C8B" w:rsidP="00EA4C8B">
      <w:pPr>
        <w:pStyle w:val="Psmenoodstavce"/>
      </w:pPr>
      <w:r w:rsidRPr="00512AB9">
        <w:t xml:space="preserve">údaje o kódech </w:t>
      </w:r>
      <w:r w:rsidR="0064083C">
        <w:t>SÚKL</w:t>
      </w:r>
      <w:r w:rsidR="00941D28">
        <w:t>;</w:t>
      </w:r>
    </w:p>
    <w:p w14:paraId="34744920" w14:textId="234A34FD" w:rsidR="00E26944" w:rsidRDefault="00941D28" w:rsidP="009E040F">
      <w:pPr>
        <w:pStyle w:val="Psmenoodstavce"/>
      </w:pPr>
      <w:r>
        <w:t>u zdravotnického materiálu</w:t>
      </w:r>
      <w:r w:rsidR="00E26944">
        <w:t xml:space="preserve">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03652DAC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</w:t>
      </w:r>
      <w:r w:rsidR="00DD6BC3" w:rsidRPr="00AB2CB9">
        <w:rPr>
          <w:color w:val="000000"/>
        </w:rPr>
        <w:t>P</w:t>
      </w:r>
      <w:r w:rsidR="00DD6BC3" w:rsidRPr="00AB2CB9">
        <w:t>ři první dodávce dotčeného Zboží Prodávající Kupujícímu předloží rovněž prohlášení o shodě (CE).</w:t>
      </w:r>
      <w:r w:rsidR="00AB2CB9">
        <w:t xml:space="preserve"> 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0FECF150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1F8796FE" w14:textId="77777777" w:rsidR="004C54DD" w:rsidRPr="004739E2" w:rsidRDefault="004C54DD" w:rsidP="004C54DD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 xml:space="preserve">pouze Zboží </w:t>
      </w:r>
      <w:r w:rsidRPr="004739E2">
        <w:t xml:space="preserve">s dobou použitelnosti </w:t>
      </w:r>
      <w:r>
        <w:t xml:space="preserve">ne </w:t>
      </w:r>
      <w:r w:rsidRPr="004739E2">
        <w:t xml:space="preserve">kratší než </w:t>
      </w:r>
      <w:r>
        <w:t>12 měsíců</w:t>
      </w:r>
      <w:r w:rsidRPr="004739E2">
        <w:t xml:space="preserve">. </w:t>
      </w:r>
      <w:r>
        <w:t>K</w:t>
      </w:r>
      <w:r w:rsidRPr="004739E2">
        <w:t>upují</w:t>
      </w:r>
      <w:r>
        <w:t xml:space="preserve">cí oprávněn neupotřebenou část </w:t>
      </w:r>
      <w:r w:rsidRPr="004739E2">
        <w:t xml:space="preserve">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>
        <w:t>Z</w:t>
      </w:r>
      <w:r w:rsidRPr="004739E2">
        <w:t xml:space="preserve">boží (příp. dne, kdy </w:t>
      </w:r>
      <w:r>
        <w:t>P</w:t>
      </w:r>
      <w:r w:rsidRPr="004739E2">
        <w:t xml:space="preserve">rodávající bezdůvodně odmítl převzít vracené </w:t>
      </w:r>
      <w:r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22F725E1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>potvrdí pověřen</w:t>
      </w:r>
      <w:r w:rsidR="005E2F7D">
        <w:t>á</w:t>
      </w:r>
      <w:r>
        <w:t xml:space="preserve"> osob</w:t>
      </w:r>
      <w:r w:rsidR="005316C9">
        <w:t>a</w:t>
      </w:r>
      <w:r w:rsidR="00FB40BB">
        <w:t xml:space="preserve"> </w:t>
      </w:r>
      <w:r>
        <w:t>Kupujícího</w:t>
      </w:r>
      <w:r w:rsidR="007B5CC4">
        <w:t xml:space="preserve"> </w:t>
      </w:r>
      <w:r>
        <w:t xml:space="preserve">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51C0A1F1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</w:t>
      </w:r>
      <w:proofErr w:type="gramStart"/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4E0E38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6AA97F" w14:textId="3B8972E3" w:rsidR="004706BF" w:rsidRDefault="00014CFB" w:rsidP="004706BF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3094143" w14:textId="2C5D7EB2" w:rsidR="004706BF" w:rsidRPr="005F4F7B" w:rsidRDefault="004706BF" w:rsidP="004706BF">
      <w:pPr>
        <w:pStyle w:val="Odstavecsmlouvy"/>
        <w:numPr>
          <w:ilvl w:val="0"/>
          <w:numId w:val="0"/>
        </w:numPr>
        <w:ind w:left="567"/>
      </w:pPr>
    </w:p>
    <w:p w14:paraId="414584ED" w14:textId="3EA89EE4" w:rsidR="005B55AA" w:rsidRPr="005F4F7B" w:rsidRDefault="004706BF" w:rsidP="005B55AA">
      <w:pPr>
        <w:pStyle w:val="Odstavecsmlouvy"/>
      </w:pPr>
      <w:r w:rsidRPr="005F4F7B">
        <w:t>V případě, že dojde ke změně v mikrobiální účinnosti dezinfekčních přípravků dle aktuálně platných norem nebo k ukončení výroby zboží, jehož dodávka je součástí předmětu veřejné zakázky, resp. některé její části, vyhrazuje si Kupující změnu závazku ze smlouvy spočívající v nahrazení takové položky zboží jinou položkou stejného účelového určení splňující zadávací podmínky, přičemž Kupující není povinen takovou změnu závazku provést. O takové změně je prodávající povinen kupujícího informovat do 10 pracovních dnů na e-mailové adresy:</w:t>
      </w:r>
      <w:r w:rsidR="006D6716">
        <w:t xml:space="preserve"> XXX </w:t>
      </w:r>
      <w:r w:rsidRPr="005F4F7B">
        <w:t>a</w:t>
      </w:r>
      <w:r w:rsidR="006D6716">
        <w:t xml:space="preserve"> XXX</w:t>
      </w:r>
    </w:p>
    <w:p w14:paraId="0F068E42" w14:textId="72CC3BA0" w:rsidR="005B55AA" w:rsidRPr="005F4F7B" w:rsidRDefault="005B55AA" w:rsidP="005B55AA">
      <w:pPr>
        <w:pStyle w:val="Odstavecsmlouvy"/>
        <w:numPr>
          <w:ilvl w:val="0"/>
          <w:numId w:val="0"/>
        </w:numPr>
        <w:ind w:left="567"/>
      </w:pPr>
    </w:p>
    <w:p w14:paraId="1C747F00" w14:textId="4BE3602C" w:rsidR="005B55AA" w:rsidRPr="005F4F7B" w:rsidRDefault="005B55AA" w:rsidP="005B55AA">
      <w:pPr>
        <w:pStyle w:val="Odstavecsmlouvy"/>
      </w:pPr>
      <w:r w:rsidRPr="005F4F7B">
        <w:t>V případě, že výrobce u některé položky zboží, jehož dodávka je součástí předmětu veřejné zakázky, resp. některé její části, uvede na trh novou verzi takové položky zboží, která má stejné účelové určení a splňuje zadávací podmínky, vyhrazuje si zadavatel změnu závazku ze smlouvy spočívající v nahrazení takové položky zboží touto její novou verzí, přičemž zadavatel není povinen takovou změnu závazku provést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lastRenderedPageBreak/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41D3C09C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E11AFD" w14:textId="77777777" w:rsidR="00B74012" w:rsidRDefault="00B74012" w:rsidP="00014CFB">
      <w:pPr>
        <w:pStyle w:val="Odstavecsmlouvy"/>
        <w:numPr>
          <w:ilvl w:val="0"/>
          <w:numId w:val="0"/>
        </w:numPr>
        <w:ind w:left="567"/>
      </w:pPr>
    </w:p>
    <w:p w14:paraId="7390F51D" w14:textId="7F6D3412" w:rsidR="00C3785C" w:rsidRDefault="00C3785C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5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5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466121F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poplatky, daně, recyklační poplatek (pouze u zboží, které tomuto poplatku</w:t>
      </w:r>
      <w:r w:rsidR="007D4ED5">
        <w:t>,</w:t>
      </w:r>
      <w:r>
        <w:t xml:space="preserve"> podle </w:t>
      </w:r>
      <w:r w:rsidR="007D4ED5">
        <w:t>platných právních předpisů</w:t>
      </w:r>
      <w:r>
        <w:t xml:space="preserve">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5B2D31D4" w14:textId="5DF4D947" w:rsidR="006335A1" w:rsidRPr="001731F1" w:rsidRDefault="006335A1" w:rsidP="000764CD">
      <w:pPr>
        <w:pStyle w:val="Odstavecsmlouvy"/>
        <w:numPr>
          <w:ilvl w:val="0"/>
          <w:numId w:val="0"/>
        </w:numPr>
      </w:pPr>
    </w:p>
    <w:p w14:paraId="184BC6B2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59D53692" w14:textId="77777777" w:rsidR="00B74012" w:rsidRDefault="00B74012" w:rsidP="00BA7597">
      <w:pPr>
        <w:pStyle w:val="Odstavecsmlouvy"/>
        <w:numPr>
          <w:ilvl w:val="0"/>
          <w:numId w:val="0"/>
        </w:numPr>
        <w:ind w:left="567"/>
      </w:pPr>
    </w:p>
    <w:p w14:paraId="59560CD2" w14:textId="5E9A80A9" w:rsidR="00954D18" w:rsidRPr="00954D18" w:rsidRDefault="003F3D57" w:rsidP="00954D18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Style w:val="slostrnky"/>
          <w:rFonts w:ascii="Arial" w:eastAsia="Times New Roman" w:hAnsi="Arial"/>
          <w:b/>
          <w:bCs/>
          <w:caps/>
          <w:lang w:eastAsia="cs-CZ"/>
        </w:rPr>
      </w:pPr>
      <w:r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pLATEBNÍ PODMÍNKY</w:t>
      </w:r>
      <w:r w:rsidR="00954D18"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</w:t>
      </w:r>
    </w:p>
    <w:p w14:paraId="31701751" w14:textId="77777777" w:rsidR="003F3D57" w:rsidRPr="003F3D57" w:rsidRDefault="003F3D57" w:rsidP="003F3D57">
      <w:pPr>
        <w:pStyle w:val="Odstavecseseznamem"/>
        <w:spacing w:after="0" w:line="280" w:lineRule="atLeast"/>
        <w:ind w:left="1080"/>
        <w:contextualSpacing w:val="0"/>
        <w:outlineLvl w:val="0"/>
        <w:rPr>
          <w:rStyle w:val="slostrnky"/>
          <w:rFonts w:ascii="Arial" w:eastAsia="Times New Roman" w:hAnsi="Arial"/>
          <w:b/>
          <w:bCs/>
          <w:caps/>
          <w:vanish/>
          <w:lang w:eastAsia="cs-CZ"/>
        </w:rPr>
      </w:pPr>
    </w:p>
    <w:p w14:paraId="1C668A82" w14:textId="77777777" w:rsidR="003F3D57" w:rsidRDefault="003F3D57" w:rsidP="003F3D57">
      <w:pPr>
        <w:pStyle w:val="Odstavecsmlouvy"/>
        <w:numPr>
          <w:ilvl w:val="1"/>
          <w:numId w:val="24"/>
        </w:numPr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5CD8DAA6" w14:textId="77777777" w:rsidR="003F3D57" w:rsidRPr="003F3D57" w:rsidRDefault="003F3D57" w:rsidP="003F3D57">
      <w:pPr>
        <w:pStyle w:val="Odstavecseseznamem"/>
        <w:spacing w:after="0" w:line="240" w:lineRule="auto"/>
        <w:ind w:left="567"/>
        <w:contextualSpacing w:val="0"/>
        <w:rPr>
          <w:rStyle w:val="slostrnky"/>
          <w:rFonts w:ascii="Arial" w:eastAsia="Times New Roman" w:hAnsi="Arial"/>
          <w:vanish/>
          <w:lang w:eastAsia="cs-CZ"/>
        </w:rPr>
      </w:pPr>
    </w:p>
    <w:p w14:paraId="736BE722" w14:textId="26C7DF93" w:rsidR="000C1FD1" w:rsidRPr="00BA7597" w:rsidRDefault="00BA7597" w:rsidP="003F3D57">
      <w:pPr>
        <w:pStyle w:val="Odstavecsmlouvy"/>
        <w:rPr>
          <w:rStyle w:val="slostrnky"/>
        </w:rPr>
      </w:pPr>
      <w:r w:rsidRPr="00BA7597">
        <w:rPr>
          <w:rStyle w:val="slostrnky"/>
        </w:rPr>
        <w:t>Fakturu - daňový doklad vystaví prodávající vždy po splnění dodávky a předání předmětu plnění kupujícímu. Splatnost faktury je 60 dnů od data vystavení. Datum uskutečnění zdanitelného plnění bude shodné s datem předání předmětu plnění kupujícímu, tj. datem podpisu předávacího protokolu – dodacího listu. Cena vč. DPH za stanovené období nepřekročí částku pro toto období dohodnutou.</w:t>
      </w:r>
    </w:p>
    <w:p w14:paraId="12F7E45F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28E2F89C" w:rsidR="008A3DBA" w:rsidRDefault="008A3DBA" w:rsidP="000C1FD1">
      <w:pPr>
        <w:pStyle w:val="Psmenoodstavce"/>
      </w:pPr>
      <w:r>
        <w:t>číslo Objednávky Kupujícíh</w:t>
      </w:r>
      <w:r w:rsidR="002264BE">
        <w:t>o</w:t>
      </w:r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177BA">
      <w:pPr>
        <w:pStyle w:val="Psmenoodstavce"/>
        <w:ind w:left="1985" w:hanging="5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29B8B47A" w:rsidR="000C1FD1" w:rsidRDefault="000C1FD1" w:rsidP="000C1FD1">
      <w:pPr>
        <w:pStyle w:val="Psmenoodstavce"/>
      </w:pPr>
      <w:r w:rsidRPr="00512AB9">
        <w:t xml:space="preserve">údaje o kódech </w:t>
      </w:r>
      <w:r w:rsidR="0064083C">
        <w:t>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lastRenderedPageBreak/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3F18CB79" w:rsidR="00EE6269" w:rsidRDefault="00EE6269" w:rsidP="000C1FD1">
      <w:pPr>
        <w:rPr>
          <w:b/>
          <w:bCs/>
        </w:rPr>
      </w:pPr>
    </w:p>
    <w:p w14:paraId="639B76FF" w14:textId="77777777" w:rsidR="00B74012" w:rsidRDefault="00B74012" w:rsidP="000C1FD1">
      <w:pPr>
        <w:rPr>
          <w:b/>
          <w:bCs/>
        </w:rPr>
      </w:pPr>
    </w:p>
    <w:p w14:paraId="3542B434" w14:textId="77777777" w:rsidR="004E0E38" w:rsidRDefault="004E0E38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336F2F8F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871643">
        <w:rPr>
          <w:b/>
        </w:rPr>
        <w:t xml:space="preserve">minimálně </w:t>
      </w:r>
      <w:r w:rsidR="00A84B0E">
        <w:rPr>
          <w:b/>
        </w:rPr>
        <w:t>12</w:t>
      </w:r>
      <w:r w:rsidR="00AB1DA4" w:rsidRPr="00871643">
        <w:rPr>
          <w:b/>
        </w:rPr>
        <w:t xml:space="preserve"> měsíců</w:t>
      </w:r>
      <w:r w:rsidR="004C54DD">
        <w:rPr>
          <w:b/>
        </w:rPr>
        <w:t xml:space="preserve"> </w:t>
      </w:r>
      <w:r w:rsidR="004C54DD" w:rsidRPr="004C54DD">
        <w:t>(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D2A588C" w14:textId="278EA3BA" w:rsidR="00A16446" w:rsidRDefault="0070760F" w:rsidP="003F3D57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3BF43353" w14:textId="3DB59585" w:rsidR="00A16446" w:rsidRDefault="00A16446" w:rsidP="0024170C">
      <w:pPr>
        <w:pStyle w:val="Odstavecsmlouvy"/>
        <w:numPr>
          <w:ilvl w:val="0"/>
          <w:numId w:val="0"/>
        </w:numPr>
        <w:ind w:left="567"/>
      </w:pPr>
    </w:p>
    <w:p w14:paraId="4C8896C1" w14:textId="6E4E7FA2" w:rsidR="00264406" w:rsidRDefault="00264406" w:rsidP="00F80C4A">
      <w:pPr>
        <w:pStyle w:val="Odstavecsmlouvy"/>
        <w:numPr>
          <w:ilvl w:val="0"/>
          <w:numId w:val="0"/>
        </w:numPr>
      </w:pPr>
    </w:p>
    <w:p w14:paraId="5E310D6B" w14:textId="77777777" w:rsidR="00B74012" w:rsidRDefault="00B74012" w:rsidP="00F80C4A">
      <w:pPr>
        <w:pStyle w:val="Odstavecsmlouvy"/>
        <w:numPr>
          <w:ilvl w:val="0"/>
          <w:numId w:val="0"/>
        </w:numPr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25BF3C56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>rodávajícího s vyřízením reklamace</w:t>
      </w:r>
      <w:r w:rsidR="005F4F7B">
        <w:t xml:space="preserve">, </w:t>
      </w:r>
      <w:r w:rsidR="005F4F7B" w:rsidRPr="006D3204">
        <w:t>nebo se splněním povinnosti informovat Kupujícího o změně dle článku</w:t>
      </w:r>
      <w:r w:rsidR="0010182D" w:rsidRPr="006D3204">
        <w:t xml:space="preserve"> IV.13</w:t>
      </w:r>
      <w:r w:rsidRPr="006D3204">
        <w:t xml:space="preserve"> </w:t>
      </w:r>
      <w:r w:rsidRPr="009E08FE">
        <w:t xml:space="preserve">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5028C2B4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6DFA735F" w14:textId="77777777" w:rsidR="004C54DD" w:rsidRDefault="004C54DD" w:rsidP="004C54DD">
      <w:pPr>
        <w:pStyle w:val="Odstavecsmlouvy"/>
        <w:numPr>
          <w:ilvl w:val="0"/>
          <w:numId w:val="0"/>
        </w:numPr>
        <w:ind w:left="567"/>
      </w:pPr>
    </w:p>
    <w:p w14:paraId="1ADCBA95" w14:textId="77777777" w:rsidR="00B74012" w:rsidRDefault="00B74012" w:rsidP="004C54DD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494788E1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731F1">
        <w:rPr>
          <w:b/>
        </w:rPr>
        <w:t>dnem 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6D3204">
        <w:rPr>
          <w:b/>
          <w:u w:val="single"/>
        </w:rPr>
        <w:t xml:space="preserve">na </w:t>
      </w:r>
      <w:r w:rsidR="006D3204" w:rsidRPr="006D3204">
        <w:rPr>
          <w:b/>
          <w:u w:val="single"/>
        </w:rPr>
        <w:t>4 roky</w:t>
      </w:r>
      <w:r w:rsidR="000F6A6D" w:rsidRPr="006D3204">
        <w:rPr>
          <w:b/>
          <w:u w:val="single"/>
        </w:rPr>
        <w:t>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lastRenderedPageBreak/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0FFB380C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3A1E8FF" w14:textId="77777777" w:rsidR="0042541D" w:rsidRDefault="0042541D" w:rsidP="0042541D">
      <w:pPr>
        <w:pStyle w:val="Odstavecsmlouvy"/>
        <w:numPr>
          <w:ilvl w:val="0"/>
          <w:numId w:val="0"/>
        </w:numPr>
        <w:ind w:left="567"/>
      </w:pPr>
    </w:p>
    <w:p w14:paraId="4618C9D2" w14:textId="74AFFA1F" w:rsidR="0042541D" w:rsidRDefault="0042541D" w:rsidP="0042541D">
      <w:pPr>
        <w:pStyle w:val="Odstavecsmlouvy"/>
      </w:pPr>
      <w:r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 </w:t>
      </w:r>
      <w:proofErr w:type="spellStart"/>
      <w:r>
        <w:t>li</w:t>
      </w:r>
      <w:proofErr w:type="spellEnd"/>
      <w:r>
        <w:t xml:space="preserve">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obdrží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E52CFFC" w14:textId="67067601" w:rsidR="007E225D" w:rsidRDefault="007E416F" w:rsidP="00A16446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4E98A7E" w14:textId="279CD9FB" w:rsidR="00C3785C" w:rsidRDefault="00726B26" w:rsidP="00410325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235D7933" w14:textId="77777777" w:rsidR="00C3785C" w:rsidRDefault="00C3785C" w:rsidP="009233F4">
      <w:pPr>
        <w:pStyle w:val="Odstavecsmlouvy"/>
        <w:numPr>
          <w:ilvl w:val="0"/>
          <w:numId w:val="0"/>
        </w:numPr>
        <w:ind w:left="567"/>
      </w:pPr>
    </w:p>
    <w:p w14:paraId="5FCCDFF1" w14:textId="77777777" w:rsidR="006D6716" w:rsidRPr="001D71E3" w:rsidRDefault="006D6716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65E46293" w:rsidR="004A45B0" w:rsidRPr="00D722DC" w:rsidRDefault="004A45B0" w:rsidP="00B7401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lastRenderedPageBreak/>
              <w:t>V</w:t>
            </w:r>
            <w:r w:rsidR="00997A4A">
              <w:rPr>
                <w:sz w:val="22"/>
                <w:szCs w:val="22"/>
              </w:rPr>
              <w:t> </w:t>
            </w:r>
            <w:r w:rsidR="00997A4A" w:rsidRPr="00410325">
              <w:rPr>
                <w:sz w:val="22"/>
                <w:szCs w:val="22"/>
              </w:rPr>
              <w:t xml:space="preserve">Prostějově </w:t>
            </w:r>
            <w:r w:rsidRPr="00D722DC">
              <w:rPr>
                <w:sz w:val="22"/>
                <w:szCs w:val="22"/>
              </w:rPr>
              <w:t>dne</w:t>
            </w:r>
            <w:r w:rsidR="00B740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410325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10C2F1B5" w:rsidR="004A45B0" w:rsidRPr="00410325" w:rsidRDefault="00997A4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26E0EE3E" w14:textId="77777777" w:rsidR="00F949EA" w:rsidRDefault="00F949E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F949EA">
              <w:rPr>
                <w:sz w:val="22"/>
                <w:szCs w:val="22"/>
              </w:rPr>
              <w:t xml:space="preserve">Tomáš </w:t>
            </w:r>
            <w:proofErr w:type="spellStart"/>
            <w:r w:rsidRPr="00F949EA">
              <w:rPr>
                <w:sz w:val="22"/>
                <w:szCs w:val="22"/>
              </w:rPr>
              <w:t>Lyžbicki</w:t>
            </w:r>
            <w:proofErr w:type="spellEnd"/>
            <w:r w:rsidRPr="00F949EA">
              <w:rPr>
                <w:sz w:val="22"/>
                <w:szCs w:val="22"/>
              </w:rPr>
              <w:t xml:space="preserve">, MBA </w:t>
            </w:r>
          </w:p>
          <w:p w14:paraId="6269F717" w14:textId="1F7C9207" w:rsidR="00997A4A" w:rsidRPr="00410325" w:rsidRDefault="00F949EA" w:rsidP="00F949E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24D85" w:rsidRPr="00410325">
              <w:rPr>
                <w:sz w:val="22"/>
                <w:szCs w:val="22"/>
              </w:rPr>
              <w:t xml:space="preserve">předseda představenstva </w:t>
            </w:r>
            <w:r w:rsidR="00997A4A" w:rsidRPr="004103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410325">
              <w:rPr>
                <w:b/>
                <w:sz w:val="22"/>
                <w:szCs w:val="22"/>
              </w:rPr>
              <w:t>Fakultní nemocnice Brno</w:t>
            </w:r>
          </w:p>
          <w:p w14:paraId="74622897" w14:textId="77777777" w:rsidR="00C3785C" w:rsidRPr="00410325" w:rsidRDefault="00900439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MUDr. </w:t>
            </w:r>
            <w:r w:rsidR="00C3785C" w:rsidRPr="00410325">
              <w:rPr>
                <w:sz w:val="22"/>
                <w:szCs w:val="22"/>
              </w:rPr>
              <w:t>Ivo Rovný, MBA</w:t>
            </w:r>
            <w:r w:rsidR="004A45B0" w:rsidRPr="00410325">
              <w:rPr>
                <w:sz w:val="22"/>
                <w:szCs w:val="22"/>
              </w:rPr>
              <w:t xml:space="preserve"> </w:t>
            </w:r>
          </w:p>
          <w:p w14:paraId="2CBE1822" w14:textId="34672779" w:rsidR="004A45B0" w:rsidRPr="00410325" w:rsidRDefault="004A45B0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ředitel</w:t>
            </w:r>
          </w:p>
        </w:tc>
      </w:tr>
    </w:tbl>
    <w:p w14:paraId="77509B94" w14:textId="77777777" w:rsidR="000729CF" w:rsidRPr="00410325" w:rsidRDefault="000729CF" w:rsidP="000729CF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</w:tblGrid>
      <w:tr w:rsidR="00410325" w:rsidRPr="00410325" w14:paraId="2724F5F0" w14:textId="77777777" w:rsidTr="009F326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38B9B9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DDD8AD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10325" w:rsidRPr="00D722DC" w14:paraId="55AB2B99" w14:textId="77777777" w:rsidTr="009F3265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FFBADC3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0545E6D0" w14:textId="632FB768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Martin </w:t>
            </w:r>
            <w:proofErr w:type="spellStart"/>
            <w:r w:rsidRPr="00410325">
              <w:rPr>
                <w:sz w:val="22"/>
                <w:szCs w:val="22"/>
              </w:rPr>
              <w:t>Mendrek</w:t>
            </w:r>
            <w:proofErr w:type="spellEnd"/>
          </w:p>
          <w:p w14:paraId="65B46C49" w14:textId="1834C78B" w:rsidR="00410325" w:rsidRPr="00D722DC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člen představenstva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22BE6225" w14:textId="23645063" w:rsidR="0094101B" w:rsidRDefault="0094101B" w:rsidP="0094101B">
      <w:pPr>
        <w:ind w:left="3540" w:firstLine="708"/>
        <w:rPr>
          <w:b/>
        </w:rPr>
        <w:sectPr w:rsidR="0094101B" w:rsidSect="00D93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A6D7B04" w14:textId="35FFC61B" w:rsidR="007E416F" w:rsidRPr="000729CF" w:rsidRDefault="0094101B" w:rsidP="0094101B">
      <w:pPr>
        <w:ind w:left="3540" w:firstLine="708"/>
        <w:rPr>
          <w:b/>
        </w:rPr>
      </w:pPr>
      <w:r>
        <w:rPr>
          <w:b/>
        </w:rPr>
        <w:lastRenderedPageBreak/>
        <w:t xml:space="preserve">                                  </w:t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F0D9F3F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2CE0B110" w14:textId="4299885F" w:rsidR="00896745" w:rsidRDefault="00896745" w:rsidP="00896745">
      <w:pPr>
        <w:rPr>
          <w:b/>
        </w:rPr>
      </w:pPr>
    </w:p>
    <w:p w14:paraId="7D029ABB" w14:textId="4E62158C" w:rsidR="0094101B" w:rsidRDefault="0094101B" w:rsidP="00023008"/>
    <w:p w14:paraId="07AD404F" w14:textId="32EB83BB" w:rsidR="00224D85" w:rsidRDefault="00224D85" w:rsidP="00023008">
      <w:pPr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"C:\\Users\\vertom005\\AppData\\Local\\Microsoft\\Windows\\INetCache\\Content.Outlook\\EUVJ31FG\\Kopie - Příloha č. 1 ZD - Tabulky pro výpočet nabídkové ceny_PFD.xlsx" "Cenová kalkulace!R3C1:R8C16" \a \f 4 \h  \* MERGEFORMAT </w:instrText>
      </w:r>
      <w:r>
        <w:fldChar w:fldCharType="separate"/>
      </w:r>
    </w:p>
    <w:p w14:paraId="67139B4D" w14:textId="055A299B" w:rsidR="0094101B" w:rsidRDefault="00224D85" w:rsidP="00023008">
      <w:r>
        <w:fldChar w:fldCharType="end"/>
      </w:r>
    </w:p>
    <w:tbl>
      <w:tblPr>
        <w:tblpPr w:leftFromText="141" w:rightFromText="141" w:vertAnchor="text" w:horzAnchor="margin" w:tblpXSpec="center" w:tblpY="-130"/>
        <w:tblW w:w="153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731"/>
        <w:gridCol w:w="1132"/>
        <w:gridCol w:w="843"/>
        <w:gridCol w:w="671"/>
        <w:gridCol w:w="1092"/>
        <w:gridCol w:w="697"/>
        <w:gridCol w:w="849"/>
        <w:gridCol w:w="734"/>
        <w:gridCol w:w="812"/>
        <w:gridCol w:w="1001"/>
        <w:gridCol w:w="1769"/>
        <w:gridCol w:w="1000"/>
        <w:gridCol w:w="1769"/>
        <w:gridCol w:w="494"/>
        <w:gridCol w:w="1072"/>
      </w:tblGrid>
      <w:tr w:rsidR="002F21A2" w:rsidRPr="002F21A2" w14:paraId="11A1FBA1" w14:textId="77777777" w:rsidTr="002F21A2">
        <w:trPr>
          <w:trHeight w:val="436"/>
        </w:trPr>
        <w:tc>
          <w:tcPr>
            <w:tcW w:w="1535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FEAFF"/>
            <w:noWrap/>
            <w:vAlign w:val="center"/>
            <w:hideMark/>
          </w:tcPr>
          <w:p w14:paraId="4CB3326A" w14:textId="77777777" w:rsidR="002F21A2" w:rsidRPr="002F21A2" w:rsidRDefault="002F21A2" w:rsidP="002F21A2">
            <w:pPr>
              <w:spacing w:line="240" w:lineRule="auto"/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2F21A2">
              <w:rPr>
                <w:b/>
                <w:bCs/>
                <w:sz w:val="28"/>
                <w:szCs w:val="28"/>
              </w:rPr>
              <w:t>ČÁST 1 Alkoholový dezinfekční přípravek na kůži bezbarvý</w:t>
            </w:r>
          </w:p>
        </w:tc>
      </w:tr>
      <w:tr w:rsidR="002F21A2" w:rsidRPr="002F21A2" w14:paraId="62649B77" w14:textId="77777777" w:rsidTr="002F21A2">
        <w:trPr>
          <w:trHeight w:val="11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147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6" w:name="RANGE!A4:P8"/>
            <w:r w:rsidRPr="002F21A2">
              <w:rPr>
                <w:b/>
                <w:bCs/>
                <w:sz w:val="16"/>
                <w:szCs w:val="16"/>
              </w:rPr>
              <w:t>Přípravek č.</w:t>
            </w:r>
            <w:bookmarkEnd w:id="6"/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6B4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CEC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Účinná látka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927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Požadované balení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AD5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Nabízené balení v litrech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2CE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 xml:space="preserve">Cena za balení v </w:t>
            </w:r>
            <w:proofErr w:type="spellStart"/>
            <w:r w:rsidRPr="002F21A2">
              <w:rPr>
                <w:b/>
                <w:bCs/>
                <w:sz w:val="16"/>
                <w:szCs w:val="16"/>
              </w:rPr>
              <w:t>lirech</w:t>
            </w:r>
            <w:proofErr w:type="spellEnd"/>
            <w:r w:rsidRPr="002F21A2">
              <w:rPr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FDD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Minimální spektrum účinnosti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8FC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Nabízená koncentrace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7D3A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Maximální expozice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DF6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 xml:space="preserve">Cena za 1 </w:t>
            </w:r>
            <w:proofErr w:type="gramStart"/>
            <w:r w:rsidRPr="002F21A2">
              <w:rPr>
                <w:b/>
                <w:bCs/>
                <w:sz w:val="16"/>
                <w:szCs w:val="16"/>
              </w:rPr>
              <w:t>l  neředěného</w:t>
            </w:r>
            <w:proofErr w:type="gramEnd"/>
            <w:r w:rsidRPr="002F21A2">
              <w:rPr>
                <w:b/>
                <w:bCs/>
                <w:sz w:val="16"/>
                <w:szCs w:val="16"/>
              </w:rPr>
              <w:t xml:space="preserve"> roztoku bez DPH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037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Předpokládaná spotřeba v litrech za 12 měsíců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A27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Celkem za předpokládanou spotřebu litrů za 12 měsíců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82C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Předpokládaná spotřeba v litrech za 48 měsíců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0D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Celkem za předpokládanou spotřebu litrů za 48 měsíců bez DPH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268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Sazba DPH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7906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Celkem za předpokládanou spotřebu litrů za 48 měsíců vč. DPH</w:t>
            </w:r>
          </w:p>
        </w:tc>
      </w:tr>
      <w:tr w:rsidR="002F21A2" w:rsidRPr="002F21A2" w14:paraId="046A139C" w14:textId="77777777" w:rsidTr="002F21A2">
        <w:trPr>
          <w:trHeight w:val="466"/>
        </w:trPr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1E97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B5216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F21A2">
              <w:rPr>
                <w:sz w:val="16"/>
                <w:szCs w:val="16"/>
              </w:rPr>
              <w:t>Septoderm</w:t>
            </w:r>
            <w:proofErr w:type="spellEnd"/>
            <w:r w:rsidRPr="002F21A2">
              <w:rPr>
                <w:sz w:val="16"/>
                <w:szCs w:val="16"/>
              </w:rPr>
              <w:t xml:space="preserve"> </w:t>
            </w:r>
            <w:proofErr w:type="spellStart"/>
            <w:r w:rsidRPr="002F21A2">
              <w:rPr>
                <w:sz w:val="16"/>
                <w:szCs w:val="16"/>
              </w:rPr>
              <w:t>spray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78D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alkohol/kombinace alkoholů s možnou další účinnou látkou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39F4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0,25-0,35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7B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0,25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790CF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45,00 Kč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0ED2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A(B)(</w:t>
            </w:r>
            <w:proofErr w:type="gramStart"/>
            <w:r w:rsidRPr="002F21A2">
              <w:rPr>
                <w:sz w:val="16"/>
                <w:szCs w:val="16"/>
              </w:rPr>
              <w:t>V)T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45BEA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100%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0BD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před vpichem 30</w:t>
            </w:r>
            <w:proofErr w:type="gramStart"/>
            <w:r w:rsidRPr="002F21A2">
              <w:rPr>
                <w:sz w:val="16"/>
                <w:szCs w:val="16"/>
              </w:rPr>
              <w:t xml:space="preserve">s,   </w:t>
            </w:r>
            <w:proofErr w:type="gramEnd"/>
            <w:r w:rsidRPr="002F21A2">
              <w:rPr>
                <w:sz w:val="16"/>
                <w:szCs w:val="16"/>
              </w:rPr>
              <w:t xml:space="preserve">    do 3 min (pro kůži s vysokým výskytem mazových žláz)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43F9B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180,00 Kč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8FB5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F373C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216 000,00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6D195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4 800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4AB3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864 000,00 Kč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57B62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21%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7B4DF2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181 440,00 Kč</w:t>
            </w:r>
          </w:p>
        </w:tc>
      </w:tr>
      <w:tr w:rsidR="002F21A2" w:rsidRPr="002F21A2" w14:paraId="6E7269FD" w14:textId="77777777" w:rsidTr="002F21A2">
        <w:trPr>
          <w:trHeight w:val="466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7F0137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E880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4CEE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13A4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18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5DACF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116,00 Kč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812D5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77B33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E3D4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0A567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116,00 Kč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642A6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B92A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5 800,00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75873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9059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23 200,00 Kč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8A5E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21%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11A1A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4 872,00 Kč</w:t>
            </w:r>
          </w:p>
        </w:tc>
      </w:tr>
      <w:tr w:rsidR="002F21A2" w:rsidRPr="002F21A2" w14:paraId="7ECAC87E" w14:textId="77777777" w:rsidTr="002F21A2">
        <w:trPr>
          <w:trHeight w:val="466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58FA4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6813D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B5E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80B1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5,00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FFF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26E3C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21A2">
              <w:rPr>
                <w:b/>
                <w:bCs/>
                <w:sz w:val="16"/>
                <w:szCs w:val="16"/>
              </w:rPr>
              <w:t>418,00 Kč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BAA0B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7555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0DEDD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2A76B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83,60 Kč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D7342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B9E71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16 720,00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A2B5E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E9894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66 880,00 Kč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04108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21%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7B8C86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14 044,80 Kč</w:t>
            </w:r>
          </w:p>
        </w:tc>
      </w:tr>
      <w:tr w:rsidR="002F21A2" w:rsidRPr="002F21A2" w14:paraId="4250F24D" w14:textId="77777777" w:rsidTr="002F21A2">
        <w:trPr>
          <w:trHeight w:val="466"/>
        </w:trPr>
        <w:tc>
          <w:tcPr>
            <w:tcW w:w="92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FEAFF"/>
            <w:noWrap/>
            <w:vAlign w:val="center"/>
            <w:hideMark/>
          </w:tcPr>
          <w:p w14:paraId="447A857B" w14:textId="77777777" w:rsidR="002F21A2" w:rsidRPr="002F21A2" w:rsidRDefault="002F21A2" w:rsidP="002F21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F21A2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B5F9554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238 520,00 Kč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FEAFF"/>
            <w:noWrap/>
            <w:vAlign w:val="center"/>
            <w:hideMark/>
          </w:tcPr>
          <w:p w14:paraId="0CF08299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FEAFF"/>
            <w:noWrap/>
            <w:vAlign w:val="center"/>
            <w:hideMark/>
          </w:tcPr>
          <w:p w14:paraId="01CEDB36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954 080,00 Kč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C5FDC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FEAFF"/>
            <w:noWrap/>
            <w:vAlign w:val="center"/>
            <w:hideMark/>
          </w:tcPr>
          <w:p w14:paraId="10B67270" w14:textId="77777777" w:rsidR="002F21A2" w:rsidRPr="002F21A2" w:rsidRDefault="002F21A2" w:rsidP="002F21A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F21A2">
              <w:rPr>
                <w:sz w:val="16"/>
                <w:szCs w:val="16"/>
              </w:rPr>
              <w:t>200 356,80 Kč</w:t>
            </w:r>
          </w:p>
        </w:tc>
      </w:tr>
    </w:tbl>
    <w:p w14:paraId="23DA6A32" w14:textId="77777777" w:rsidR="0094101B" w:rsidRDefault="0094101B" w:rsidP="00023008"/>
    <w:p w14:paraId="2C9E6A5F" w14:textId="77777777" w:rsidR="002F21A2" w:rsidRDefault="002F21A2" w:rsidP="00023008"/>
    <w:p w14:paraId="546397E6" w14:textId="77777777" w:rsidR="002F21A2" w:rsidRDefault="002F21A2" w:rsidP="00023008"/>
    <w:p w14:paraId="7AE7BA1A" w14:textId="77777777" w:rsidR="002F21A2" w:rsidRDefault="002F21A2" w:rsidP="00023008"/>
    <w:p w14:paraId="26DB8151" w14:textId="77777777" w:rsidR="002F21A2" w:rsidRDefault="002F21A2" w:rsidP="00023008"/>
    <w:p w14:paraId="4DFCBC4B" w14:textId="77777777" w:rsidR="002F21A2" w:rsidRDefault="002F21A2" w:rsidP="00023008"/>
    <w:p w14:paraId="054A2E8B" w14:textId="77777777" w:rsidR="0094101B" w:rsidRDefault="0094101B" w:rsidP="00023008"/>
    <w:p w14:paraId="2BC40078" w14:textId="77777777" w:rsidR="0094101B" w:rsidRDefault="0094101B" w:rsidP="00023008"/>
    <w:p w14:paraId="614CD266" w14:textId="77777777" w:rsidR="00AA34DF" w:rsidRDefault="00AA34DF" w:rsidP="00023008"/>
    <w:sectPr w:rsidR="00AA34DF" w:rsidSect="0094101B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D807" w14:textId="77777777" w:rsidR="00A33E29" w:rsidRDefault="00A33E29" w:rsidP="006337DC">
      <w:r>
        <w:separator/>
      </w:r>
    </w:p>
  </w:endnote>
  <w:endnote w:type="continuationSeparator" w:id="0">
    <w:p w14:paraId="65E1A525" w14:textId="77777777" w:rsidR="00A33E29" w:rsidRDefault="00A33E2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3953" w14:textId="77777777" w:rsidR="007C03CD" w:rsidRDefault="007C03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C852" w14:textId="10B90CA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F21A2">
      <w:rPr>
        <w:noProof/>
        <w:sz w:val="20"/>
        <w:szCs w:val="20"/>
      </w:rPr>
      <w:t>11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4898" w14:textId="213CAEA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1A2">
      <w:rPr>
        <w:noProof/>
      </w:rPr>
      <w:t>10</w:t>
    </w:r>
    <w:r>
      <w:fldChar w:fldCharType="end"/>
    </w:r>
  </w:p>
  <w:p w14:paraId="31349B5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AEEA" w14:textId="77777777" w:rsidR="00A33E29" w:rsidRDefault="00A33E29" w:rsidP="006337DC">
      <w:r>
        <w:separator/>
      </w:r>
    </w:p>
  </w:footnote>
  <w:footnote w:type="continuationSeparator" w:id="0">
    <w:p w14:paraId="18EB7A56" w14:textId="77777777" w:rsidR="00A33E29" w:rsidRDefault="00A33E2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0CF2" w14:textId="77777777" w:rsidR="007C03CD" w:rsidRDefault="007C03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6E93" w14:textId="77777777" w:rsidR="007C03CD" w:rsidRDefault="007C03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3EA7" w14:textId="3ABC2F2B" w:rsidR="007C03CD" w:rsidRDefault="007C03CD" w:rsidP="007C03CD">
    <w:pPr>
      <w:pStyle w:val="Zhlav"/>
      <w:jc w:val="right"/>
    </w:pPr>
    <w:r w:rsidRPr="007C03CD">
      <w:t>KP-2338-</w:t>
    </w:r>
    <w:proofErr w:type="gramStart"/>
    <w:r w:rsidRPr="007C03CD">
      <w:t>2024-Mc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5151"/>
    <w:multiLevelType w:val="hybridMultilevel"/>
    <w:tmpl w:val="98DE1660"/>
    <w:lvl w:ilvl="0" w:tplc="1988D72E">
      <w:start w:val="1"/>
      <w:numFmt w:val="decimal"/>
      <w:lvlText w:val="IX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2D463CEE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7882331">
    <w:abstractNumId w:val="18"/>
  </w:num>
  <w:num w:numId="2" w16cid:durableId="606736825">
    <w:abstractNumId w:val="10"/>
  </w:num>
  <w:num w:numId="3" w16cid:durableId="289018518">
    <w:abstractNumId w:val="0"/>
  </w:num>
  <w:num w:numId="4" w16cid:durableId="134951425">
    <w:abstractNumId w:val="13"/>
  </w:num>
  <w:num w:numId="5" w16cid:durableId="1654095345">
    <w:abstractNumId w:val="5"/>
  </w:num>
  <w:num w:numId="6" w16cid:durableId="1815675698">
    <w:abstractNumId w:val="14"/>
  </w:num>
  <w:num w:numId="7" w16cid:durableId="1610744113">
    <w:abstractNumId w:val="10"/>
  </w:num>
  <w:num w:numId="8" w16cid:durableId="428426300">
    <w:abstractNumId w:val="10"/>
  </w:num>
  <w:num w:numId="9" w16cid:durableId="1343820746">
    <w:abstractNumId w:val="10"/>
  </w:num>
  <w:num w:numId="10" w16cid:durableId="82999523">
    <w:abstractNumId w:val="10"/>
  </w:num>
  <w:num w:numId="11" w16cid:durableId="1320772955">
    <w:abstractNumId w:val="9"/>
  </w:num>
  <w:num w:numId="12" w16cid:durableId="1020352107">
    <w:abstractNumId w:val="3"/>
  </w:num>
  <w:num w:numId="13" w16cid:durableId="1156797357">
    <w:abstractNumId w:val="17"/>
  </w:num>
  <w:num w:numId="14" w16cid:durableId="282421860">
    <w:abstractNumId w:val="2"/>
  </w:num>
  <w:num w:numId="15" w16cid:durableId="92483671">
    <w:abstractNumId w:val="19"/>
  </w:num>
  <w:num w:numId="16" w16cid:durableId="2048597736">
    <w:abstractNumId w:val="6"/>
  </w:num>
  <w:num w:numId="17" w16cid:durableId="2062245412">
    <w:abstractNumId w:val="15"/>
  </w:num>
  <w:num w:numId="18" w16cid:durableId="322467769">
    <w:abstractNumId w:val="7"/>
  </w:num>
  <w:num w:numId="19" w16cid:durableId="679045409">
    <w:abstractNumId w:val="11"/>
  </w:num>
  <w:num w:numId="20" w16cid:durableId="1415401046">
    <w:abstractNumId w:val="12"/>
  </w:num>
  <w:num w:numId="21" w16cid:durableId="1487428881">
    <w:abstractNumId w:val="4"/>
  </w:num>
  <w:num w:numId="22" w16cid:durableId="1481074187">
    <w:abstractNumId w:val="16"/>
  </w:num>
  <w:num w:numId="23" w16cid:durableId="365327570">
    <w:abstractNumId w:val="1"/>
  </w:num>
  <w:num w:numId="24" w16cid:durableId="806705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448008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C1"/>
    <w:rsid w:val="00002517"/>
    <w:rsid w:val="000056DF"/>
    <w:rsid w:val="00011003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764CD"/>
    <w:rsid w:val="00080EEB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0C5E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43"/>
    <w:rsid w:val="000F5076"/>
    <w:rsid w:val="000F5D02"/>
    <w:rsid w:val="000F6286"/>
    <w:rsid w:val="000F6A6D"/>
    <w:rsid w:val="0010182D"/>
    <w:rsid w:val="00105B0E"/>
    <w:rsid w:val="00106A83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31F1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0791"/>
    <w:rsid w:val="001E166C"/>
    <w:rsid w:val="001E35DE"/>
    <w:rsid w:val="001E7C33"/>
    <w:rsid w:val="001E7C77"/>
    <w:rsid w:val="001F1EC9"/>
    <w:rsid w:val="001F4AA6"/>
    <w:rsid w:val="001F4BC3"/>
    <w:rsid w:val="001F7832"/>
    <w:rsid w:val="00201DB5"/>
    <w:rsid w:val="00204CCD"/>
    <w:rsid w:val="00205191"/>
    <w:rsid w:val="002110F3"/>
    <w:rsid w:val="00211633"/>
    <w:rsid w:val="00211743"/>
    <w:rsid w:val="00217B9D"/>
    <w:rsid w:val="00224D85"/>
    <w:rsid w:val="002264BE"/>
    <w:rsid w:val="00231075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64406"/>
    <w:rsid w:val="00266C80"/>
    <w:rsid w:val="002747EB"/>
    <w:rsid w:val="00284DD8"/>
    <w:rsid w:val="00286EBA"/>
    <w:rsid w:val="00286F30"/>
    <w:rsid w:val="0029236A"/>
    <w:rsid w:val="002959B0"/>
    <w:rsid w:val="00297F3A"/>
    <w:rsid w:val="002A5831"/>
    <w:rsid w:val="002A5B87"/>
    <w:rsid w:val="002B1098"/>
    <w:rsid w:val="002B68E8"/>
    <w:rsid w:val="002C0743"/>
    <w:rsid w:val="002C243A"/>
    <w:rsid w:val="002C69B1"/>
    <w:rsid w:val="002D0792"/>
    <w:rsid w:val="002D48A0"/>
    <w:rsid w:val="002D5641"/>
    <w:rsid w:val="002D7B98"/>
    <w:rsid w:val="002E11BB"/>
    <w:rsid w:val="002E1C03"/>
    <w:rsid w:val="002E1D0C"/>
    <w:rsid w:val="002E4668"/>
    <w:rsid w:val="002E4D60"/>
    <w:rsid w:val="002E5DF3"/>
    <w:rsid w:val="002E5DFE"/>
    <w:rsid w:val="002F1565"/>
    <w:rsid w:val="002F21A2"/>
    <w:rsid w:val="002F4739"/>
    <w:rsid w:val="002F7690"/>
    <w:rsid w:val="0030119B"/>
    <w:rsid w:val="0030437C"/>
    <w:rsid w:val="003109AA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475AB"/>
    <w:rsid w:val="00351754"/>
    <w:rsid w:val="00352CD1"/>
    <w:rsid w:val="003571AB"/>
    <w:rsid w:val="003603C6"/>
    <w:rsid w:val="003604C8"/>
    <w:rsid w:val="00371230"/>
    <w:rsid w:val="0037595E"/>
    <w:rsid w:val="0037661A"/>
    <w:rsid w:val="00381055"/>
    <w:rsid w:val="00384256"/>
    <w:rsid w:val="003874CE"/>
    <w:rsid w:val="00390468"/>
    <w:rsid w:val="003962B6"/>
    <w:rsid w:val="003A1C2B"/>
    <w:rsid w:val="003A4E43"/>
    <w:rsid w:val="003A6ED7"/>
    <w:rsid w:val="003B1919"/>
    <w:rsid w:val="003B2E5D"/>
    <w:rsid w:val="003B7B17"/>
    <w:rsid w:val="003C1848"/>
    <w:rsid w:val="003C2A7D"/>
    <w:rsid w:val="003D0D8B"/>
    <w:rsid w:val="003D3584"/>
    <w:rsid w:val="003E07C3"/>
    <w:rsid w:val="003E1703"/>
    <w:rsid w:val="003E1948"/>
    <w:rsid w:val="003E311E"/>
    <w:rsid w:val="003E3823"/>
    <w:rsid w:val="003E5B53"/>
    <w:rsid w:val="003F3D57"/>
    <w:rsid w:val="003F567B"/>
    <w:rsid w:val="003F5CF4"/>
    <w:rsid w:val="00403A28"/>
    <w:rsid w:val="0040619A"/>
    <w:rsid w:val="004066A0"/>
    <w:rsid w:val="00410325"/>
    <w:rsid w:val="00411036"/>
    <w:rsid w:val="0041220C"/>
    <w:rsid w:val="00414ABF"/>
    <w:rsid w:val="00416208"/>
    <w:rsid w:val="004165DB"/>
    <w:rsid w:val="00422172"/>
    <w:rsid w:val="0042523B"/>
    <w:rsid w:val="0042541D"/>
    <w:rsid w:val="00430BDA"/>
    <w:rsid w:val="00431D7D"/>
    <w:rsid w:val="00432606"/>
    <w:rsid w:val="00434D5D"/>
    <w:rsid w:val="00437306"/>
    <w:rsid w:val="00437F42"/>
    <w:rsid w:val="00442F74"/>
    <w:rsid w:val="00451B43"/>
    <w:rsid w:val="00453ACB"/>
    <w:rsid w:val="004601D0"/>
    <w:rsid w:val="0046392A"/>
    <w:rsid w:val="00465985"/>
    <w:rsid w:val="004672FC"/>
    <w:rsid w:val="004706BF"/>
    <w:rsid w:val="00473197"/>
    <w:rsid w:val="004739E2"/>
    <w:rsid w:val="004756DA"/>
    <w:rsid w:val="00483EB9"/>
    <w:rsid w:val="00490008"/>
    <w:rsid w:val="004924D3"/>
    <w:rsid w:val="00492818"/>
    <w:rsid w:val="00494744"/>
    <w:rsid w:val="004953EF"/>
    <w:rsid w:val="004A45B0"/>
    <w:rsid w:val="004A7901"/>
    <w:rsid w:val="004B1019"/>
    <w:rsid w:val="004C2C98"/>
    <w:rsid w:val="004C54DD"/>
    <w:rsid w:val="004C5CDD"/>
    <w:rsid w:val="004C679C"/>
    <w:rsid w:val="004D4C0D"/>
    <w:rsid w:val="004D6F25"/>
    <w:rsid w:val="004D7A85"/>
    <w:rsid w:val="004E0E38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16C9"/>
    <w:rsid w:val="00535F96"/>
    <w:rsid w:val="00542C4D"/>
    <w:rsid w:val="00544FA6"/>
    <w:rsid w:val="005452F8"/>
    <w:rsid w:val="0055025A"/>
    <w:rsid w:val="00557002"/>
    <w:rsid w:val="0056075A"/>
    <w:rsid w:val="00560C64"/>
    <w:rsid w:val="0057386D"/>
    <w:rsid w:val="00575F84"/>
    <w:rsid w:val="00580CAE"/>
    <w:rsid w:val="00580E30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55AA"/>
    <w:rsid w:val="005B65BB"/>
    <w:rsid w:val="005C340C"/>
    <w:rsid w:val="005C3A0B"/>
    <w:rsid w:val="005D13E0"/>
    <w:rsid w:val="005D1464"/>
    <w:rsid w:val="005D19EA"/>
    <w:rsid w:val="005D630E"/>
    <w:rsid w:val="005D7427"/>
    <w:rsid w:val="005E0BB5"/>
    <w:rsid w:val="005E1539"/>
    <w:rsid w:val="005E2F7D"/>
    <w:rsid w:val="005E41BA"/>
    <w:rsid w:val="005F315A"/>
    <w:rsid w:val="005F47C4"/>
    <w:rsid w:val="005F4F7B"/>
    <w:rsid w:val="005F606A"/>
    <w:rsid w:val="0060020F"/>
    <w:rsid w:val="0060495E"/>
    <w:rsid w:val="00606C7B"/>
    <w:rsid w:val="006130D0"/>
    <w:rsid w:val="00616996"/>
    <w:rsid w:val="0062650E"/>
    <w:rsid w:val="0062677D"/>
    <w:rsid w:val="006335A1"/>
    <w:rsid w:val="006337DC"/>
    <w:rsid w:val="0063521B"/>
    <w:rsid w:val="006401C9"/>
    <w:rsid w:val="0064083C"/>
    <w:rsid w:val="00641195"/>
    <w:rsid w:val="00646E8E"/>
    <w:rsid w:val="00650E0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359B"/>
    <w:rsid w:val="006A4F9F"/>
    <w:rsid w:val="006B0630"/>
    <w:rsid w:val="006B56E5"/>
    <w:rsid w:val="006B5C04"/>
    <w:rsid w:val="006C2E7D"/>
    <w:rsid w:val="006C44FA"/>
    <w:rsid w:val="006D0000"/>
    <w:rsid w:val="006D074E"/>
    <w:rsid w:val="006D3204"/>
    <w:rsid w:val="006D3968"/>
    <w:rsid w:val="006D6716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096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CC4"/>
    <w:rsid w:val="007B5FDD"/>
    <w:rsid w:val="007C03CD"/>
    <w:rsid w:val="007D0D56"/>
    <w:rsid w:val="007D127D"/>
    <w:rsid w:val="007D13B2"/>
    <w:rsid w:val="007D3523"/>
    <w:rsid w:val="007D4ED5"/>
    <w:rsid w:val="007E225D"/>
    <w:rsid w:val="007E416F"/>
    <w:rsid w:val="007F0866"/>
    <w:rsid w:val="007F216E"/>
    <w:rsid w:val="007F21CA"/>
    <w:rsid w:val="007F2D01"/>
    <w:rsid w:val="007F32AD"/>
    <w:rsid w:val="00801C57"/>
    <w:rsid w:val="00803984"/>
    <w:rsid w:val="008052C2"/>
    <w:rsid w:val="00805C52"/>
    <w:rsid w:val="00806564"/>
    <w:rsid w:val="008111D1"/>
    <w:rsid w:val="00812EA1"/>
    <w:rsid w:val="008177BA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AAC"/>
    <w:rsid w:val="00871643"/>
    <w:rsid w:val="0087360F"/>
    <w:rsid w:val="00875B50"/>
    <w:rsid w:val="00875E6A"/>
    <w:rsid w:val="00877CEB"/>
    <w:rsid w:val="0088074E"/>
    <w:rsid w:val="00882FA2"/>
    <w:rsid w:val="00884412"/>
    <w:rsid w:val="00885888"/>
    <w:rsid w:val="00890D33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5B66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0366"/>
    <w:rsid w:val="00931301"/>
    <w:rsid w:val="009349D0"/>
    <w:rsid w:val="009364A6"/>
    <w:rsid w:val="0094101B"/>
    <w:rsid w:val="00941D28"/>
    <w:rsid w:val="00942669"/>
    <w:rsid w:val="009436C7"/>
    <w:rsid w:val="00945D74"/>
    <w:rsid w:val="00950039"/>
    <w:rsid w:val="00954C55"/>
    <w:rsid w:val="00954D18"/>
    <w:rsid w:val="00960B1F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97A4A"/>
    <w:rsid w:val="009A4267"/>
    <w:rsid w:val="009B0178"/>
    <w:rsid w:val="009B5A6C"/>
    <w:rsid w:val="009C3B3B"/>
    <w:rsid w:val="009C75CE"/>
    <w:rsid w:val="009D4364"/>
    <w:rsid w:val="009D5C65"/>
    <w:rsid w:val="009D6F7A"/>
    <w:rsid w:val="009E040F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16446"/>
    <w:rsid w:val="00A23D5E"/>
    <w:rsid w:val="00A2783D"/>
    <w:rsid w:val="00A30612"/>
    <w:rsid w:val="00A31EAD"/>
    <w:rsid w:val="00A324DC"/>
    <w:rsid w:val="00A33E29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84B0E"/>
    <w:rsid w:val="00A907EE"/>
    <w:rsid w:val="00A93935"/>
    <w:rsid w:val="00A9396A"/>
    <w:rsid w:val="00A93C3D"/>
    <w:rsid w:val="00A966E9"/>
    <w:rsid w:val="00AA34DF"/>
    <w:rsid w:val="00AA5E1E"/>
    <w:rsid w:val="00AB1DA4"/>
    <w:rsid w:val="00AB2CB9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BD1"/>
    <w:rsid w:val="00B2306F"/>
    <w:rsid w:val="00B23928"/>
    <w:rsid w:val="00B23E3B"/>
    <w:rsid w:val="00B27847"/>
    <w:rsid w:val="00B3345F"/>
    <w:rsid w:val="00B3491D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30A2"/>
    <w:rsid w:val="00B57FE7"/>
    <w:rsid w:val="00B609E9"/>
    <w:rsid w:val="00B62BE7"/>
    <w:rsid w:val="00B652EC"/>
    <w:rsid w:val="00B67019"/>
    <w:rsid w:val="00B673DC"/>
    <w:rsid w:val="00B71170"/>
    <w:rsid w:val="00B71996"/>
    <w:rsid w:val="00B72383"/>
    <w:rsid w:val="00B72644"/>
    <w:rsid w:val="00B72B18"/>
    <w:rsid w:val="00B74012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597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85C"/>
    <w:rsid w:val="00C37DD2"/>
    <w:rsid w:val="00C43E0B"/>
    <w:rsid w:val="00C506AF"/>
    <w:rsid w:val="00C550CE"/>
    <w:rsid w:val="00C550FC"/>
    <w:rsid w:val="00C600AF"/>
    <w:rsid w:val="00C61345"/>
    <w:rsid w:val="00C66320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19E9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0B28"/>
    <w:rsid w:val="00D14C81"/>
    <w:rsid w:val="00D15E7A"/>
    <w:rsid w:val="00D20310"/>
    <w:rsid w:val="00D20AAE"/>
    <w:rsid w:val="00D221A4"/>
    <w:rsid w:val="00D3341B"/>
    <w:rsid w:val="00D33510"/>
    <w:rsid w:val="00D35A32"/>
    <w:rsid w:val="00D35D83"/>
    <w:rsid w:val="00D36FB0"/>
    <w:rsid w:val="00D37BDB"/>
    <w:rsid w:val="00D41BBE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1DE"/>
    <w:rsid w:val="00DA63C3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3E2A"/>
    <w:rsid w:val="00DE6446"/>
    <w:rsid w:val="00DE6B51"/>
    <w:rsid w:val="00DF0B22"/>
    <w:rsid w:val="00E02379"/>
    <w:rsid w:val="00E034D5"/>
    <w:rsid w:val="00E04FEC"/>
    <w:rsid w:val="00E052D0"/>
    <w:rsid w:val="00E1158C"/>
    <w:rsid w:val="00E146A1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2EC2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3668"/>
    <w:rsid w:val="00E8416E"/>
    <w:rsid w:val="00E849D7"/>
    <w:rsid w:val="00E91397"/>
    <w:rsid w:val="00EA0296"/>
    <w:rsid w:val="00EA1A12"/>
    <w:rsid w:val="00EA2854"/>
    <w:rsid w:val="00EA4C8B"/>
    <w:rsid w:val="00EB1B5F"/>
    <w:rsid w:val="00EB2D15"/>
    <w:rsid w:val="00EB3860"/>
    <w:rsid w:val="00EC330C"/>
    <w:rsid w:val="00EC6A23"/>
    <w:rsid w:val="00ED0547"/>
    <w:rsid w:val="00ED22CB"/>
    <w:rsid w:val="00ED4756"/>
    <w:rsid w:val="00EE01B3"/>
    <w:rsid w:val="00EE6269"/>
    <w:rsid w:val="00EF0C53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1A7D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67757"/>
    <w:rsid w:val="00F7071B"/>
    <w:rsid w:val="00F70BA0"/>
    <w:rsid w:val="00F72C37"/>
    <w:rsid w:val="00F74B4F"/>
    <w:rsid w:val="00F80C4A"/>
    <w:rsid w:val="00F870CA"/>
    <w:rsid w:val="00F87AD3"/>
    <w:rsid w:val="00F91396"/>
    <w:rsid w:val="00F921A1"/>
    <w:rsid w:val="00F93A20"/>
    <w:rsid w:val="00F949EA"/>
    <w:rsid w:val="00FA17AF"/>
    <w:rsid w:val="00FA41D0"/>
    <w:rsid w:val="00FA78DA"/>
    <w:rsid w:val="00FB23A7"/>
    <w:rsid w:val="00FB40BB"/>
    <w:rsid w:val="00FB4FC8"/>
    <w:rsid w:val="00FC17C4"/>
    <w:rsid w:val="00FC7648"/>
    <w:rsid w:val="00FC7D16"/>
    <w:rsid w:val="00FD476F"/>
    <w:rsid w:val="00FD5297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04E01"/>
  <w15:docId w15:val="{92C95E8A-C538-4DA6-BC98-0990A62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7A4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D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868A3-A2D1-4716-950A-83484F14C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3655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7</cp:revision>
  <cp:lastPrinted>2022-06-22T05:19:00Z</cp:lastPrinted>
  <dcterms:created xsi:type="dcterms:W3CDTF">2024-06-18T06:58:00Z</dcterms:created>
  <dcterms:modified xsi:type="dcterms:W3CDTF">2024-08-01T08:10:00Z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