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PŘÍKAZNÍ SMLOUVA</w:t>
      </w:r>
    </w:p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C9665D" w:rsidRPr="00C9665D" w:rsidRDefault="00C9665D" w:rsidP="00A8345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uzavřená dle ust. § 2430 a násl. zákona č. 89/2012 Sb., občanský zákoník</w:t>
      </w:r>
    </w:p>
    <w:p w:rsidR="00C9665D" w:rsidRPr="00C9665D" w:rsidRDefault="00C9665D" w:rsidP="00362503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</w:p>
    <w:p w:rsidR="00C9665D" w:rsidRPr="00C9665D" w:rsidRDefault="00C9665D" w:rsidP="00C9665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007C08">
      <w:pPr>
        <w:suppressAutoHyphens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strany:</w:t>
      </w:r>
    </w:p>
    <w:p w:rsidR="00C9665D" w:rsidRPr="00C9665D" w:rsidRDefault="00C9665D" w:rsidP="00C9665D">
      <w:pPr>
        <w:suppressAutoHyphens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C9665D" w:rsidRPr="00C9665D" w:rsidTr="00686EA1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Příkazce:        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Zapsaný v obchodním rejstříku u:</w:t>
            </w:r>
          </w:p>
        </w:tc>
        <w:tc>
          <w:tcPr>
            <w:tcW w:w="6163" w:type="dxa"/>
            <w:shd w:val="clear" w:color="00FFFF" w:fill="auto"/>
          </w:tcPr>
          <w:p w:rsidR="00C9665D" w:rsidRPr="00C9665D" w:rsidRDefault="00C9665D" w:rsidP="00C9665D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Lines="20" w:before="48" w:after="60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Armádní Servisní, příspěvková organizace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Městského soudu v Praze, oddíl Pr., vložka č. 1342</w:t>
            </w:r>
          </w:p>
        </w:tc>
      </w:tr>
      <w:tr w:rsidR="00C9665D" w:rsidRPr="00C9665D" w:rsidTr="00686EA1">
        <w:trPr>
          <w:trHeight w:val="199"/>
          <w:jc w:val="center"/>
        </w:trPr>
        <w:tc>
          <w:tcPr>
            <w:tcW w:w="3615" w:type="dxa"/>
          </w:tcPr>
          <w:p w:rsidR="00C9665D" w:rsidRPr="00C9665D" w:rsidRDefault="00145BA7" w:rsidP="00145BA7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Zastoupen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ý</w:t>
            </w:r>
            <w:r w:rsidR="00C9665D"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163" w:type="dxa"/>
          </w:tcPr>
          <w:p w:rsidR="00C9665D" w:rsidRPr="00C9665D" w:rsidRDefault="009A4005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xxxx</w:t>
            </w:r>
          </w:p>
        </w:tc>
      </w:tr>
      <w:tr w:rsidR="00C9665D" w:rsidRPr="00C9665D" w:rsidTr="00686EA1">
        <w:trPr>
          <w:trHeight w:val="135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Sídlo:</w:t>
            </w:r>
          </w:p>
        </w:tc>
        <w:tc>
          <w:tcPr>
            <w:tcW w:w="6163" w:type="dxa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Podbabská 1589/1, 160 00 Praha 6</w:t>
            </w:r>
          </w:p>
        </w:tc>
      </w:tr>
      <w:tr w:rsidR="00C9665D" w:rsidRPr="00C9665D" w:rsidTr="00686EA1">
        <w:trPr>
          <w:trHeight w:val="227"/>
          <w:jc w:val="center"/>
        </w:trPr>
        <w:tc>
          <w:tcPr>
            <w:tcW w:w="3615" w:type="dxa"/>
            <w:tcBorders>
              <w:bottom w:val="nil"/>
            </w:tcBorders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IČ:</w:t>
            </w:r>
          </w:p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DIČ:</w:t>
            </w:r>
          </w:p>
        </w:tc>
        <w:tc>
          <w:tcPr>
            <w:tcW w:w="6163" w:type="dxa"/>
            <w:tcBorders>
              <w:bottom w:val="nil"/>
            </w:tcBorders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60460580</w:t>
            </w:r>
          </w:p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CZ60460580 </w:t>
            </w:r>
          </w:p>
        </w:tc>
      </w:tr>
      <w:tr w:rsidR="00C9665D" w:rsidRPr="00C9665D" w:rsidTr="00686EA1">
        <w:trPr>
          <w:trHeight w:val="285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Tel.: </w:t>
            </w:r>
          </w:p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Fax:</w:t>
            </w:r>
          </w:p>
        </w:tc>
        <w:tc>
          <w:tcPr>
            <w:tcW w:w="6163" w:type="dxa"/>
          </w:tcPr>
          <w:p w:rsidR="009A4005" w:rsidRDefault="009A4005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xxxx</w:t>
            </w:r>
          </w:p>
          <w:p w:rsidR="00C9665D" w:rsidRPr="00C9665D" w:rsidRDefault="009A4005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xxxx</w:t>
            </w:r>
          </w:p>
        </w:tc>
      </w:tr>
      <w:tr w:rsidR="00C9665D" w:rsidRPr="00C9665D" w:rsidTr="00686EA1">
        <w:trPr>
          <w:trHeight w:val="133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ID datové schránky:</w:t>
            </w:r>
          </w:p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Odpovědní zástupci pro jednání:</w:t>
            </w:r>
          </w:p>
        </w:tc>
        <w:tc>
          <w:tcPr>
            <w:tcW w:w="6163" w:type="dxa"/>
          </w:tcPr>
          <w:p w:rsidR="00C9665D" w:rsidRPr="00C9665D" w:rsidRDefault="00C9665D" w:rsidP="00C9665D">
            <w:pPr>
              <w:suppressAutoHyphens/>
              <w:spacing w:beforeLines="20" w:before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dugmkm6</w:t>
            </w:r>
          </w:p>
        </w:tc>
      </w:tr>
      <w:tr w:rsidR="00C9665D" w:rsidRPr="00C9665D" w:rsidTr="00FF58B3">
        <w:trPr>
          <w:trHeight w:val="57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jednat ve věcech smluvních:</w:t>
            </w:r>
          </w:p>
        </w:tc>
        <w:tc>
          <w:tcPr>
            <w:tcW w:w="6163" w:type="dxa"/>
          </w:tcPr>
          <w:p w:rsidR="00C9665D" w:rsidRPr="00C9665D" w:rsidRDefault="009A4005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xxxx</w:t>
            </w:r>
          </w:p>
        </w:tc>
      </w:tr>
      <w:tr w:rsidR="00C9665D" w:rsidRPr="00C9665D" w:rsidTr="00686EA1">
        <w:trPr>
          <w:trHeight w:val="480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jednat ve věcech technických: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(dále jen „příkazce“)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6163" w:type="dxa"/>
          </w:tcPr>
          <w:p w:rsidR="00C9665D" w:rsidRPr="00C9665D" w:rsidRDefault="009A4005" w:rsidP="002202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xxxx</w:t>
            </w:r>
          </w:p>
        </w:tc>
      </w:tr>
      <w:tr w:rsidR="00C9665D" w:rsidRPr="00C9665D" w:rsidTr="00686EA1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C9665D" w:rsidRPr="00C9665D" w:rsidRDefault="00C9665D" w:rsidP="00C9665D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Příkazník:</w:t>
            </w:r>
          </w:p>
        </w:tc>
        <w:tc>
          <w:tcPr>
            <w:tcW w:w="6163" w:type="dxa"/>
            <w:shd w:val="clear" w:color="auto" w:fill="auto"/>
          </w:tcPr>
          <w:p w:rsidR="00C9665D" w:rsidRPr="00E835C5" w:rsidRDefault="00A02790" w:rsidP="00C9665D">
            <w:pPr>
              <w:suppressAutoHyphens/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83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Ing. Pavel Malínek</w:t>
            </w:r>
          </w:p>
        </w:tc>
      </w:tr>
      <w:tr w:rsidR="00C9665D" w:rsidRPr="00C9665D" w:rsidTr="00686EA1">
        <w:trPr>
          <w:trHeight w:val="80"/>
          <w:jc w:val="center"/>
        </w:trPr>
        <w:tc>
          <w:tcPr>
            <w:tcW w:w="3615" w:type="dxa"/>
          </w:tcPr>
          <w:p w:rsidR="00C9665D" w:rsidRPr="00C9665D" w:rsidRDefault="00780643" w:rsidP="00780643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806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Zapsaný v obchodním rejstříku u:</w:t>
            </w:r>
            <w:r w:rsidRPr="007806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ab/>
            </w:r>
          </w:p>
        </w:tc>
        <w:tc>
          <w:tcPr>
            <w:tcW w:w="6163" w:type="dxa"/>
            <w:shd w:val="clear" w:color="auto" w:fill="auto"/>
          </w:tcPr>
          <w:p w:rsidR="00C9665D" w:rsidRPr="00C9665D" w:rsidRDefault="00780643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06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Fyzická osoba podnikající dle živnostenského zákona nezapsaná v obchodním rejstříku</w:t>
            </w:r>
          </w:p>
        </w:tc>
      </w:tr>
      <w:tr w:rsidR="00C9665D" w:rsidRPr="00C9665D" w:rsidTr="00686EA1">
        <w:trPr>
          <w:trHeight w:val="129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63" w:type="dxa"/>
            <w:shd w:val="clear" w:color="auto" w:fill="auto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665D" w:rsidRPr="00C9665D" w:rsidTr="00686EA1">
        <w:trPr>
          <w:trHeight w:val="217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C9665D" w:rsidRPr="00780643" w:rsidRDefault="00145BA7" w:rsidP="00145BA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45BA7">
              <w:rPr>
                <w:rFonts w:ascii="Times New Roman" w:eastAsia="Times New Roman" w:hAnsi="Times New Roman" w:cs="Times New Roman"/>
                <w:sz w:val="24"/>
                <w:szCs w:val="26"/>
                <w:lang w:eastAsia="zh-CN"/>
              </w:rPr>
              <w:t>Výstavní 318/7</w:t>
            </w:r>
            <w:r w:rsidR="00A02790" w:rsidRPr="00780643">
              <w:rPr>
                <w:rFonts w:ascii="Times New Roman" w:eastAsia="Times New Roman" w:hAnsi="Times New Roman" w:cs="Times New Roman"/>
                <w:sz w:val="24"/>
                <w:szCs w:val="26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zh-CN"/>
              </w:rPr>
              <w:t>783 35 Olomouc - Chomoutov</w:t>
            </w:r>
            <w:r w:rsidRPr="00780643">
              <w:rPr>
                <w:rFonts w:ascii="Times New Roman" w:eastAsia="Times New Roman" w:hAnsi="Times New Roman" w:cs="Times New Roman"/>
                <w:sz w:val="24"/>
                <w:szCs w:val="26"/>
                <w:lang w:eastAsia="zh-CN"/>
              </w:rPr>
              <w:t xml:space="preserve"> </w:t>
            </w:r>
          </w:p>
        </w:tc>
      </w:tr>
      <w:tr w:rsidR="00C9665D" w:rsidRPr="00C9665D" w:rsidTr="00686EA1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9665D" w:rsidRPr="00C9665D" w:rsidRDefault="00A02790" w:rsidP="00C9665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46616373, CZ 6006050809</w:t>
            </w:r>
          </w:p>
        </w:tc>
      </w:tr>
      <w:tr w:rsidR="00C9665D" w:rsidRPr="00C9665D" w:rsidTr="00686EA1">
        <w:trPr>
          <w:trHeight w:val="20"/>
          <w:jc w:val="center"/>
        </w:trPr>
        <w:tc>
          <w:tcPr>
            <w:tcW w:w="3615" w:type="dxa"/>
          </w:tcPr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Bankovní spojení: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Číslo účtu: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ID datové schránky:</w:t>
            </w:r>
          </w:p>
          <w:p w:rsidR="00C9665D" w:rsidRPr="00C9665D" w:rsidRDefault="00C9665D" w:rsidP="00C9665D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Odpovědní zástupci pro jednání:</w:t>
            </w:r>
          </w:p>
          <w:p w:rsidR="00C9665D" w:rsidRPr="00C9665D" w:rsidRDefault="00C9665D" w:rsidP="00EB684B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Spojení: te</w:t>
            </w:r>
            <w:r w:rsidR="00362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l./</w:t>
            </w:r>
            <w:r w:rsidRPr="00C9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email</w:t>
            </w:r>
            <w:r w:rsidR="00145B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163" w:type="dxa"/>
            <w:shd w:val="clear" w:color="auto" w:fill="auto"/>
          </w:tcPr>
          <w:p w:rsidR="009A4005" w:rsidRDefault="009A4005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xxxx</w:t>
            </w:r>
          </w:p>
          <w:p w:rsidR="009A4005" w:rsidRDefault="009A4005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xxxx</w:t>
            </w:r>
          </w:p>
          <w:p w:rsidR="00C9665D" w:rsidRPr="00C9665D" w:rsidRDefault="00780643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80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vmu5ci6</w:t>
            </w:r>
          </w:p>
          <w:p w:rsidR="009A4005" w:rsidRDefault="009A4005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4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xxxx</w:t>
            </w:r>
          </w:p>
          <w:p w:rsidR="00FD178B" w:rsidRDefault="009A4005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A4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xxxx</w:t>
            </w:r>
            <w:r w:rsidR="00145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:rsidR="00FF58B3" w:rsidRPr="00FD178B" w:rsidRDefault="00FF58B3" w:rsidP="00C9665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:rsidR="00FF58B3" w:rsidRDefault="00FF58B3" w:rsidP="00FF58B3">
      <w:pPr>
        <w:suppressAutoHyphens/>
        <w:ind w:left="1440" w:hanging="1724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(dále jen „příkaz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ník</w:t>
      </w:r>
      <w:r w:rsidRPr="00C9665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“)</w:t>
      </w:r>
    </w:p>
    <w:p w:rsidR="00C9665D" w:rsidRPr="00C9665D" w:rsidRDefault="00C9665D" w:rsidP="00FF58B3">
      <w:pPr>
        <w:suppressAutoHyphens/>
        <w:ind w:left="1440" w:hanging="172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45BA7" w:rsidRDefault="00FF58B3" w:rsidP="00C9665D">
      <w:pPr>
        <w:suppressAutoHyphens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</w:p>
    <w:p w:rsidR="00C9665D" w:rsidRPr="00C9665D" w:rsidRDefault="00C9665D" w:rsidP="00C9665D">
      <w:pPr>
        <w:suppressAutoHyphens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PŘEDMĚT SMLOUVY</w:t>
      </w:r>
    </w:p>
    <w:p w:rsidR="00362503" w:rsidRPr="00362503" w:rsidRDefault="00C9665D" w:rsidP="00362503">
      <w:pPr>
        <w:pStyle w:val="Odstavecseseznamem"/>
        <w:numPr>
          <w:ilvl w:val="0"/>
          <w:numId w:val="5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Předmětem této smlouvy je obstarání záležitosti příkazce, spočívající 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FD1DEA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zajištění činností autorského dozoru při realizaci akce</w:t>
      </w:r>
      <w:r w:rsidR="002202D1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D815DF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2202D1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Zateplení objektu Hněvotínská 9</w:t>
      </w:r>
      <w:r w:rsidR="00D815DF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, Olomouc“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Pr="00C9665D" w:rsidRDefault="00C9665D" w:rsidP="00362503">
      <w:pPr>
        <w:pStyle w:val="Odstavecseseznamem"/>
        <w:numPr>
          <w:ilvl w:val="0"/>
          <w:numId w:val="5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uvedeným v čl. 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 po celou dobu realizace akce až do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odstranění posledních vad a nedodělků. O činnosti 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FD1DE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C9665D" w:rsidRDefault="00C9665D" w:rsidP="00362503">
      <w:pPr>
        <w:pStyle w:val="Odstavecseseznamem"/>
        <w:numPr>
          <w:ilvl w:val="0"/>
          <w:numId w:val="5"/>
        </w:numPr>
        <w:suppressAutoHyphens/>
        <w:spacing w:before="240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362503">
      <w:pPr>
        <w:pStyle w:val="Odstavecseseznamem"/>
        <w:numPr>
          <w:ilvl w:val="0"/>
          <w:numId w:val="5"/>
        </w:numPr>
        <w:suppressAutoHyphens/>
        <w:spacing w:before="240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rovněž zodpovídá za jím zaviněné prodlení a případné překročení rozpočtu stavby.</w:t>
      </w:r>
    </w:p>
    <w:p w:rsidR="00C9665D" w:rsidRPr="00C9665D" w:rsidRDefault="00C9665D" w:rsidP="00C9665D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362503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</w:p>
    <w:p w:rsidR="00C9665D" w:rsidRPr="00C9665D" w:rsidRDefault="00C9665D" w:rsidP="00145BA7">
      <w:pPr>
        <w:suppressAutoHyphens/>
        <w:ind w:left="1440" w:hanging="1582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MÍSTO A DOBA PLNĚNÍ</w:t>
      </w:r>
    </w:p>
    <w:p w:rsidR="00C9665D" w:rsidRPr="00362503" w:rsidRDefault="00C9665D" w:rsidP="00362503">
      <w:pPr>
        <w:pStyle w:val="Odstavecseseznamem"/>
        <w:numPr>
          <w:ilvl w:val="0"/>
          <w:numId w:val="8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5B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Místem plnění je:</w:t>
      </w:r>
      <w:r w:rsidRPr="00145BA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45BA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815DF" w:rsidRPr="00145BA7">
        <w:rPr>
          <w:rFonts w:ascii="Times New Roman" w:eastAsia="Times New Roman" w:hAnsi="Times New Roman" w:cs="Times New Roman"/>
          <w:sz w:val="24"/>
          <w:szCs w:val="24"/>
          <w:lang w:eastAsia="zh-CN"/>
        </w:rPr>
        <w:t>Hněvotínská 9, Olomouc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145BA7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5BA7" w:rsidRDefault="00C9665D" w:rsidP="00362503">
      <w:pPr>
        <w:pStyle w:val="Odstavecseseznamem"/>
        <w:numPr>
          <w:ilvl w:val="0"/>
          <w:numId w:val="8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152C2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52C29" w:rsidRDefault="00011605" w:rsidP="00362503">
      <w:pPr>
        <w:pStyle w:val="Odstavecseseznamem"/>
        <w:suppressAutoHyphens/>
        <w:spacing w:before="240"/>
        <w:ind w:left="3399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článku </w:t>
      </w:r>
      <w:r w:rsidR="00E835C5">
        <w:rPr>
          <w:rFonts w:ascii="Times New Roman" w:eastAsia="Times New Roman" w:hAnsi="Times New Roman" w:cs="Times New Roman"/>
          <w:sz w:val="24"/>
          <w:szCs w:val="24"/>
          <w:lang w:eastAsia="zh-CN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bod </w:t>
      </w:r>
      <w:r w:rsidR="001421B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52C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</w:p>
    <w:p w:rsidR="00C9665D" w:rsidRPr="00C9665D" w:rsidRDefault="00152C29" w:rsidP="00145BA7">
      <w:pPr>
        <w:widowControl w:val="0"/>
        <w:suppressAutoHyphens/>
        <w:autoSpaceDE w:val="0"/>
        <w:spacing w:line="273" w:lineRule="exact"/>
        <w:ind w:left="567" w:right="96" w:hanging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do </w:t>
      </w:r>
      <w:r w:rsidR="00D815DF">
        <w:rPr>
          <w:rFonts w:ascii="Times New Roman" w:eastAsia="Times New Roman" w:hAnsi="Times New Roman" w:cs="Times New Roman"/>
          <w:sz w:val="24"/>
          <w:szCs w:val="24"/>
          <w:lang w:eastAsia="zh-CN"/>
        </w:rPr>
        <w:t>5. 12. 2017</w:t>
      </w:r>
    </w:p>
    <w:p w:rsidR="00C9665D" w:rsidRPr="00C9665D" w:rsidRDefault="00C9665D" w:rsidP="00145BA7">
      <w:pPr>
        <w:widowControl w:val="0"/>
        <w:suppressAutoHyphens/>
        <w:autoSpaceDE w:val="0"/>
        <w:spacing w:line="273" w:lineRule="exact"/>
        <w:ind w:left="567" w:right="96" w:hanging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362503">
      <w:pPr>
        <w:pStyle w:val="Odstavecseseznamem"/>
        <w:numPr>
          <w:ilvl w:val="0"/>
          <w:numId w:val="8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FD1DEA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dobu odstraňování vad a nedodělků. </w:t>
      </w:r>
    </w:p>
    <w:p w:rsidR="00C9665D" w:rsidRPr="00C9665D" w:rsidRDefault="00C9665D" w:rsidP="00C9665D">
      <w:pPr>
        <w:widowControl w:val="0"/>
        <w:suppressAutoHyphens/>
        <w:autoSpaceDE w:val="0"/>
        <w:spacing w:line="273" w:lineRule="exac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III. </w:t>
      </w: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CENA </w:t>
      </w:r>
    </w:p>
    <w:p w:rsidR="00C9665D" w:rsidRDefault="00C9665D" w:rsidP="00362503">
      <w:pPr>
        <w:pStyle w:val="Odstavecseseznamem"/>
        <w:numPr>
          <w:ilvl w:val="0"/>
          <w:numId w:val="9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ve výši: hodinovou sazbou </w:t>
      </w:r>
    </w:p>
    <w:p w:rsidR="00FD1DEA" w:rsidRPr="00362503" w:rsidRDefault="00FD1DEA" w:rsidP="00362503">
      <w:pPr>
        <w:pStyle w:val="Odstavecseseznamem"/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362503">
      <w:pPr>
        <w:pStyle w:val="Odstavecseseznamem"/>
        <w:widowControl w:val="0"/>
        <w:numPr>
          <w:ilvl w:val="0"/>
          <w:numId w:val="10"/>
        </w:numPr>
        <w:tabs>
          <w:tab w:val="left" w:pos="5529"/>
        </w:tabs>
        <w:suppressAutoHyphens/>
        <w:autoSpaceDE w:val="0"/>
        <w:spacing w:line="276" w:lineRule="auto"/>
        <w:ind w:left="11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(jednání)/hod.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02790"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>580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EE6B49" w:rsidRPr="00362503" w:rsidRDefault="00EE6B49" w:rsidP="00362503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276" w:lineRule="auto"/>
        <w:ind w:left="11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362503">
      <w:pPr>
        <w:pStyle w:val="Odstavecseseznamem"/>
        <w:widowControl w:val="0"/>
        <w:numPr>
          <w:ilvl w:val="0"/>
          <w:numId w:val="10"/>
        </w:numPr>
        <w:tabs>
          <w:tab w:val="left" w:pos="5529"/>
        </w:tabs>
        <w:suppressAutoHyphens/>
        <w:autoSpaceDE w:val="0"/>
        <w:spacing w:line="276" w:lineRule="auto"/>
        <w:ind w:left="1134" w:right="3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prováděné dle potřeby AD (mimo pravidelné kontrolní dny)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15DF"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>/hod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1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02790"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>550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351E6B" w:rsidRPr="00362503" w:rsidRDefault="00351E6B" w:rsidP="00362503">
      <w:pPr>
        <w:widowControl w:val="0"/>
        <w:tabs>
          <w:tab w:val="left" w:pos="5529"/>
        </w:tabs>
        <w:suppressAutoHyphens/>
        <w:autoSpaceDE w:val="0"/>
        <w:spacing w:line="276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2503" w:rsidRDefault="00C9665D" w:rsidP="00362503">
      <w:pPr>
        <w:pStyle w:val="Odstavecseseznamem"/>
        <w:widowControl w:val="0"/>
        <w:numPr>
          <w:ilvl w:val="0"/>
          <w:numId w:val="10"/>
        </w:numPr>
        <w:tabs>
          <w:tab w:val="left" w:pos="5529"/>
        </w:tabs>
        <w:suppressAutoHyphens/>
        <w:autoSpaceDE w:val="0"/>
        <w:spacing w:line="276" w:lineRule="auto"/>
        <w:ind w:left="11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této smlouvy se sjednává ve výši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362503" w:rsidRDefault="00362503" w:rsidP="00362503">
      <w:pPr>
        <w:widowControl w:val="0"/>
        <w:tabs>
          <w:tab w:val="left" w:pos="5529"/>
        </w:tabs>
        <w:suppressAutoHyphens/>
        <w:autoSpaceDE w:val="0"/>
        <w:spacing w:line="276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02790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60</w:t>
      </w:r>
      <w:r w:rsidR="00351E6B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02790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000</w:t>
      </w:r>
      <w:r w:rsidR="00C9665D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Kč</w:t>
      </w:r>
    </w:p>
    <w:p w:rsidR="00C9665D" w:rsidRPr="00C9665D" w:rsidRDefault="00C9665D" w:rsidP="00C9665D">
      <w:pPr>
        <w:widowControl w:val="0"/>
        <w:suppressAutoHyphens/>
        <w:autoSpaceDE w:val="0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362503">
      <w:pPr>
        <w:widowControl w:val="0"/>
        <w:suppressAutoHyphens/>
        <w:autoSpaceDE w:val="0"/>
        <w:ind w:left="567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351E6B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351E6B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 výši a sazbě platné ke dni zdanitelného plnění dle zákona č.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235/2004 Sb., o dani z přidané hodnoty, ve znění pozdějších předpisů. </w:t>
      </w:r>
    </w:p>
    <w:p w:rsidR="00C9665D" w:rsidRPr="00362503" w:rsidRDefault="00C9665D" w:rsidP="00362503">
      <w:pPr>
        <w:pStyle w:val="Odstavecseseznamem"/>
        <w:numPr>
          <w:ilvl w:val="0"/>
          <w:numId w:val="9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odsouhlasených hodin zástupcem příkazce ve věcech technických -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 dozor investora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(„dále jen „TDI“)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C9665D" w:rsidP="00362503">
      <w:pPr>
        <w:pStyle w:val="Odstavecseseznamem"/>
        <w:numPr>
          <w:ilvl w:val="0"/>
          <w:numId w:val="9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362503">
      <w:pPr>
        <w:pStyle w:val="Odstavecseseznamem"/>
        <w:numPr>
          <w:ilvl w:val="0"/>
          <w:numId w:val="9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C9665D">
      <w:pPr>
        <w:suppressAutoHyphens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IV. </w:t>
      </w: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PLATEBNÍ PODMÍNKY</w:t>
      </w:r>
    </w:p>
    <w:p w:rsidR="00C9665D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 faktur vystavených příkazníkem a odsouhlasených zástupcem příkazce ve věcech technických - TDI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:rsidR="00362503" w:rsidRPr="00C9665D" w:rsidRDefault="00362503" w:rsidP="00362503">
      <w:pPr>
        <w:pStyle w:val="Odstavecseseznamem"/>
        <w:suppressAutoHyphens/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362503" w:rsidRDefault="00C9665D" w:rsidP="00362503">
      <w:pPr>
        <w:pStyle w:val="Odstavecseseznamem"/>
        <w:numPr>
          <w:ilvl w:val="0"/>
          <w:numId w:val="12"/>
        </w:numPr>
        <w:suppressAutoHyphens/>
        <w:spacing w:before="240" w:after="240" w:line="264" w:lineRule="auto"/>
        <w:ind w:left="127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Fakturace bude prováděna jedenkrát měsíčně (vždy za předchozí kalendářní měsíc), </w:t>
      </w:r>
      <w:r w:rsidR="00351E6B"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 w:rsidR="00351E6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základě odsouhlasených výkonů odpracovaných hodin s popisem činnosti.</w:t>
      </w:r>
    </w:p>
    <w:p w:rsidR="00C9665D" w:rsidRPr="00C9665D" w:rsidRDefault="00C9665D" w:rsidP="00362503">
      <w:pPr>
        <w:pStyle w:val="Odstavecseseznamem"/>
        <w:numPr>
          <w:ilvl w:val="0"/>
          <w:numId w:val="12"/>
        </w:numPr>
        <w:suppressAutoHyphens/>
        <w:spacing w:before="240" w:after="240" w:line="264" w:lineRule="auto"/>
        <w:ind w:left="127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 odst. 2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příkazci vyplácena cena dle čl. III. odst. 1.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bod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b), ale pouze v případě, že ke zpoždění nedošlo vinou příkazníka. Případné navýšení ceny dle tohoto odstavce bude upraveno dodatkem k této smlouvě.</w:t>
      </w:r>
    </w:p>
    <w:p w:rsidR="00C9665D" w:rsidRPr="00C9665D" w:rsidRDefault="00C9665D" w:rsidP="00362503">
      <w:pPr>
        <w:pStyle w:val="Odstavecseseznamem"/>
        <w:numPr>
          <w:ilvl w:val="0"/>
          <w:numId w:val="12"/>
        </w:numPr>
        <w:suppressAutoHyphens/>
        <w:spacing w:before="240" w:after="240" w:line="264" w:lineRule="auto"/>
        <w:ind w:left="127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362503" w:rsidRDefault="00C9665D" w:rsidP="00362503">
      <w:pPr>
        <w:pStyle w:val="Odstavecseseznamem"/>
        <w:numPr>
          <w:ilvl w:val="0"/>
          <w:numId w:val="12"/>
        </w:numPr>
        <w:suppressAutoHyphens/>
        <w:spacing w:before="240" w:after="240" w:line="264" w:lineRule="auto"/>
        <w:ind w:left="127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případě, že přehled nebude příkazníkem doložen, příkazce není povinen k zaplacení faktury, a to až do doložení přehledu za období, kterého se faktura týká. Po tuto dobu není příkazce v prodlení se zaplacením faktury </w:t>
      </w:r>
      <w:r w:rsidR="00B8124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následná splatnost faktury je 30 dnů od doručení přehledu příkazci.</w:t>
      </w:r>
    </w:p>
    <w:p w:rsidR="00362503" w:rsidRPr="00362503" w:rsidRDefault="00362503" w:rsidP="00362503">
      <w:pPr>
        <w:pStyle w:val="Odstavecseseznamem"/>
        <w:suppressAutoHyphens/>
        <w:spacing w:before="240" w:after="240" w:line="264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Lhůta splatnosti je 30 dní od doručení faktury příkazci (originál faktury + </w:t>
      </w:r>
      <w:r w:rsidR="00B8124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kopie včetně výkazu činnosti). Adresa pro zaslání faktury: 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organizace, Podbabská 1589/1, 160 00 Praha 6 – Dejvice. Faktura za předchozí měsíc musí být vystavena do 10. dne v měsíci </w:t>
      </w:r>
      <w:r w:rsidR="00B8124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doručena příkazci.</w:t>
      </w:r>
    </w:p>
    <w:p w:rsidR="00C9665D" w:rsidRPr="00C9665D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Daňový doklad (dále jen „faktura“) musí obsahovat údaje podle zákona č. 235/2004 Sb., o dani z přidané hodnoty, ve znění pozdějších předpisů a § 435 Občanského zákoníku.</w:t>
      </w:r>
    </w:p>
    <w:p w:rsidR="00C9665D" w:rsidRPr="00C9665D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C9665D" w:rsidRPr="00C9665D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nnou nebo dohodnutou 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náležitost,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 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362503" w:rsidRDefault="00C9665D" w:rsidP="00362503">
      <w:pPr>
        <w:pStyle w:val="Odstavecseseznamem"/>
        <w:numPr>
          <w:ilvl w:val="0"/>
          <w:numId w:val="11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. N</w:t>
      </w:r>
      <w:r w:rsidR="00B8124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každé faktuře bude vyznačena pozastávka ve výši 10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a nedodělků, nebo zápis </w:t>
      </w:r>
      <w:r w:rsidR="00B8124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odstranění vad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nedodělků). </w:t>
      </w:r>
    </w:p>
    <w:p w:rsid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362503" w:rsidRDefault="00362503" w:rsidP="00C9665D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3130F" w:rsidRPr="00C9665D" w:rsidRDefault="0013130F" w:rsidP="00C9665D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V. </w:t>
      </w:r>
    </w:p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SMLUVNÍ POKUTY</w:t>
      </w:r>
    </w:p>
    <w:p w:rsidR="00C9665D" w:rsidRPr="00362503" w:rsidRDefault="00C9665D" w:rsidP="00362503">
      <w:pPr>
        <w:pStyle w:val="Odstavecseseznamem"/>
        <w:numPr>
          <w:ilvl w:val="0"/>
          <w:numId w:val="13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Je-li příkazce v prodlení s úhradou faktur ve lhůtě splatnosti uvedené v čl. IV. odst. 2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každý započatý den prodlení.</w:t>
      </w:r>
    </w:p>
    <w:p w:rsidR="00C9665D" w:rsidRPr="00362503" w:rsidRDefault="00C9665D" w:rsidP="00362503">
      <w:pPr>
        <w:pStyle w:val="Odstavecseseznamem"/>
        <w:numPr>
          <w:ilvl w:val="0"/>
          <w:numId w:val="13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7806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FF58B3">
        <w:rPr>
          <w:rFonts w:ascii="Times New Roman" w:eastAsia="Times New Roman" w:hAnsi="Times New Roman" w:cs="Times New Roman"/>
          <w:sz w:val="24"/>
          <w:szCs w:val="24"/>
          <w:lang w:eastAsia="zh-CN"/>
        </w:rPr>
        <w:t>1000</w:t>
      </w:r>
      <w:r w:rsidRPr="007806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C9665D" w:rsidRPr="00362503" w:rsidRDefault="00C9665D" w:rsidP="00362503">
      <w:pPr>
        <w:pStyle w:val="Odstavecseseznamem"/>
        <w:numPr>
          <w:ilvl w:val="0"/>
          <w:numId w:val="13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Příkazce je oprávněn vůči příkazníkovi uplatnit smluvní pokuty, které vzniknou v souvislosti s realizací díla či zanedbáním povinností příkazníka.  </w:t>
      </w:r>
    </w:p>
    <w:p w:rsidR="00C9665D" w:rsidRPr="00C9665D" w:rsidRDefault="00C9665D" w:rsidP="00362503">
      <w:pPr>
        <w:pStyle w:val="Odstavecseseznamem"/>
        <w:numPr>
          <w:ilvl w:val="0"/>
          <w:numId w:val="13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jakéhokoliv daňového dokladu a snížit</w:t>
      </w:r>
      <w:r w:rsidR="00B81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</w:p>
    <w:p w:rsidR="00C9665D" w:rsidRPr="00C9665D" w:rsidRDefault="00E835C5" w:rsidP="00C9665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PRÁVA A </w:t>
      </w:r>
      <w:r w:rsidR="00C9665D"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POVINNOSTI SMLUVNÍCH STRAN</w:t>
      </w:r>
    </w:p>
    <w:p w:rsidR="00C9665D" w:rsidRP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 pokyny příkazce. Od pokynů příkazce se může příkazník odchýlit, jen je-li to naléhavě nezbytné v zájmu příkazce, a pokud nemůže včas obdržet jeho souhlas.</w:t>
      </w:r>
    </w:p>
    <w:p w:rsidR="00C9665D" w:rsidRP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postupu prací a vyřizování vzniklých záležitostí spojených se stavbou.</w:t>
      </w:r>
    </w:p>
    <w:p w:rsidR="00C9665D" w:rsidRP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362503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D866C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D866C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36250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362503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za škody způsobené činností třetích osob, svěřil-li příkazník činnost podle této smlouvy těmto osobám.</w:t>
      </w:r>
    </w:p>
    <w:p w:rsidR="00C9665D" w:rsidRDefault="00C9665D" w:rsidP="00362503">
      <w:pPr>
        <w:pStyle w:val="Odstavecseseznamem"/>
        <w:numPr>
          <w:ilvl w:val="0"/>
          <w:numId w:val="14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na věcech převzatých při jejím zařizování od třetích osob, ledaže tuto škodu nemohl odvrátit ani při vynaložení odborné péče.</w:t>
      </w:r>
    </w:p>
    <w:p w:rsidR="00362503" w:rsidRDefault="00362503" w:rsidP="00362503">
      <w:pPr>
        <w:pStyle w:val="Odstavecseseznamem"/>
        <w:suppressAutoHyphens/>
        <w:spacing w:before="240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130F" w:rsidRDefault="0013130F" w:rsidP="00C9665D">
      <w:pPr>
        <w:suppressAutoHyphens/>
        <w:spacing w:line="264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spacing w:line="264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VII.</w:t>
      </w:r>
    </w:p>
    <w:p w:rsidR="00C9665D" w:rsidRPr="00C9665D" w:rsidRDefault="00C9665D" w:rsidP="00C9665D">
      <w:pPr>
        <w:suppressAutoHyphens/>
        <w:spacing w:line="264" w:lineRule="auto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DOBA PLNĚNÍ A MOŽNOSTI UKONČENÍ SMLOUVY</w:t>
      </w:r>
    </w:p>
    <w:p w:rsidR="00C9665D" w:rsidRPr="00362503" w:rsidRDefault="00C9665D" w:rsidP="00362503">
      <w:pPr>
        <w:pStyle w:val="Odstavecseseznamem"/>
        <w:numPr>
          <w:ilvl w:val="0"/>
          <w:numId w:val="15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se uzavírá na dobu určitou, </w:t>
      </w:r>
      <w:r w:rsidR="00D866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to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po dobu realizace ak</w:t>
      </w:r>
      <w:r w:rsidR="00780643">
        <w:rPr>
          <w:rFonts w:ascii="Times New Roman" w:eastAsia="Times New Roman" w:hAnsi="Times New Roman" w:cs="Times New Roman"/>
          <w:sz w:val="24"/>
          <w:szCs w:val="24"/>
          <w:lang w:eastAsia="zh-CN"/>
        </w:rPr>
        <w:t>ce uvedené v čl. I</w:t>
      </w:r>
      <w:r w:rsidR="00D866C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806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zahájení činností uvedených v čl. I. této smlouvy do doby předání a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dokončené stavby nebo její poslední části</w:t>
      </w:r>
      <w:r w:rsidR="00D866C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362503" w:rsidRDefault="00C9665D" w:rsidP="00362503">
      <w:pPr>
        <w:pStyle w:val="Odstavecseseznamem"/>
        <w:numPr>
          <w:ilvl w:val="0"/>
          <w:numId w:val="15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měsíci, v němž byla výpověď doručena.</w:t>
      </w:r>
    </w:p>
    <w:p w:rsidR="00C9665D" w:rsidRPr="00C9665D" w:rsidRDefault="00C9665D" w:rsidP="00362503">
      <w:pPr>
        <w:pStyle w:val="Odstavecseseznamem"/>
        <w:numPr>
          <w:ilvl w:val="0"/>
          <w:numId w:val="15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362503" w:rsidRDefault="00C9665D" w:rsidP="00362503">
      <w:pPr>
        <w:pStyle w:val="Odstavecseseznamem"/>
        <w:numPr>
          <w:ilvl w:val="0"/>
          <w:numId w:val="15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mohou od smlouvy odstoupit ze zákonných důvodů nebo v případě zániku jedné ze smluvních stran. Příkazce je dále oprávněn odstoupit </w:t>
      </w:r>
      <w:r w:rsidR="00A83458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A8345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smlouvy, pokud příkazník neplní povinnosti dle přílohy č. 1 této smlouvy.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smlouvy musí být písemné a je účinné doručením druhé smluvní straně.</w:t>
      </w:r>
    </w:p>
    <w:p w:rsidR="00FD178B" w:rsidRPr="00C9665D" w:rsidRDefault="00FD178B" w:rsidP="00C966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</w:p>
    <w:p w:rsidR="00C9665D" w:rsidRPr="00C9665D" w:rsidRDefault="00C9665D" w:rsidP="00C966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ZÁVĚREČNÁ USTANOVENÍ</w:t>
      </w:r>
    </w:p>
    <w:p w:rsidR="00C9665D" w:rsidRPr="00362503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C9665D" w:rsidRPr="00C9665D" w:rsidRDefault="00780643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je vyhotovena ve </w:t>
      </w:r>
      <w:r w:rsidR="00A8345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83458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stejnop</w:t>
      </w:r>
      <w:r w:rsidR="00011605">
        <w:rPr>
          <w:rFonts w:ascii="Times New Roman" w:eastAsia="Times New Roman" w:hAnsi="Times New Roman" w:cs="Times New Roman"/>
          <w:sz w:val="24"/>
          <w:szCs w:val="24"/>
          <w:lang w:eastAsia="zh-CN"/>
        </w:rPr>
        <w:t>isech, přičemž příkazce obdrží 1 stejnopis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 příkazník</w:t>
      </w:r>
      <w:r w:rsidR="00011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1 stejnopis.</w:t>
      </w:r>
    </w:p>
    <w:p w:rsidR="00C9665D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nabývá platnosti dnem podpisu oběma smluvními stranami  a účinnosti dnem uveřejnění v 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C9665D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 v platném znění.</w:t>
      </w:r>
    </w:p>
    <w:p w:rsidR="00C9665D" w:rsidRPr="00C9665D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 změny a dodatků bude uveřejněna v souladu s § 219 zákona č. 134/2016 Sb., o zadávání veřejných zakázek v platném znění.</w:t>
      </w:r>
    </w:p>
    <w:p w:rsidR="00C9665D" w:rsidRPr="00C9665D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</w:t>
      </w:r>
      <w:r w:rsidR="00007C08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uzavření této smlouvy nesmí být vykládán v rozporu s výslovnými ustanoveními této smlouvy a nezakládá žádný závazek žádné ze stran.</w:t>
      </w:r>
    </w:p>
    <w:p w:rsidR="00C9665D" w:rsidRPr="00C9665D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Smlouvu lze měnit a doplňovat po dohodě smluvních stran formou písemných dodatků k této smlouvě, podepsaných oběma smluvními stranami. Podepsané dodatky se stávají nedílnou součástí této smlouvy. Za písemnou formu nebude pro tento účel považována výměna e-mailových či jiných elektronických zpráv.</w:t>
      </w:r>
    </w:p>
    <w:p w:rsidR="00C9665D" w:rsidRPr="00362503" w:rsidRDefault="00C9665D" w:rsidP="00362503">
      <w:pPr>
        <w:pStyle w:val="Odstavecseseznamem"/>
        <w:numPr>
          <w:ilvl w:val="0"/>
          <w:numId w:val="16"/>
        </w:numPr>
        <w:suppressAutoHyphens/>
        <w:spacing w:before="240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Smluvní strany prohlašují, že si smlouvu přečetly, s jejím obsahem souhlasí, což stvrzují svými podpisy. </w:t>
      </w:r>
    </w:p>
    <w:p w:rsidR="00C9665D" w:rsidRPr="00C9665D" w:rsidRDefault="00C9665D" w:rsidP="00C9665D">
      <w:pPr>
        <w:suppressAutoHyphens/>
        <w:ind w:left="567" w:right="4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178B" w:rsidRPr="00C9665D" w:rsidRDefault="00C9665D" w:rsidP="00362503">
      <w:pPr>
        <w:widowControl w:val="0"/>
        <w:tabs>
          <w:tab w:val="left" w:pos="1134"/>
        </w:tabs>
        <w:suppressAutoHyphens/>
        <w:autoSpaceDE w:val="0"/>
        <w:spacing w:line="273" w:lineRule="exact"/>
        <w:ind w:right="96"/>
        <w:rPr>
          <w:rFonts w:ascii="Times New Roman" w:eastAsia="Times New Roman" w:hAnsi="Times New Roman" w:cs="Times New Roman"/>
          <w:b/>
          <w:color w:val="010000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Přílohy:</w:t>
      </w:r>
      <w:r w:rsidR="001421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D178B" w:rsidRPr="00362503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t>Příloha č. 1</w:t>
      </w:r>
      <w:r w:rsidR="00FB4748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t xml:space="preserve"> – Povinnosti příkazníka</w:t>
      </w:r>
    </w:p>
    <w:p w:rsidR="00C9665D" w:rsidRPr="00C9665D" w:rsidRDefault="00C9665D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07C08" w:rsidRPr="00C9665D" w:rsidRDefault="00007C08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C9665D">
      <w:pPr>
        <w:tabs>
          <w:tab w:val="left" w:pos="5250"/>
        </w:tabs>
        <w:suppressAutoHyphens/>
        <w:spacing w:beforeLines="20" w:before="4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 d</w:t>
      </w:r>
      <w:r w:rsidR="00A027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                      </w:t>
      </w:r>
      <w:r w:rsidR="00A0279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 Olomouci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dne</w:t>
      </w:r>
    </w:p>
    <w:p w:rsidR="00C9665D" w:rsidRPr="00C9665D" w:rsidRDefault="00C9665D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07C08" w:rsidRDefault="00007C08" w:rsidP="00C9665D">
      <w:pPr>
        <w:tabs>
          <w:tab w:val="left" w:pos="5670"/>
        </w:tabs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Pr="00C9665D" w:rsidRDefault="00C9665D" w:rsidP="00C9665D">
      <w:pPr>
        <w:tabs>
          <w:tab w:val="left" w:pos="5670"/>
        </w:tabs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C9665D">
      <w:pPr>
        <w:suppressAutoHyphens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C9665D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07C08" w:rsidRDefault="00007C08" w:rsidP="00C9665D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07C08" w:rsidRDefault="00007C08" w:rsidP="00C9665D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07C08" w:rsidRPr="00C9665D" w:rsidRDefault="00007C08" w:rsidP="00C9665D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Pr="00C9665D" w:rsidRDefault="00C9665D" w:rsidP="00C9665D">
      <w:pPr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C9665D">
      <w:pPr>
        <w:shd w:val="clear" w:color="auto" w:fill="FFFFFF"/>
        <w:suppressAutoHyphens/>
        <w:spacing w:line="36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_____________________________</w:t>
      </w:r>
    </w:p>
    <w:p w:rsidR="00C9665D" w:rsidRPr="00C9665D" w:rsidRDefault="001421B1" w:rsidP="001421B1">
      <w:pPr>
        <w:shd w:val="clear" w:color="auto" w:fill="FFFFFF"/>
        <w:tabs>
          <w:tab w:val="center" w:pos="1985"/>
          <w:tab w:val="center" w:pos="7230"/>
        </w:tabs>
        <w:suppressAutoHyphens/>
        <w:ind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02790">
        <w:rPr>
          <w:rFonts w:ascii="Times New Roman" w:eastAsia="Times New Roman" w:hAnsi="Times New Roman" w:cs="Times New Roman"/>
          <w:sz w:val="24"/>
          <w:szCs w:val="24"/>
          <w:lang w:eastAsia="zh-CN"/>
        </w:rPr>
        <w:t>Ing. Pavel Malínek</w:t>
      </w:r>
    </w:p>
    <w:p w:rsidR="00C9665D" w:rsidRPr="00C9665D" w:rsidRDefault="001421B1" w:rsidP="001421B1">
      <w:pPr>
        <w:shd w:val="clear" w:color="auto" w:fill="FFFFFF"/>
        <w:tabs>
          <w:tab w:val="center" w:pos="1985"/>
          <w:tab w:val="center" w:pos="7230"/>
        </w:tabs>
        <w:suppressAutoHyphens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A4005" w:rsidRPr="009A4005">
        <w:rPr>
          <w:rFonts w:ascii="Times New Roman" w:eastAsia="Times New Roman" w:hAnsi="Times New Roman" w:cs="Times New Roman"/>
          <w:sz w:val="24"/>
          <w:szCs w:val="24"/>
          <w:lang w:eastAsia="zh-CN"/>
        </w:rPr>
        <w:t>xxxx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A4005" w:rsidRPr="009A4005">
        <w:rPr>
          <w:rFonts w:ascii="Times New Roman" w:eastAsia="Times New Roman" w:hAnsi="Times New Roman" w:cs="Times New Roman"/>
          <w:sz w:val="24"/>
          <w:szCs w:val="24"/>
          <w:lang w:eastAsia="zh-CN"/>
        </w:rPr>
        <w:t>xxxx</w:t>
      </w:r>
      <w:bookmarkStart w:id="1" w:name="_GoBack"/>
      <w:bookmarkEnd w:id="1"/>
    </w:p>
    <w:p w:rsidR="00C9665D" w:rsidRPr="00C9665D" w:rsidRDefault="001421B1" w:rsidP="00362503">
      <w:pPr>
        <w:shd w:val="clear" w:color="auto" w:fill="FFFFFF"/>
        <w:tabs>
          <w:tab w:val="center" w:pos="1985"/>
          <w:tab w:val="center" w:pos="7230"/>
        </w:tabs>
        <w:suppressAutoHyphens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A4005" w:rsidRPr="009A4005">
        <w:rPr>
          <w:rFonts w:ascii="Times New Roman" w:eastAsia="Times New Roman" w:hAnsi="Times New Roman" w:cs="Times New Roman"/>
          <w:sz w:val="24"/>
          <w:szCs w:val="24"/>
          <w:lang w:eastAsia="zh-CN"/>
        </w:rPr>
        <w:t>xxxx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C9665D">
      <w:pPr>
        <w:widowControl w:val="0"/>
        <w:suppressAutoHyphens/>
        <w:autoSpaceDE w:val="0"/>
        <w:spacing w:line="273" w:lineRule="exact"/>
        <w:ind w:right="96"/>
        <w:jc w:val="both"/>
        <w:rPr>
          <w:rFonts w:ascii="Times New Roman" w:eastAsia="Times New Roman" w:hAnsi="Times New Roman" w:cs="Times New Roman"/>
          <w:b/>
          <w:color w:val="010000"/>
          <w:sz w:val="24"/>
          <w:szCs w:val="24"/>
          <w:lang w:eastAsia="zh-CN"/>
        </w:rPr>
      </w:pPr>
    </w:p>
    <w:p w:rsidR="001421B1" w:rsidRDefault="001421B1">
      <w:pPr>
        <w:spacing w:after="200" w:line="276" w:lineRule="auto"/>
        <w:rPr>
          <w:rFonts w:ascii="Times New Roman" w:eastAsia="Times New Roman" w:hAnsi="Times New Roman" w:cs="Times New Roman"/>
          <w:b/>
          <w:color w:val="01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10000"/>
          <w:sz w:val="24"/>
          <w:szCs w:val="24"/>
          <w:lang w:eastAsia="zh-CN"/>
        </w:rPr>
        <w:br w:type="page"/>
      </w:r>
    </w:p>
    <w:p w:rsidR="00C9665D" w:rsidRPr="00C9665D" w:rsidRDefault="00C9665D" w:rsidP="00362503">
      <w:pPr>
        <w:widowControl w:val="0"/>
        <w:suppressAutoHyphens/>
        <w:autoSpaceDE w:val="0"/>
        <w:spacing w:line="273" w:lineRule="exact"/>
        <w:ind w:right="96"/>
        <w:jc w:val="right"/>
        <w:rPr>
          <w:rFonts w:ascii="Times New Roman" w:eastAsia="Times New Roman" w:hAnsi="Times New Roman" w:cs="Times New Roman"/>
          <w:b/>
          <w:color w:val="010000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10000"/>
          <w:sz w:val="24"/>
          <w:szCs w:val="24"/>
          <w:lang w:eastAsia="zh-CN"/>
        </w:rPr>
        <w:lastRenderedPageBreak/>
        <w:t>Příloha č. 1</w:t>
      </w:r>
    </w:p>
    <w:p w:rsidR="00C9665D" w:rsidRPr="00C9665D" w:rsidRDefault="00C9665D" w:rsidP="00C9665D">
      <w:pPr>
        <w:widowControl w:val="0"/>
        <w:suppressAutoHyphens/>
        <w:autoSpaceDE w:val="0"/>
        <w:spacing w:line="273" w:lineRule="exact"/>
        <w:ind w:right="96"/>
        <w:jc w:val="both"/>
        <w:rPr>
          <w:rFonts w:ascii="Times New Roman" w:eastAsia="Times New Roman" w:hAnsi="Times New Roman" w:cs="Times New Roman"/>
          <w:b/>
          <w:color w:val="010000"/>
          <w:szCs w:val="24"/>
          <w:lang w:eastAsia="zh-CN"/>
        </w:rPr>
      </w:pPr>
    </w:p>
    <w:p w:rsidR="00C9665D" w:rsidRPr="00FD178B" w:rsidRDefault="00C9665D" w:rsidP="00FD178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color w:val="010000"/>
          <w:szCs w:val="24"/>
          <w:lang w:eastAsia="zh-CN"/>
        </w:rPr>
        <w:t xml:space="preserve">Předmětem plnění této příkazní smlouvy je </w:t>
      </w:r>
      <w:r w:rsidRPr="00C9665D">
        <w:rPr>
          <w:rFonts w:ascii="Times New Roman" w:eastAsia="Times New Roman" w:hAnsi="Times New Roman" w:cs="Times New Roman"/>
          <w:szCs w:val="24"/>
          <w:lang w:eastAsia="zh-CN"/>
        </w:rPr>
        <w:t xml:space="preserve">výkon funkce autorského dozoru </w:t>
      </w:r>
      <w:r w:rsidRPr="00362503">
        <w:rPr>
          <w:rFonts w:ascii="Times New Roman" w:eastAsia="Times New Roman" w:hAnsi="Times New Roman" w:cs="Times New Roman"/>
          <w:lang w:eastAsia="zh-CN"/>
        </w:rPr>
        <w:t xml:space="preserve">akce </w:t>
      </w:r>
      <w:r w:rsidRPr="00362503">
        <w:rPr>
          <w:rFonts w:ascii="Times New Roman" w:eastAsia="Times New Roman" w:hAnsi="Times New Roman" w:cs="Times New Roman"/>
          <w:b/>
          <w:lang w:eastAsia="zh-CN"/>
        </w:rPr>
        <w:t>„</w:t>
      </w:r>
      <w:r w:rsidR="00D815DF" w:rsidRPr="00362503">
        <w:rPr>
          <w:rFonts w:ascii="Times New Roman" w:eastAsia="Times New Roman" w:hAnsi="Times New Roman" w:cs="Times New Roman"/>
          <w:b/>
          <w:lang w:eastAsia="zh-CN"/>
        </w:rPr>
        <w:t>Zateplení objektu Hněvotínská 9, Olomouc“</w:t>
      </w:r>
    </w:p>
    <w:p w:rsidR="001421B1" w:rsidRDefault="001421B1" w:rsidP="00C9665D">
      <w:pPr>
        <w:widowControl w:val="0"/>
        <w:suppressAutoHyphens/>
        <w:autoSpaceDE w:val="0"/>
        <w:spacing w:before="4" w:line="268" w:lineRule="exact"/>
        <w:ind w:right="82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zh-CN"/>
        </w:rPr>
      </w:pPr>
    </w:p>
    <w:p w:rsidR="00C9665D" w:rsidRPr="00C9665D" w:rsidRDefault="00C9665D" w:rsidP="00C9665D">
      <w:pPr>
        <w:widowControl w:val="0"/>
        <w:suppressAutoHyphens/>
        <w:autoSpaceDE w:val="0"/>
        <w:spacing w:before="4" w:line="268" w:lineRule="exact"/>
        <w:ind w:right="82"/>
        <w:jc w:val="both"/>
        <w:rPr>
          <w:rFonts w:ascii="Times New Roman" w:eastAsia="Times New Roman" w:hAnsi="Times New Roman" w:cs="Times New Roman"/>
          <w:color w:val="010000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Cs w:val="24"/>
          <w:u w:val="single"/>
          <w:lang w:eastAsia="zh-CN"/>
        </w:rPr>
        <w:t>ve fázi realizace stavby</w:t>
      </w:r>
    </w:p>
    <w:p w:rsidR="00C9665D" w:rsidRPr="00C9665D" w:rsidRDefault="00C9665D" w:rsidP="00C9665D">
      <w:pPr>
        <w:widowControl w:val="0"/>
        <w:spacing w:line="250" w:lineRule="exact"/>
        <w:jc w:val="both"/>
        <w:rPr>
          <w:rFonts w:ascii="Times New Roman" w:eastAsia="Arial" w:hAnsi="Times New Roman" w:cs="Times New Roman"/>
          <w:sz w:val="20"/>
          <w:szCs w:val="20"/>
          <w:lang w:eastAsia="cs-CZ"/>
        </w:rPr>
      </w:pP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Auto</w:t>
      </w:r>
      <w:r w:rsidRPr="00C9665D">
        <w:rPr>
          <w:rFonts w:ascii="Times New Roman" w:eastAsia="Arial" w:hAnsi="Times New Roman" w:cs="Times New Roman"/>
          <w:sz w:val="20"/>
          <w:szCs w:val="20"/>
          <w:lang w:eastAsia="cs-CZ"/>
        </w:rPr>
        <w:t>r</w:t>
      </w: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ský dozor (</w:t>
      </w:r>
      <w:r w:rsidR="001421B1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dále jen „</w:t>
      </w: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AD</w:t>
      </w:r>
      <w:r w:rsidR="001421B1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“</w:t>
      </w: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) bude prováděn jako občasná dozorová činnost, jejímž hlavním úkolem je ověřování</w:t>
      </w:r>
      <w:r w:rsidRPr="00C9665D">
        <w:rPr>
          <w:rFonts w:ascii="Times New Roman" w:eastAsia="Arial" w:hAnsi="Times New Roman" w:cs="Times New Roman"/>
          <w:sz w:val="20"/>
          <w:szCs w:val="20"/>
          <w:lang w:eastAsia="cs-CZ"/>
        </w:rPr>
        <w:t xml:space="preserve"> </w:t>
      </w: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souladu prováděné stavby s projektovou dokumentací v průběhu realizace stavby.</w:t>
      </w:r>
    </w:p>
    <w:p w:rsidR="00C9665D" w:rsidRPr="00C9665D" w:rsidRDefault="00C9665D" w:rsidP="00C9665D">
      <w:pPr>
        <w:widowControl w:val="0"/>
        <w:spacing w:line="250" w:lineRule="exact"/>
        <w:jc w:val="both"/>
        <w:rPr>
          <w:rFonts w:ascii="Times New Roman" w:eastAsia="Arial" w:hAnsi="Times New Roman" w:cs="Times New Roman"/>
          <w:sz w:val="20"/>
          <w:szCs w:val="20"/>
          <w:lang w:eastAsia="cs-CZ"/>
        </w:rPr>
      </w:pP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Působnost AD se vztahuje již na fázi realizační přípravy. Dále je těsně spjat s fází vlastní realizace</w:t>
      </w:r>
      <w:r w:rsidRPr="00C9665D">
        <w:rPr>
          <w:rFonts w:ascii="Times New Roman" w:eastAsia="Arial" w:hAnsi="Times New Roman" w:cs="Times New Roman"/>
          <w:sz w:val="20"/>
          <w:szCs w:val="20"/>
          <w:lang w:eastAsia="cs-CZ"/>
        </w:rPr>
        <w:t xml:space="preserve"> </w:t>
      </w: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stavby, s ověřením vhodnosti a správnosti navrženého řešení.</w:t>
      </w:r>
    </w:p>
    <w:p w:rsidR="00C9665D" w:rsidRPr="00C9665D" w:rsidRDefault="00C9665D" w:rsidP="00C9665D">
      <w:pPr>
        <w:widowControl w:val="0"/>
        <w:spacing w:line="250" w:lineRule="exact"/>
        <w:ind w:left="440" w:hanging="440"/>
        <w:jc w:val="both"/>
        <w:rPr>
          <w:rFonts w:ascii="Times New Roman" w:eastAsia="Arial" w:hAnsi="Times New Roman" w:cs="Times New Roman"/>
          <w:sz w:val="20"/>
          <w:szCs w:val="20"/>
          <w:lang w:eastAsia="cs-CZ"/>
        </w:rPr>
      </w:pP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Cílem a náplní činnosti AD je zajistit konečnou kvalitu stavby po celou dobu její realizace, včetně záruční</w:t>
      </w:r>
    </w:p>
    <w:p w:rsidR="00C9665D" w:rsidRPr="00C9665D" w:rsidRDefault="00C9665D" w:rsidP="00C9665D">
      <w:pPr>
        <w:widowControl w:val="0"/>
        <w:spacing w:after="260" w:line="250" w:lineRule="exact"/>
        <w:ind w:left="440" w:hanging="440"/>
        <w:jc w:val="both"/>
        <w:rPr>
          <w:rFonts w:ascii="Times New Roman" w:eastAsia="Arial" w:hAnsi="Times New Roman" w:cs="Times New Roman"/>
          <w:sz w:val="20"/>
          <w:szCs w:val="20"/>
          <w:lang w:eastAsia="cs-CZ"/>
        </w:rPr>
      </w:pP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doby a minimalizovat její finanční náklady.</w:t>
      </w:r>
    </w:p>
    <w:p w:rsidR="00C9665D" w:rsidRPr="00C9665D" w:rsidRDefault="00C9665D" w:rsidP="00C9665D">
      <w:pPr>
        <w:numPr>
          <w:ilvl w:val="0"/>
          <w:numId w:val="2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sz w:val="20"/>
          <w:szCs w:val="20"/>
          <w:lang w:eastAsia="zh-CN"/>
        </w:rPr>
        <w:t>Seznámení s obsahem smlouvy o dílo.</w:t>
      </w:r>
    </w:p>
    <w:p w:rsidR="00C9665D" w:rsidRPr="00C9665D" w:rsidRDefault="00C9665D" w:rsidP="00C9665D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250" w:lineRule="exact"/>
        <w:ind w:left="426"/>
        <w:jc w:val="both"/>
        <w:rPr>
          <w:rFonts w:ascii="Times New Roman" w:eastAsia="Arial" w:hAnsi="Times New Roman" w:cs="Times New Roman"/>
          <w:sz w:val="20"/>
          <w:szCs w:val="20"/>
          <w:lang w:eastAsia="cs-CZ"/>
        </w:rPr>
      </w:pPr>
      <w:r w:rsidRPr="00C9665D">
        <w:rPr>
          <w:rFonts w:ascii="Times New Roman" w:eastAsia="Arial" w:hAnsi="Times New Roman" w:cs="Times New Roman"/>
          <w:color w:val="000000"/>
          <w:sz w:val="20"/>
          <w:szCs w:val="20"/>
          <w:lang w:eastAsia="cs-CZ" w:bidi="cs-CZ"/>
        </w:rPr>
        <w:t>Dozor při realizaci stavby k zabezpečení souladu s projektem, jak pokud jde o vlastní řešení stavby, tak také z hlediska postupu a respektování podmínek výstavby, obecných požadavků na výstavbu, veřejného zájmu, technických předpisů, dodržení rozhodnutí a jiných opatření vydaných k uskutečnění stavby.</w:t>
      </w:r>
    </w:p>
    <w:p w:rsidR="00C9665D" w:rsidRPr="00C9665D" w:rsidRDefault="00C9665D" w:rsidP="00C9665D">
      <w:pPr>
        <w:numPr>
          <w:ilvl w:val="0"/>
          <w:numId w:val="2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Účast na předání staveniště zhotoviteli, kontrolních jednáních o výstavbě (kontrolních dnech, výrobních poradách), popř. na jiných jednáních.</w:t>
      </w:r>
    </w:p>
    <w:p w:rsidR="00C9665D" w:rsidRPr="00C9665D" w:rsidRDefault="00C9665D" w:rsidP="00C9665D">
      <w:pPr>
        <w:numPr>
          <w:ilvl w:val="0"/>
          <w:numId w:val="2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sz w:val="20"/>
          <w:szCs w:val="20"/>
          <w:lang w:eastAsia="zh-CN" w:bidi="cs-CZ"/>
        </w:rPr>
        <w:t>Provádění namátkových kontrol, zejména v rozhodujících fázích stavby.</w:t>
      </w:r>
    </w:p>
    <w:p w:rsidR="00C9665D" w:rsidRPr="00C9665D" w:rsidRDefault="00C9665D" w:rsidP="00C9665D">
      <w:pPr>
        <w:numPr>
          <w:ilvl w:val="0"/>
          <w:numId w:val="2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Průběžné konzultace s účastníky výstavby. Objektivní technické a cenové posuzování návrhů účastníků výstavby na odchylky, změny a dodatečné požadavky s ohledem na jejich nezbytnost a účelnost</w:t>
      </w:r>
      <w:r w:rsidRPr="00C9665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včetně dopracování změn projektové dokumentace.</w:t>
      </w:r>
    </w:p>
    <w:p w:rsidR="00C9665D" w:rsidRPr="00C9665D" w:rsidRDefault="00C9665D" w:rsidP="00C9665D">
      <w:pPr>
        <w:numPr>
          <w:ilvl w:val="0"/>
          <w:numId w:val="2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Upozorňovat objednatele stavby na skutečnosti, které mohou vést k dodatečným věcným či finančním nárokům a v případě, že realizované dílo je prováděno odchylně od projektu, příp. v 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 prokazatelně (včetně zápisu do stavebního deníku).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Zpracovávat vyjádření k návrhům na drobné úpravy či změny uplatněné zhotovitelem nebo investorem.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V racionální míře zpracovávat podklady pro změny, pokud k tomu investor dá pokyn.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Autorizovat případné Změnové listy.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Odsouhlasit a kontrolovat dodržování Kontrolního a zkušebního plánu zpracovaného zhotovitelem stavby.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Provádět dozor nad průběhem zkoušek (ověřovacích, kontrolních, průkazních, rozhodčích, komplexních) prováděných zhotovitelem stavby, posuzování správnosti jejich provádění, interpretace a vyhodnocení výsledků s ohledem na předmět a cíle projektu.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 změny, které mohou objektivně nastat po prohlídce a zdokumentování stavebního odkryvu a nedaly se při zpracování projektu předpokládat.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Vypracování, evidence a archivace všech změn projektu se sumarizací veškerých změn.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sz w:val="20"/>
          <w:szCs w:val="20"/>
          <w:lang w:eastAsia="zh-CN"/>
        </w:rPr>
        <w:t>Spolupráce s pracovníky zabezpečujícími technický dozor při zajišťování souladu realizovaných dodávek a</w:t>
      </w:r>
      <w:r w:rsidR="00007C08">
        <w:rPr>
          <w:rFonts w:ascii="Times New Roman" w:eastAsia="Times New Roman" w:hAnsi="Times New Roman" w:cs="Times New Roman"/>
          <w:sz w:val="20"/>
          <w:szCs w:val="20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0"/>
          <w:szCs w:val="20"/>
          <w:lang w:eastAsia="zh-CN"/>
        </w:rPr>
        <w:t>prací a dodávek s projektovou dokumentací.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Dozor nad vyhotovením dokumentace skutečného provedení stavby (DSPS).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sz w:val="20"/>
          <w:szCs w:val="20"/>
          <w:lang w:eastAsia="zh-CN"/>
        </w:rPr>
        <w:t>Účast na převzetí zhotoveného díla a provedení kontroly odevzdání veškerých potřebných dokladů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Činnost AD bude vykonávána min. 1x týdně. Na začátku stavebních prací a v důležitých fázích stavby, bude AD četnější. O kontrolních návštěvách AD mimo pravidelné kontrolní dny stavby bude investor vhodným způsobem informován.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sz w:val="20"/>
          <w:szCs w:val="20"/>
          <w:lang w:eastAsia="zh-CN"/>
        </w:rPr>
        <w:t>Kontrola odstraňování vad a nedodělků zjištěných při přebírání v dohodnutých termínech.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Hlavní projektant sestaví seznam osob, které mohou vykonávat AD z titulu předchozí aktivní účasti na</w:t>
      </w:r>
      <w:r w:rsidR="00007C08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 </w:t>
      </w: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zpracování projektu stavby.</w:t>
      </w:r>
    </w:p>
    <w:p w:rsidR="00C9665D" w:rsidRPr="00C9665D" w:rsidRDefault="00C9665D" w:rsidP="00C9665D">
      <w:pPr>
        <w:numPr>
          <w:ilvl w:val="2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Hlavní projektant zavede a bude průběžně vést deník AD.</w:t>
      </w:r>
    </w:p>
    <w:p w:rsidR="00C9665D" w:rsidRPr="00C9665D" w:rsidRDefault="00C9665D" w:rsidP="00C9665D">
      <w:pPr>
        <w:suppressAutoHyphens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</w:pPr>
    </w:p>
    <w:p w:rsidR="00007C08" w:rsidRDefault="00007C08" w:rsidP="00C9665D">
      <w:pPr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 w:bidi="cs-CZ"/>
        </w:rPr>
      </w:pPr>
    </w:p>
    <w:p w:rsidR="00C9665D" w:rsidRPr="00C9665D" w:rsidRDefault="001421B1" w:rsidP="00C9665D">
      <w:pPr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 w:bidi="cs-CZ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 w:bidi="cs-CZ"/>
        </w:rPr>
        <w:lastRenderedPageBreak/>
        <w:t>AD</w:t>
      </w:r>
      <w:r w:rsidR="00C9665D" w:rsidRPr="00C966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 w:bidi="cs-CZ"/>
        </w:rPr>
        <w:t xml:space="preserve"> je oprávněn:</w:t>
      </w:r>
    </w:p>
    <w:p w:rsidR="00C9665D" w:rsidRPr="00C9665D" w:rsidRDefault="00C9665D" w:rsidP="00C9665D">
      <w:pPr>
        <w:numPr>
          <w:ilvl w:val="0"/>
          <w:numId w:val="4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zastavit stavbu v případě zjištění závažných skutečností, které by mohly ohrozit kvalitu díla. </w:t>
      </w:r>
    </w:p>
    <w:p w:rsidR="00C9665D" w:rsidRPr="00C9665D" w:rsidRDefault="00C9665D" w:rsidP="00C9665D">
      <w:pPr>
        <w:numPr>
          <w:ilvl w:val="0"/>
          <w:numId w:val="4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striktně zamítnout změny řešení předložené zhotovitelem, pokud by to podle AD mohlo vést ke snížení kvality díla, zkrácení záruční doby nebo předpokládané životnosti stavby.</w:t>
      </w:r>
    </w:p>
    <w:p w:rsidR="008A295C" w:rsidRDefault="00C9665D" w:rsidP="00FD178B">
      <w:pPr>
        <w:numPr>
          <w:ilvl w:val="0"/>
          <w:numId w:val="4"/>
        </w:numPr>
        <w:suppressAutoHyphens/>
        <w:ind w:left="426"/>
        <w:jc w:val="both"/>
      </w:pPr>
      <w:r w:rsidRPr="00C9665D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odstoupit od smlouvy s objednatelem (investorem) bez sankcí v případě, že zhotovitel stavby nebo investor opakovaně nerespektuje výtky k technologii a kvalitě stavebních prací nebo v případě, že mu byly zamlčeny významné okolnosti se stavbou související.</w:t>
      </w:r>
      <w:r w:rsidR="00FD178B">
        <w:t xml:space="preserve"> </w:t>
      </w:r>
    </w:p>
    <w:sectPr w:rsidR="008A295C" w:rsidSect="00780643">
      <w:headerReference w:type="default" r:id="rId8"/>
      <w:footerReference w:type="default" r:id="rId9"/>
      <w:pgSz w:w="11906" w:h="16838"/>
      <w:pgMar w:top="1417" w:right="1417" w:bottom="1417" w:left="1417" w:header="283" w:footer="4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52" w:rsidRDefault="004B7152">
      <w:r>
        <w:separator/>
      </w:r>
    </w:p>
  </w:endnote>
  <w:endnote w:type="continuationSeparator" w:id="0">
    <w:p w:rsidR="004B7152" w:rsidRDefault="004B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005">
      <w:rPr>
        <w:noProof/>
      </w:rPr>
      <w:t>6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2815D982" wp14:editId="69461F20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52" w:rsidRDefault="004B7152">
      <w:r>
        <w:separator/>
      </w:r>
    </w:p>
  </w:footnote>
  <w:footnote w:type="continuationSeparator" w:id="0">
    <w:p w:rsidR="004B7152" w:rsidRDefault="004B7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643" w:rsidRPr="00362503" w:rsidRDefault="00780643" w:rsidP="00D7563F">
    <w:pPr>
      <w:pStyle w:val="Zhlav"/>
      <w:rPr>
        <w:b/>
        <w:lang w:val="cs-CZ"/>
      </w:rPr>
    </w:pPr>
    <w:r w:rsidRPr="00362503">
      <w:rPr>
        <w:b/>
        <w:lang w:val="cs-CZ"/>
      </w:rPr>
      <w:tab/>
    </w:r>
    <w:r w:rsidRPr="00362503">
      <w:rPr>
        <w:b/>
        <w:lang w:val="cs-CZ"/>
      </w:rPr>
      <w:tab/>
      <w:t>Smlouva U-291-00/17</w:t>
    </w:r>
  </w:p>
  <w:p w:rsidR="000B5BF5" w:rsidRDefault="009A4005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3295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46CF"/>
    <w:multiLevelType w:val="hybridMultilevel"/>
    <w:tmpl w:val="B94C1408"/>
    <w:lvl w:ilvl="0" w:tplc="D6F65A9A">
      <w:start w:val="1"/>
      <w:numFmt w:val="decimal"/>
      <w:lvlText w:val="1.%1"/>
      <w:lvlJc w:val="left"/>
      <w:pPr>
        <w:ind w:left="1277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97" w:hanging="360"/>
      </w:pPr>
    </w:lvl>
    <w:lvl w:ilvl="2" w:tplc="0405001B" w:tentative="1">
      <w:start w:val="1"/>
      <w:numFmt w:val="lowerRoman"/>
      <w:lvlText w:val="%3."/>
      <w:lvlJc w:val="right"/>
      <w:pPr>
        <w:ind w:left="2717" w:hanging="180"/>
      </w:pPr>
    </w:lvl>
    <w:lvl w:ilvl="3" w:tplc="0405000F" w:tentative="1">
      <w:start w:val="1"/>
      <w:numFmt w:val="decimal"/>
      <w:lvlText w:val="%4."/>
      <w:lvlJc w:val="left"/>
      <w:pPr>
        <w:ind w:left="3437" w:hanging="360"/>
      </w:pPr>
    </w:lvl>
    <w:lvl w:ilvl="4" w:tplc="04050019" w:tentative="1">
      <w:start w:val="1"/>
      <w:numFmt w:val="lowerLetter"/>
      <w:lvlText w:val="%5."/>
      <w:lvlJc w:val="left"/>
      <w:pPr>
        <w:ind w:left="4157" w:hanging="360"/>
      </w:pPr>
    </w:lvl>
    <w:lvl w:ilvl="5" w:tplc="0405001B" w:tentative="1">
      <w:start w:val="1"/>
      <w:numFmt w:val="lowerRoman"/>
      <w:lvlText w:val="%6."/>
      <w:lvlJc w:val="right"/>
      <w:pPr>
        <w:ind w:left="4877" w:hanging="180"/>
      </w:pPr>
    </w:lvl>
    <w:lvl w:ilvl="6" w:tplc="0405000F" w:tentative="1">
      <w:start w:val="1"/>
      <w:numFmt w:val="decimal"/>
      <w:lvlText w:val="%7."/>
      <w:lvlJc w:val="left"/>
      <w:pPr>
        <w:ind w:left="5597" w:hanging="360"/>
      </w:pPr>
    </w:lvl>
    <w:lvl w:ilvl="7" w:tplc="04050019" w:tentative="1">
      <w:start w:val="1"/>
      <w:numFmt w:val="lowerLetter"/>
      <w:lvlText w:val="%8."/>
      <w:lvlJc w:val="left"/>
      <w:pPr>
        <w:ind w:left="6317" w:hanging="360"/>
      </w:pPr>
    </w:lvl>
    <w:lvl w:ilvl="8" w:tplc="040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0AF1674E"/>
    <w:multiLevelType w:val="hybridMultilevel"/>
    <w:tmpl w:val="7FFEDA74"/>
    <w:lvl w:ilvl="0" w:tplc="04050017">
      <w:start w:val="1"/>
      <w:numFmt w:val="lowerLetter"/>
      <w:lvlText w:val="%1)"/>
      <w:lvlJc w:val="left"/>
      <w:pPr>
        <w:ind w:left="2534" w:hanging="360"/>
      </w:pPr>
    </w:lvl>
    <w:lvl w:ilvl="1" w:tplc="04050019" w:tentative="1">
      <w:start w:val="1"/>
      <w:numFmt w:val="lowerLetter"/>
      <w:lvlText w:val="%2."/>
      <w:lvlJc w:val="left"/>
      <w:pPr>
        <w:ind w:left="3254" w:hanging="360"/>
      </w:pPr>
    </w:lvl>
    <w:lvl w:ilvl="2" w:tplc="0405001B" w:tentative="1">
      <w:start w:val="1"/>
      <w:numFmt w:val="lowerRoman"/>
      <w:lvlText w:val="%3."/>
      <w:lvlJc w:val="right"/>
      <w:pPr>
        <w:ind w:left="3974" w:hanging="180"/>
      </w:pPr>
    </w:lvl>
    <w:lvl w:ilvl="3" w:tplc="0405000F" w:tentative="1">
      <w:start w:val="1"/>
      <w:numFmt w:val="decimal"/>
      <w:lvlText w:val="%4."/>
      <w:lvlJc w:val="left"/>
      <w:pPr>
        <w:ind w:left="4694" w:hanging="360"/>
      </w:pPr>
    </w:lvl>
    <w:lvl w:ilvl="4" w:tplc="04050019" w:tentative="1">
      <w:start w:val="1"/>
      <w:numFmt w:val="lowerLetter"/>
      <w:lvlText w:val="%5."/>
      <w:lvlJc w:val="left"/>
      <w:pPr>
        <w:ind w:left="5414" w:hanging="360"/>
      </w:pPr>
    </w:lvl>
    <w:lvl w:ilvl="5" w:tplc="0405001B" w:tentative="1">
      <w:start w:val="1"/>
      <w:numFmt w:val="lowerRoman"/>
      <w:lvlText w:val="%6."/>
      <w:lvlJc w:val="right"/>
      <w:pPr>
        <w:ind w:left="6134" w:hanging="180"/>
      </w:pPr>
    </w:lvl>
    <w:lvl w:ilvl="6" w:tplc="0405000F" w:tentative="1">
      <w:start w:val="1"/>
      <w:numFmt w:val="decimal"/>
      <w:lvlText w:val="%7."/>
      <w:lvlJc w:val="left"/>
      <w:pPr>
        <w:ind w:left="6854" w:hanging="360"/>
      </w:pPr>
    </w:lvl>
    <w:lvl w:ilvl="7" w:tplc="04050019" w:tentative="1">
      <w:start w:val="1"/>
      <w:numFmt w:val="lowerLetter"/>
      <w:lvlText w:val="%8."/>
      <w:lvlJc w:val="left"/>
      <w:pPr>
        <w:ind w:left="7574" w:hanging="360"/>
      </w:pPr>
    </w:lvl>
    <w:lvl w:ilvl="8" w:tplc="0405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6" w15:restartNumberingAfterBreak="0">
    <w:nsid w:val="0DCC73E8"/>
    <w:multiLevelType w:val="hybridMultilevel"/>
    <w:tmpl w:val="A1687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37293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68B9"/>
    <w:multiLevelType w:val="hybridMultilevel"/>
    <w:tmpl w:val="EC4A5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B421B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7E82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270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F64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70B1D"/>
    <w:multiLevelType w:val="hybridMultilevel"/>
    <w:tmpl w:val="EC4A5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35D11"/>
    <w:multiLevelType w:val="hybridMultilevel"/>
    <w:tmpl w:val="9EDA9000"/>
    <w:lvl w:ilvl="0" w:tplc="82E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4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1"/>
    <w:rsid w:val="00007C08"/>
    <w:rsid w:val="00011605"/>
    <w:rsid w:val="0013130F"/>
    <w:rsid w:val="001421B1"/>
    <w:rsid w:val="00145BA7"/>
    <w:rsid w:val="00152C29"/>
    <w:rsid w:val="002202D1"/>
    <w:rsid w:val="0028462B"/>
    <w:rsid w:val="00351E6B"/>
    <w:rsid w:val="00362503"/>
    <w:rsid w:val="004B7152"/>
    <w:rsid w:val="00780643"/>
    <w:rsid w:val="007C55EC"/>
    <w:rsid w:val="00815AF1"/>
    <w:rsid w:val="0088030A"/>
    <w:rsid w:val="008A295C"/>
    <w:rsid w:val="008B18D1"/>
    <w:rsid w:val="009A4005"/>
    <w:rsid w:val="00A02790"/>
    <w:rsid w:val="00A7469C"/>
    <w:rsid w:val="00A83458"/>
    <w:rsid w:val="00B81240"/>
    <w:rsid w:val="00C9665D"/>
    <w:rsid w:val="00D7563F"/>
    <w:rsid w:val="00D815DF"/>
    <w:rsid w:val="00D866C4"/>
    <w:rsid w:val="00E35F48"/>
    <w:rsid w:val="00E74DCC"/>
    <w:rsid w:val="00E835C5"/>
    <w:rsid w:val="00EB684B"/>
    <w:rsid w:val="00EE6B49"/>
    <w:rsid w:val="00F3002C"/>
    <w:rsid w:val="00F30570"/>
    <w:rsid w:val="00F37AF1"/>
    <w:rsid w:val="00FB4748"/>
    <w:rsid w:val="00FB4A4B"/>
    <w:rsid w:val="00FD178B"/>
    <w:rsid w:val="00FD1DEA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04133E5-0783-4801-9758-704C8B87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64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58B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4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340D-821E-483D-A113-4414DA1D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2223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BURDOVA Marketa</cp:lastModifiedBy>
  <cp:revision>6</cp:revision>
  <cp:lastPrinted>2017-07-10T10:22:00Z</cp:lastPrinted>
  <dcterms:created xsi:type="dcterms:W3CDTF">2017-07-11T08:09:00Z</dcterms:created>
  <dcterms:modified xsi:type="dcterms:W3CDTF">2017-07-17T08:54:00Z</dcterms:modified>
</cp:coreProperties>
</file>