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E64C5" w14:textId="77777777" w:rsidR="00C7768B" w:rsidRDefault="00FE36A1">
      <w:pPr>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Smlouva o účasti na řešení projektu</w:t>
      </w:r>
    </w:p>
    <w:p w14:paraId="32ACB654" w14:textId="77777777" w:rsidR="00C7768B" w:rsidRDefault="00C7768B">
      <w:pPr>
        <w:jc w:val="both"/>
        <w:rPr>
          <w:rFonts w:ascii="Times New Roman" w:eastAsia="Times New Roman" w:hAnsi="Times New Roman" w:cs="Times New Roman"/>
          <w:b/>
        </w:rPr>
      </w:pPr>
    </w:p>
    <w:p w14:paraId="26DB8969" w14:textId="77777777" w:rsidR="00C7768B" w:rsidRDefault="00FE36A1">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Článek I</w:t>
      </w:r>
    </w:p>
    <w:p w14:paraId="4F335344" w14:textId="77777777" w:rsidR="00C7768B" w:rsidRDefault="00FE36A1">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Smluvní strany</w:t>
      </w:r>
    </w:p>
    <w:p w14:paraId="7F0E3489" w14:textId="77777777" w:rsidR="00C7768B" w:rsidRDefault="00C7768B">
      <w:pPr>
        <w:jc w:val="both"/>
        <w:rPr>
          <w:rFonts w:ascii="Times New Roman" w:eastAsia="Times New Roman" w:hAnsi="Times New Roman" w:cs="Times New Roman"/>
          <w:sz w:val="24"/>
          <w:szCs w:val="24"/>
        </w:rPr>
      </w:pPr>
    </w:p>
    <w:p w14:paraId="5F026DFE" w14:textId="77777777" w:rsidR="00C7768B" w:rsidRDefault="00FE36A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LUKR CZ a.s.</w:t>
      </w:r>
    </w:p>
    <w:p w14:paraId="7B429DC9" w14:textId="77777777" w:rsidR="00C7768B" w:rsidRDefault="00FE3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 sídlem Pallova 44/12, 301 00 Plzeň</w:t>
      </w:r>
    </w:p>
    <w:p w14:paraId="45AC132B" w14:textId="06F7D0B0" w:rsidR="00C7768B" w:rsidRDefault="00FE3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zastoupená </w:t>
      </w:r>
      <w:r w:rsidR="00D859FC">
        <w:rPr>
          <w:rFonts w:ascii="Times New Roman" w:eastAsia="Times New Roman" w:hAnsi="Times New Roman" w:cs="Times New Roman"/>
          <w:sz w:val="24"/>
          <w:szCs w:val="24"/>
        </w:rPr>
        <w:t>x</w:t>
      </w:r>
      <w:r>
        <w:rPr>
          <w:rFonts w:ascii="Times New Roman" w:eastAsia="Times New Roman" w:hAnsi="Times New Roman" w:cs="Times New Roman"/>
          <w:sz w:val="24"/>
          <w:szCs w:val="24"/>
        </w:rPr>
        <w:t>.</w:t>
      </w:r>
    </w:p>
    <w:p w14:paraId="756828DE" w14:textId="616D6488" w:rsidR="00C7768B" w:rsidRDefault="00FE3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zapsaná u Krajského soudu v Plzni, spisová značka B/1227/KSPL</w:t>
      </w:r>
    </w:p>
    <w:p w14:paraId="37F4BB18" w14:textId="77777777" w:rsidR="00C7768B" w:rsidRDefault="00FE3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 25212541</w:t>
      </w:r>
    </w:p>
    <w:p w14:paraId="42BA57AB" w14:textId="77777777" w:rsidR="00C7768B" w:rsidRDefault="00FE3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„příjemce“)</w:t>
      </w:r>
    </w:p>
    <w:p w14:paraId="01C20DB2" w14:textId="77777777" w:rsidR="00C7768B" w:rsidRDefault="00C7768B">
      <w:pPr>
        <w:spacing w:after="0" w:line="240" w:lineRule="auto"/>
        <w:rPr>
          <w:rFonts w:ascii="Times New Roman" w:eastAsia="Times New Roman" w:hAnsi="Times New Roman" w:cs="Times New Roman"/>
          <w:color w:val="000000"/>
          <w:sz w:val="24"/>
          <w:szCs w:val="24"/>
        </w:rPr>
      </w:pPr>
    </w:p>
    <w:p w14:paraId="0C941F96" w14:textId="77777777" w:rsidR="00C7768B" w:rsidRDefault="00FE36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298C80A2" w14:textId="77777777" w:rsidR="00C7768B" w:rsidRDefault="00C7768B">
      <w:pPr>
        <w:spacing w:after="0" w:line="240" w:lineRule="auto"/>
        <w:rPr>
          <w:rFonts w:ascii="Times New Roman" w:eastAsia="Times New Roman" w:hAnsi="Times New Roman" w:cs="Times New Roman"/>
          <w:color w:val="000000"/>
          <w:sz w:val="24"/>
          <w:szCs w:val="24"/>
        </w:rPr>
      </w:pPr>
    </w:p>
    <w:p w14:paraId="0E2F87BC" w14:textId="77777777" w:rsidR="00C7768B" w:rsidRDefault="00FE36A1">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Západočeská univerzita v Plzni</w:t>
      </w:r>
    </w:p>
    <w:p w14:paraId="5076E710" w14:textId="77777777" w:rsidR="00C7768B" w:rsidRDefault="00FE36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sídlem Univerzitní 2732/8, 301 00 Plzeň</w:t>
      </w:r>
    </w:p>
    <w:p w14:paraId="7C8B3600" w14:textId="5A136555" w:rsidR="00C7768B" w:rsidRDefault="00FE36A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zastoupená </w:t>
      </w:r>
      <w:r w:rsidR="00D859FC">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 xml:space="preserve">., prorektorem pro </w:t>
      </w:r>
      <w:r w:rsidR="00C004C6">
        <w:rPr>
          <w:rFonts w:ascii="Times New Roman" w:eastAsia="Times New Roman" w:hAnsi="Times New Roman" w:cs="Times New Roman"/>
          <w:color w:val="000000"/>
          <w:sz w:val="24"/>
          <w:szCs w:val="24"/>
        </w:rPr>
        <w:t>tvůrčí činnost a doktorské studium</w:t>
      </w:r>
    </w:p>
    <w:p w14:paraId="03A396CA" w14:textId="77777777" w:rsidR="00C7768B" w:rsidRDefault="00FE36A1">
      <w:pPr>
        <w:spacing w:after="0" w:line="240" w:lineRule="auto"/>
        <w:rPr>
          <w:rFonts w:ascii="Times New Roman" w:eastAsia="Times New Roman" w:hAnsi="Times New Roman" w:cs="Times New Roman"/>
          <w:color w:val="000000"/>
          <w:sz w:val="24"/>
          <w:szCs w:val="24"/>
        </w:rPr>
      </w:pPr>
      <w:bookmarkStart w:id="3" w:name="_heading=h.3znysh7" w:colFirst="0" w:colLast="0"/>
      <w:bookmarkEnd w:id="3"/>
      <w:r>
        <w:rPr>
          <w:rFonts w:ascii="Times New Roman" w:eastAsia="Times New Roman" w:hAnsi="Times New Roman" w:cs="Times New Roman"/>
          <w:color w:val="000000"/>
          <w:sz w:val="24"/>
          <w:szCs w:val="24"/>
        </w:rPr>
        <w:t>IČO: 49777513 veřejná vysoká škola dle zákona č. 111/1998 Sb., v platném znění</w:t>
      </w:r>
    </w:p>
    <w:p w14:paraId="35DC6F5E" w14:textId="5D49A416" w:rsidR="00C7768B" w:rsidRDefault="00FE36A1">
      <w:pPr>
        <w:spacing w:after="0" w:line="240" w:lineRule="auto"/>
        <w:rPr>
          <w:rFonts w:ascii="Times New Roman" w:eastAsia="Times New Roman" w:hAnsi="Times New Roman" w:cs="Times New Roman"/>
          <w:color w:val="000000"/>
          <w:sz w:val="24"/>
          <w:szCs w:val="24"/>
        </w:rPr>
      </w:pPr>
      <w:bookmarkStart w:id="4" w:name="_heading=h.2et92p0" w:colFirst="0" w:colLast="0"/>
      <w:bookmarkEnd w:id="4"/>
      <w:r>
        <w:rPr>
          <w:rFonts w:ascii="Times New Roman" w:eastAsia="Times New Roman" w:hAnsi="Times New Roman" w:cs="Times New Roman"/>
          <w:color w:val="000000"/>
          <w:sz w:val="24"/>
          <w:szCs w:val="24"/>
        </w:rPr>
        <w:t xml:space="preserve">bankovní spojení: Komerční banka a.s., pobočka Plzeň – město, č. účtu: </w:t>
      </w:r>
      <w:r w:rsidR="00D859FC">
        <w:rPr>
          <w:rFonts w:ascii="Times New Roman" w:eastAsia="Times New Roman" w:hAnsi="Times New Roman" w:cs="Times New Roman"/>
          <w:color w:val="000000"/>
          <w:sz w:val="24"/>
          <w:szCs w:val="24"/>
        </w:rPr>
        <w:t>x</w:t>
      </w:r>
    </w:p>
    <w:p w14:paraId="64A93486" w14:textId="77777777" w:rsidR="00C7768B" w:rsidRDefault="00FE36A1">
      <w:pPr>
        <w:spacing w:line="240" w:lineRule="auto"/>
        <w:rPr>
          <w:rFonts w:ascii="Times New Roman" w:eastAsia="Times New Roman" w:hAnsi="Times New Roman" w:cs="Times New Roman"/>
          <w:color w:val="000000"/>
          <w:sz w:val="24"/>
          <w:szCs w:val="24"/>
        </w:rPr>
      </w:pPr>
      <w:bookmarkStart w:id="5" w:name="_heading=h.tyjcwt" w:colFirst="0" w:colLast="0"/>
      <w:bookmarkEnd w:id="5"/>
      <w:r>
        <w:rPr>
          <w:rFonts w:ascii="Times New Roman" w:eastAsia="Times New Roman" w:hAnsi="Times New Roman" w:cs="Times New Roman"/>
          <w:color w:val="000000"/>
          <w:sz w:val="24"/>
          <w:szCs w:val="24"/>
        </w:rPr>
        <w:t>(dále jen „další účastník projektu“)</w:t>
      </w:r>
    </w:p>
    <w:p w14:paraId="4A50EE8B" w14:textId="77777777" w:rsidR="00C7768B" w:rsidRDefault="00FE36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uzavřely níže uvedeného dne, měsíce a roku tuto smlouvu o účasti na řešení projektu (dále jen „smlouva“) podle § 1746 odst. 2 zákona č. 89/2012 Sb., občanský zákoník, ve znění pozdějších předpisů, a 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 (dále jen ZPVV“):</w:t>
      </w:r>
    </w:p>
    <w:p w14:paraId="1DDC199F" w14:textId="77777777" w:rsidR="00C7768B" w:rsidRDefault="00C7768B">
      <w:pPr>
        <w:spacing w:after="0" w:line="240" w:lineRule="auto"/>
        <w:jc w:val="center"/>
        <w:rPr>
          <w:rFonts w:ascii="Times New Roman" w:eastAsia="Times New Roman" w:hAnsi="Times New Roman" w:cs="Times New Roman"/>
          <w:b/>
          <w:sz w:val="24"/>
          <w:szCs w:val="24"/>
        </w:rPr>
      </w:pPr>
      <w:bookmarkStart w:id="6" w:name="_heading=h.3dy6vkm" w:colFirst="0" w:colLast="0"/>
      <w:bookmarkEnd w:id="6"/>
    </w:p>
    <w:p w14:paraId="1FCFBB69"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II</w:t>
      </w:r>
    </w:p>
    <w:p w14:paraId="7F556C07"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Předmět a účel smlouvy</w:t>
      </w:r>
    </w:p>
    <w:p w14:paraId="0B1E544A" w14:textId="77777777" w:rsidR="00C7768B" w:rsidRDefault="00FE36A1">
      <w:pPr>
        <w:numPr>
          <w:ilvl w:val="0"/>
          <w:numId w:val="1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strany usilují o poskytnutí dotace pro projekt s názvem "Inteligentní neinvazivní systém pro měření objemu tekutiny v tanku" (dále jen „projekt“) v rámci Operačního programu Technologie a aplikace pro konkurenceschopnost (dále též jen „OP TAK“), programu podpory Aplikace - I. výzva. V této souvislosti smluvní strany pro případ, že Ministerstvo průmyslu a obchodu (dále jen „poskytovatel“) rozhodne o podpoření projektu a vydá Rozhodnutí o poskytnutí dotace, uzavírají tuto smlouvu. </w:t>
      </w:r>
    </w:p>
    <w:p w14:paraId="25944538" w14:textId="10A4EEAB" w:rsidR="00C7768B" w:rsidRDefault="00FE36A1">
      <w:pPr>
        <w:numPr>
          <w:ilvl w:val="0"/>
          <w:numId w:val="1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Předmětem této smlouvy je vymezení právního postavení příjemce a další</w:t>
      </w:r>
      <w:r w:rsidR="007F6AED">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projektu, jejich úlohy a odpovědnosti, jakož i úprava jejich vzájemných práv a povinností při realizaci projektu a úprava práv a povinností k hmotnému majetku nutnému k řešení projektu a k výsledkům projektu. </w:t>
      </w:r>
    </w:p>
    <w:p w14:paraId="443040DF" w14:textId="2264BE49" w:rsidR="00C7768B" w:rsidRDefault="00FE36A1">
      <w:pPr>
        <w:numPr>
          <w:ilvl w:val="0"/>
          <w:numId w:val="1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Předmětem této Smlouvy je dále vymezení podmínek, za kterých bude příjemcem poskytnuta část účelových finančních prostředků dalším</w:t>
      </w:r>
      <w:r w:rsidR="007F6AE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ovi</w:t>
      </w:r>
      <w:r>
        <w:rPr>
          <w:rFonts w:ascii="Times New Roman" w:eastAsia="Times New Roman" w:hAnsi="Times New Roman" w:cs="Times New Roman"/>
          <w:sz w:val="24"/>
          <w:szCs w:val="24"/>
        </w:rPr>
        <w:t xml:space="preserve"> projektu.</w:t>
      </w:r>
    </w:p>
    <w:p w14:paraId="0A358873" w14:textId="77777777" w:rsidR="00C7768B" w:rsidRDefault="00C7768B">
      <w:pPr>
        <w:spacing w:before="240" w:after="0" w:line="240" w:lineRule="auto"/>
        <w:jc w:val="center"/>
        <w:rPr>
          <w:rFonts w:ascii="Times New Roman" w:eastAsia="Times New Roman" w:hAnsi="Times New Roman" w:cs="Times New Roman"/>
          <w:b/>
          <w:sz w:val="24"/>
          <w:szCs w:val="24"/>
        </w:rPr>
      </w:pPr>
    </w:p>
    <w:p w14:paraId="6AC8A8CA" w14:textId="77777777" w:rsidR="00C7768B" w:rsidRDefault="00FE36A1">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III</w:t>
      </w:r>
    </w:p>
    <w:p w14:paraId="2F002D98"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Práva a povinnosti smluvních stran</w:t>
      </w:r>
    </w:p>
    <w:p w14:paraId="34E1DC63" w14:textId="1A6B5584"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Každá ze smluvních stran je povinna jednat způsobem, který neohrožuje realizaci projektu a zájmy příjemce a další</w:t>
      </w:r>
      <w:r w:rsidR="007F6AED">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projektu. </w:t>
      </w:r>
    </w:p>
    <w:p w14:paraId="57D09655" w14:textId="63637CC6"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a další účastní</w:t>
      </w:r>
      <w:r w:rsidR="007F6AED">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projektu jsou povinni při realizaci projektu postupovat v souladu s podnikatelským záměrem, který je přílohou žádosti o podporu projektu, touto smlouvou, Rozhodnutím o poskytnutí dotace na projekt, Pravidly pro žadatele a příjemce z OP TAK – obecná a zvláštní část, Pravidly pro výběr dodavatelů, Výzvou I programu podpory APLIKACE, vč. jejích příloh a navazující dokumentace (dále všechny výše v tomto odstavci uvedené dokumenty společně jen „zadávací dokumentace“) a příslušnými právními předpisy ČR a EU. V případě povinností, které nejsou upraveny v této smlouvě, se postupuje dle zadávací dokumentace. Další účastní</w:t>
      </w:r>
      <w:r w:rsidR="007F6AED">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projektu se řídí zadávací dokumentací s výjimkou ustanovení, z jejichž podstaty vyplývá, že se nemohou vztahovat na další</w:t>
      </w:r>
      <w:r w:rsidR="007F6AED">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projektu</w:t>
      </w:r>
      <w:r w:rsidR="007F6AED">
        <w:rPr>
          <w:rFonts w:ascii="Times New Roman" w:eastAsia="Times New Roman" w:hAnsi="Times New Roman" w:cs="Times New Roman"/>
          <w:sz w:val="24"/>
          <w:szCs w:val="24"/>
        </w:rPr>
        <w:t>.</w:t>
      </w:r>
    </w:p>
    <w:p w14:paraId="782428F2" w14:textId="77777777"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1E43C59A" w14:textId="4DABEE91"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Další účastní</w:t>
      </w:r>
      <w:r w:rsidR="007F6AED">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projektu se zavazuj</w:t>
      </w:r>
      <w:r w:rsidR="007F6AED">
        <w:rPr>
          <w:rFonts w:ascii="Times New Roman" w:eastAsia="Times New Roman" w:hAnsi="Times New Roman" w:cs="Times New Roman"/>
          <w:sz w:val="24"/>
          <w:szCs w:val="24"/>
        </w:rPr>
        <w:t>e</w:t>
      </w:r>
      <w:r>
        <w:rPr>
          <w:rFonts w:ascii="Times New Roman" w:eastAsia="Times New Roman" w:hAnsi="Times New Roman" w:cs="Times New Roman"/>
          <w:sz w:val="24"/>
          <w:szCs w:val="24"/>
        </w:rPr>
        <w:t>:</w:t>
      </w:r>
    </w:p>
    <w:p w14:paraId="290057D3"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0D35F9F2" w14:textId="57EC1A40"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účtovat o majetku, příjmech a výdajích souvisejících s projektem (např. na zvláštních analytických </w:t>
      </w:r>
      <w:r w:rsidR="007F6AED">
        <w:rPr>
          <w:rFonts w:ascii="Times New Roman" w:eastAsia="Times New Roman" w:hAnsi="Times New Roman" w:cs="Times New Roman"/>
          <w:sz w:val="24"/>
          <w:szCs w:val="24"/>
        </w:rPr>
        <w:t>účtech</w:t>
      </w:r>
      <w:r>
        <w:rPr>
          <w:rFonts w:ascii="Times New Roman" w:eastAsia="Times New Roman" w:hAnsi="Times New Roman" w:cs="Times New Roman"/>
          <w:sz w:val="24"/>
          <w:szCs w:val="24"/>
        </w:rPr>
        <w:t>,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vazbou na projekt,</w:t>
      </w:r>
    </w:p>
    <w:p w14:paraId="6AC2668B"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žádost příjemce bezodkladně poskytnout podklady pro monitorovací zprávy o projektu a potřebné doplňující informace související s realizací projektu,</w:t>
      </w:r>
    </w:p>
    <w:p w14:paraId="3EE4D416"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6BA937EA"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postupovat při výběru dodavatelů v souladu se zákonem č. 134/2016 Sb., o zadávání veřejných zakázek, ve znění pozdějších předpisů nebo Pravidly pro výběr dodavatelů, </w:t>
      </w:r>
    </w:p>
    <w:p w14:paraId="55D309BD"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1C2969B6"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dodržovat povinnost publicity v souladu s Pravidly pro žadatele a příjemce – obecná část,</w:t>
      </w:r>
    </w:p>
    <w:p w14:paraId="7BC91A9E"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6D0F25BE"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přijímat příslušná nápravná opatření uložená kontrolními orgány, </w:t>
      </w:r>
    </w:p>
    <w:p w14:paraId="7927DE16" w14:textId="77777777" w:rsidR="00C7768B" w:rsidRDefault="00FE36A1">
      <w:pPr>
        <w:numPr>
          <w:ilvl w:val="0"/>
          <w:numId w:val="12"/>
        </w:num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14:paraId="097FD9C6" w14:textId="77777777"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08D22413" w14:textId="17B7E078"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se případná změna projektu bude týkat i dalšího účastníka projektu, je příjemce oprávněn požádat poskytovatele o změnu pouze na základě dohody </w:t>
      </w:r>
      <w:r w:rsidR="007F6AED">
        <w:rPr>
          <w:rFonts w:ascii="Times New Roman" w:eastAsia="Times New Roman" w:hAnsi="Times New Roman" w:cs="Times New Roman"/>
          <w:sz w:val="24"/>
          <w:szCs w:val="24"/>
        </w:rPr>
        <w:t xml:space="preserve">obou </w:t>
      </w:r>
      <w:r>
        <w:rPr>
          <w:rFonts w:ascii="Times New Roman" w:eastAsia="Times New Roman" w:hAnsi="Times New Roman" w:cs="Times New Roman"/>
          <w:sz w:val="24"/>
          <w:szCs w:val="24"/>
        </w:rPr>
        <w:t xml:space="preserve">smluvních stran. </w:t>
      </w:r>
    </w:p>
    <w:p w14:paraId="00BEA7A6" w14:textId="42B4ABF4" w:rsidR="00C7768B" w:rsidRDefault="00FE36A1">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w:t>
      </w:r>
      <w:r w:rsidR="007F6AED">
        <w:rPr>
          <w:rFonts w:ascii="Times New Roman" w:eastAsia="Times New Roman" w:hAnsi="Times New Roman" w:cs="Times New Roman"/>
          <w:sz w:val="24"/>
          <w:szCs w:val="24"/>
        </w:rPr>
        <w:t xml:space="preserve">druhé </w:t>
      </w:r>
      <w:r>
        <w:rPr>
          <w:rFonts w:ascii="Times New Roman" w:eastAsia="Times New Roman" w:hAnsi="Times New Roman" w:cs="Times New Roman"/>
          <w:sz w:val="24"/>
          <w:szCs w:val="24"/>
        </w:rPr>
        <w:t>smluvní stran</w:t>
      </w:r>
      <w:r w:rsidR="007F6AED">
        <w:rPr>
          <w:rFonts w:ascii="Times New Roman" w:eastAsia="Times New Roman" w:hAnsi="Times New Roman" w:cs="Times New Roman"/>
          <w:sz w:val="24"/>
          <w:szCs w:val="24"/>
        </w:rPr>
        <w:t>ě</w:t>
      </w:r>
      <w:r>
        <w:rPr>
          <w:rFonts w:ascii="Times New Roman" w:eastAsia="Times New Roman" w:hAnsi="Times New Roman" w:cs="Times New Roman"/>
          <w:sz w:val="24"/>
          <w:szCs w:val="24"/>
        </w:rPr>
        <w:t xml:space="preserve"> za způsobenou škodu. </w:t>
      </w:r>
    </w:p>
    <w:p w14:paraId="2D324E5E" w14:textId="2804EF93" w:rsidR="00C7768B" w:rsidRDefault="00FE36A1">
      <w:pPr>
        <w:numPr>
          <w:ilvl w:val="0"/>
          <w:numId w:val="4"/>
        </w:num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Po započetí realizace projektu není Příjemce oprávněn vzdát se práva na čerpání dotace přiznané Rozhodnutím o poskytnutí dotace bez předchozího písemného souhlasu další</w:t>
      </w:r>
      <w:r w:rsidR="007F6AED">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projektu. </w:t>
      </w:r>
    </w:p>
    <w:p w14:paraId="7DF5356D" w14:textId="77777777" w:rsidR="00C7768B" w:rsidRDefault="00C7768B">
      <w:pPr>
        <w:spacing w:after="0" w:line="240" w:lineRule="auto"/>
        <w:jc w:val="center"/>
        <w:rPr>
          <w:rFonts w:ascii="Times New Roman" w:eastAsia="Times New Roman" w:hAnsi="Times New Roman" w:cs="Times New Roman"/>
          <w:b/>
          <w:sz w:val="24"/>
          <w:szCs w:val="24"/>
        </w:rPr>
      </w:pPr>
    </w:p>
    <w:p w14:paraId="430F94AA"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IV</w:t>
      </w:r>
    </w:p>
    <w:p w14:paraId="47C71BF1"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Financování projektu</w:t>
      </w:r>
    </w:p>
    <w:p w14:paraId="3C87D2C1" w14:textId="77777777"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bude financován z prostředků, které budou poskytnuty příjemci formou dotace z Operačního programu Technologie a aplikace pro konkurenceschopnost.</w:t>
      </w:r>
    </w:p>
    <w:p w14:paraId="41AD06A9" w14:textId="77777777"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Podíl smluvních stran na rozpočtu projektu je následující:</w:t>
      </w:r>
    </w:p>
    <w:p w14:paraId="25E5655A" w14:textId="77777777" w:rsidR="00C7768B" w:rsidRDefault="00FE36A1">
      <w:pPr>
        <w:spacing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Způsobilé výdaje jsou vymezeny v rozpočtu projektu uvedeném v žádosti o podporu ve formuláři Rozpočet, který zároveň tvoří přílohu č. 1 této smlouvy. </w:t>
      </w:r>
    </w:p>
    <w:p w14:paraId="6C6DED02" w14:textId="77777777" w:rsidR="00C7768B" w:rsidRDefault="00FE36A1">
      <w:pPr>
        <w:spacing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Celková částka dotace na projekt za celou dobu jeho řešení je uvedena v příloze č. 1 této smlouvy. V příloze č. 1 je taktéž stanoven:</w:t>
      </w:r>
    </w:p>
    <w:p w14:paraId="502A5239" w14:textId="77777777" w:rsidR="00C7768B" w:rsidRDefault="00FE36A1">
      <w:pPr>
        <w:numPr>
          <w:ilvl w:val="1"/>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podíl příjemce a dalších účastníků projektu na způsobilých výdajích a dotaci</w:t>
      </w:r>
    </w:p>
    <w:p w14:paraId="02A12F26" w14:textId="77777777" w:rsidR="00C7768B" w:rsidRDefault="00FE36A1">
      <w:pPr>
        <w:numPr>
          <w:ilvl w:val="1"/>
          <w:numId w:val="12"/>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rozdělení průmyslového výzkumu a experimentálního vývoje mezi jednotlivé smluvní strany.</w:t>
      </w:r>
    </w:p>
    <w:p w14:paraId="7C9A817E" w14:textId="77777777" w:rsidR="00C7768B" w:rsidRDefault="00FE36A1">
      <w:pPr>
        <w:spacing w:after="12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V případě rozporu přílohy č. 1 této smlouvy a Rozhodnutí o poskytnutí dotace k projektu, vč. jeho příloh, se postupuje dle Rozhodnutí o poskytnutí dotace.</w:t>
      </w:r>
    </w:p>
    <w:p w14:paraId="4E66C3EC" w14:textId="027542FD"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jsou povinny dodržovat strukturu výdajů v členění na příjemce a další</w:t>
      </w:r>
      <w:r w:rsidR="007F6AED">
        <w:rPr>
          <w:rFonts w:ascii="Times New Roman" w:eastAsia="Times New Roman" w:hAnsi="Times New Roman" w:cs="Times New Roman"/>
          <w:sz w:val="24"/>
          <w:szCs w:val="24"/>
        </w:rPr>
        <w:t>ho</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projektu a v členění na položky rozpočtu. Pokud se případná změna struktury výdajů a členění na položky rozpočtu projektu bude týkat i dalšího účastníka projektu, je příjemce oprávněn požádat poskytovatele o změnu na základě dohody </w:t>
      </w:r>
      <w:r w:rsidR="007F6AED">
        <w:rPr>
          <w:rFonts w:ascii="Times New Roman" w:eastAsia="Times New Roman" w:hAnsi="Times New Roman" w:cs="Times New Roman"/>
          <w:sz w:val="24"/>
          <w:szCs w:val="24"/>
        </w:rPr>
        <w:t xml:space="preserve">obou </w:t>
      </w:r>
      <w:r>
        <w:rPr>
          <w:rFonts w:ascii="Times New Roman" w:eastAsia="Times New Roman" w:hAnsi="Times New Roman" w:cs="Times New Roman"/>
          <w:sz w:val="24"/>
          <w:szCs w:val="24"/>
        </w:rPr>
        <w:t xml:space="preserve">smluvních stran. </w:t>
      </w:r>
    </w:p>
    <w:p w14:paraId="57771CF5" w14:textId="0E413010"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w:t>
      </w:r>
      <w:r>
        <w:rPr>
          <w:rFonts w:ascii="Times New Roman" w:eastAsia="Times New Roman" w:hAnsi="Times New Roman" w:cs="Times New Roman"/>
          <w:sz w:val="24"/>
          <w:szCs w:val="24"/>
        </w:rPr>
        <w:lastRenderedPageBreak/>
        <w:t>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w:t>
      </w:r>
      <w:r w:rsidR="007F6AED">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projektu j</w:t>
      </w:r>
      <w:r w:rsidR="007F6AE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povin</w:t>
      </w:r>
      <w:r w:rsidR="007F6AE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 poskytnout příjemci veškeré podklady potřebné pro vypracování žádosti o platbu.   </w:t>
      </w:r>
    </w:p>
    <w:p w14:paraId="0F9ED63F" w14:textId="4E3F152F"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je povinen poskytnout dalším</w:t>
      </w:r>
      <w:r w:rsidR="007F6AE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ovi</w:t>
      </w:r>
      <w:r>
        <w:rPr>
          <w:rFonts w:ascii="Times New Roman" w:eastAsia="Times New Roman" w:hAnsi="Times New Roman" w:cs="Times New Roman"/>
          <w:sz w:val="24"/>
          <w:szCs w:val="24"/>
        </w:rPr>
        <w:t xml:space="preserve"> projektu dotaci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Ujednáním o smluvní pokutě není dotčen nárok na náhradu škody v plné výši. </w:t>
      </w:r>
    </w:p>
    <w:p w14:paraId="5B8DF04C" w14:textId="77777777"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6F488366" w14:textId="77777777"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BE5E08E" w14:textId="77777777"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4CE49535" w14:textId="1D22DF1B" w:rsidR="00C7768B" w:rsidRDefault="00FE36A1">
      <w:pPr>
        <w:numPr>
          <w:ilvl w:val="0"/>
          <w:numId w:val="1"/>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strana, která způsobí, že žádost o platbu bude ze strany poskytovatele pozastavena nebo zamítnuta, odpovídá ostatním smluvním stranám za způsobenou škodu. </w:t>
      </w:r>
    </w:p>
    <w:p w14:paraId="5DD5D816" w14:textId="08177E11" w:rsidR="007F6AED" w:rsidRDefault="007F6AED">
      <w:pPr>
        <w:numPr>
          <w:ilvl w:val="0"/>
          <w:numId w:val="1"/>
        </w:numPr>
        <w:spacing w:after="120" w:line="240" w:lineRule="auto"/>
        <w:ind w:left="357" w:hanging="357"/>
        <w:jc w:val="both"/>
        <w:rPr>
          <w:rFonts w:ascii="Times New Roman" w:eastAsia="Times New Roman" w:hAnsi="Times New Roman" w:cs="Times New Roman"/>
          <w:sz w:val="24"/>
          <w:szCs w:val="24"/>
        </w:rPr>
      </w:pPr>
      <w:r w:rsidRPr="00485A7A">
        <w:rPr>
          <w:rFonts w:ascii="Times New Roman" w:hAnsi="Times New Roman" w:cs="Times New Roman"/>
          <w:sz w:val="24"/>
          <w:szCs w:val="24"/>
        </w:rPr>
        <w:t>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w:t>
      </w:r>
      <w:r>
        <w:rPr>
          <w:rFonts w:ascii="Times New Roman" w:hAnsi="Times New Roman" w:cs="Times New Roman"/>
          <w:sz w:val="24"/>
          <w:szCs w:val="24"/>
        </w:rPr>
        <w:t> </w:t>
      </w:r>
      <w:r w:rsidRPr="00485A7A">
        <w:rPr>
          <w:rFonts w:ascii="Times New Roman" w:hAnsi="Times New Roman" w:cs="Times New Roman"/>
          <w:sz w:val="24"/>
          <w:szCs w:val="24"/>
        </w:rPr>
        <w:t>úhradě</w:t>
      </w:r>
      <w:r>
        <w:rPr>
          <w:rFonts w:ascii="Times New Roman" w:hAnsi="Times New Roman" w:cs="Times New Roman"/>
          <w:sz w:val="24"/>
          <w:szCs w:val="24"/>
        </w:rPr>
        <w:t>.</w:t>
      </w:r>
    </w:p>
    <w:p w14:paraId="59669AEB" w14:textId="77777777" w:rsidR="007F6AED" w:rsidRDefault="007F6AED">
      <w:pPr>
        <w:spacing w:after="0" w:line="240" w:lineRule="auto"/>
        <w:jc w:val="center"/>
        <w:rPr>
          <w:rFonts w:ascii="Times New Roman" w:eastAsia="Times New Roman" w:hAnsi="Times New Roman" w:cs="Times New Roman"/>
          <w:b/>
          <w:sz w:val="24"/>
          <w:szCs w:val="24"/>
        </w:rPr>
      </w:pPr>
    </w:p>
    <w:p w14:paraId="783CE220" w14:textId="125B7365"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V</w:t>
      </w:r>
    </w:p>
    <w:p w14:paraId="52BBD797"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Práva ke hmotnému majetku</w:t>
      </w:r>
    </w:p>
    <w:p w14:paraId="0B4AA056" w14:textId="77777777" w:rsidR="00C7768B" w:rsidRDefault="00FE36A1">
      <w:pPr>
        <w:numPr>
          <w:ilvl w:val="0"/>
          <w:numId w:val="5"/>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Vlastníkem hmotného majetku, nutného k řešení projektu je ta smluvní strana, která daný hmotný majetek pořídila. Pokud došlo k pořízení hmotného majetku smluvními stranami společně, je předmětný hmotný majetek v podílovém spoluvlastnictví těchto smluvních stran, přičemž jejich podíl na vlastnictví hmotného majetku se stanoví podle poměru finančních prostředků vynaložených na pořízení předmětného hmotného majetku.</w:t>
      </w:r>
    </w:p>
    <w:p w14:paraId="48F5CCF9" w14:textId="77777777" w:rsidR="00C7768B" w:rsidRDefault="00FE36A1">
      <w:pPr>
        <w:numPr>
          <w:ilvl w:val="0"/>
          <w:numId w:val="5"/>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Hmotný majetek podle odstavce 1 jsou smluvní strany oprávněny využívat pro řešení projektu bezplatně.</w:t>
      </w:r>
    </w:p>
    <w:p w14:paraId="18C53C1C" w14:textId="77777777" w:rsidR="00C7768B" w:rsidRDefault="00FE36A1">
      <w:pPr>
        <w:numPr>
          <w:ilvl w:val="0"/>
          <w:numId w:val="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310C5F82"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Článek VI</w:t>
      </w:r>
    </w:p>
    <w:p w14:paraId="42B8DC90"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Řízení vnesených práv</w:t>
      </w:r>
    </w:p>
    <w:p w14:paraId="48F24E16" w14:textId="77777777" w:rsidR="00C7768B" w:rsidRDefault="00FE36A1">
      <w:pPr>
        <w:numPr>
          <w:ilvl w:val="0"/>
          <w:numId w:val="8"/>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vnesená práva jsou považována taková práva duševního vlastnictví (tj. autorská práva, práva průmyslového vlastnictví, know-how, obchodní tajemství apod.), která mají smluvní strany v době uzavření této smlouvy nebo je získají později nezávisle na řešení projektu a jsou pro řešení projektu nezbytná.</w:t>
      </w:r>
    </w:p>
    <w:p w14:paraId="12AA90AA" w14:textId="77777777" w:rsidR="00C7768B" w:rsidRDefault="00FE36A1">
      <w:pPr>
        <w:numPr>
          <w:ilvl w:val="0"/>
          <w:numId w:val="8"/>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Vnesená práva druhé smluvní strany mohou smluvní strany užívat bezplatně pro potřeby řešení projektu. K jiným účelům může smluvní strana užívat vnesená práva druhé smluvní strany pouze na základě předchozí písemné licenční smlouvy za běžných tržních podmínek. </w:t>
      </w:r>
    </w:p>
    <w:p w14:paraId="347C8819" w14:textId="77777777" w:rsidR="00C7768B" w:rsidRDefault="00FE36A1">
      <w:pPr>
        <w:numPr>
          <w:ilvl w:val="0"/>
          <w:numId w:val="8"/>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nesmí vnesená práva druhé smluvní strany poskytnout třetím osobám a nesmějí je komerčně využívat.</w:t>
      </w:r>
    </w:p>
    <w:p w14:paraId="287E05B8" w14:textId="77777777" w:rsidR="00C7768B" w:rsidRDefault="00C7768B">
      <w:pPr>
        <w:spacing w:line="240" w:lineRule="auto"/>
        <w:jc w:val="both"/>
        <w:rPr>
          <w:rFonts w:ascii="Times New Roman" w:eastAsia="Times New Roman" w:hAnsi="Times New Roman" w:cs="Times New Roman"/>
          <w:b/>
          <w:sz w:val="24"/>
          <w:szCs w:val="24"/>
        </w:rPr>
      </w:pPr>
    </w:p>
    <w:p w14:paraId="05AE2722"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VII</w:t>
      </w:r>
    </w:p>
    <w:p w14:paraId="051FFB2D"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Práva k výsledkům projektu</w:t>
      </w:r>
    </w:p>
    <w:p w14:paraId="36F3AD30"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Výsledkem projektu se pro účely této smlouvy rozumí výsledky podle ust. § 2 odst. 2 písm. k) ZPVV vzniklé samostatnou činností příjemce nebo dalšího účastníka projektu nebo společným spolupůsobením smluvních stran v rámci řešení projektu (dále jen „výsledek projektu“).</w:t>
      </w:r>
    </w:p>
    <w:p w14:paraId="3D47DAFC"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Vlastníkem práv k výsledku projektu je příjemce nebo další účastník projektu, podle toho, kdo takového výsledku projektu dosáhl sám. Pokud došlo k dosažení výsledku projektu smluvním stranami společně, je předmětný výsledek projektu v podílovém spoluvlastnictví smluvních stran, a to v poměru majetkových podílů, v jakém se na vytvoření výsledku projektu tvůrčí prací podíleli pracovníci každé z příslušných Smluvních stran. Pokud není možné určit míru tvůrčích příspěvků na dosažení výsledku projektu a smluvní strany se nedohodly jinak, je spoluvlastnický podíl smluvních stran podílejících se na jeho dosažení stejný. Při stanovení spoluvlastnického podílu se dále úměrně přihlíží k poměru nákladů smluvních stran tak, aby nedocházelo k zakázané nepřímé veřejné podpoře.</w:t>
      </w:r>
    </w:p>
    <w:p w14:paraId="08A8D981"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Výsledek projektu ve vlastnictví jiné smluvní strany mohou ostatní smluvní strany užívat bezplatně pro účely řešení projektu. K jiným účelům může smluvní strana užívat výsledky jiné smluvní strany pouze na základě předchozí písemné licenční smlouvy za běžných tržních podmínek.</w:t>
      </w:r>
    </w:p>
    <w:p w14:paraId="50ACE92D"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147A4FD9"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r>
        <w:rPr>
          <w:rFonts w:ascii="Times New Roman" w:eastAsia="Times New Roman" w:hAnsi="Times New Roman" w:cs="Times New Roman"/>
          <w:sz w:val="24"/>
          <w:szCs w:val="24"/>
        </w:rPr>
        <w:lastRenderedPageBreak/>
        <w:t xml:space="preserve">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 </w:t>
      </w:r>
    </w:p>
    <w:p w14:paraId="3355EBE9"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02480657"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jsou povinny zajistit výsledkům projektu adekvátní ochranu podle předpisů práva duševního vlastnictví. 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2027F007" w14:textId="77777777" w:rsidR="00C7768B" w:rsidRDefault="00FE36A1">
      <w:pPr>
        <w:numPr>
          <w:ilvl w:val="0"/>
          <w:numId w:val="9"/>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37300DC5" w14:textId="77777777" w:rsidR="00C7768B" w:rsidRDefault="00C7768B">
      <w:pPr>
        <w:spacing w:after="0" w:line="240" w:lineRule="auto"/>
        <w:jc w:val="center"/>
        <w:rPr>
          <w:rFonts w:ascii="Times New Roman" w:eastAsia="Times New Roman" w:hAnsi="Times New Roman" w:cs="Times New Roman"/>
          <w:b/>
          <w:sz w:val="24"/>
          <w:szCs w:val="24"/>
        </w:rPr>
      </w:pPr>
    </w:p>
    <w:p w14:paraId="498D0526"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VIII</w:t>
      </w:r>
    </w:p>
    <w:p w14:paraId="420B60B1"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Mlčenlivost</w:t>
      </w:r>
    </w:p>
    <w:p w14:paraId="498930A1" w14:textId="77777777" w:rsidR="00C7768B" w:rsidRDefault="00FE36A1">
      <w:pPr>
        <w:numPr>
          <w:ilvl w:val="0"/>
          <w:numId w:val="6"/>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2F1B7186" w14:textId="77777777" w:rsidR="00C7768B" w:rsidRDefault="00FE36A1">
      <w:pPr>
        <w:numPr>
          <w:ilvl w:val="0"/>
          <w:numId w:val="6"/>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Závazek dle odst. 1 tohoto článku se nevztahuje na informace, které:</w:t>
      </w:r>
    </w:p>
    <w:p w14:paraId="4ADEDDC6" w14:textId="77777777" w:rsidR="00C7768B" w:rsidRDefault="00FE36A1">
      <w:pPr>
        <w:numPr>
          <w:ilvl w:val="0"/>
          <w:numId w:val="7"/>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byly písemným souhlasem smluvní strany uvolněny od těchto omezení;</w:t>
      </w:r>
    </w:p>
    <w:p w14:paraId="62EEC254" w14:textId="77777777" w:rsidR="00C7768B" w:rsidRDefault="00FE36A1">
      <w:pPr>
        <w:numPr>
          <w:ilvl w:val="0"/>
          <w:numId w:val="7"/>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jsou veřejně dostupné nebo byly zveřejněny jinak než porušením povinnosti smluvní strany, které byly poskytnuty;</w:t>
      </w:r>
    </w:p>
    <w:p w14:paraId="7CA202B4" w14:textId="77777777" w:rsidR="00C7768B" w:rsidRDefault="00FE36A1">
      <w:pPr>
        <w:numPr>
          <w:ilvl w:val="0"/>
          <w:numId w:val="7"/>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strana, které byly poskytnuty, je znala zcela prokazatelně dříve, než jí byly sděleny;</w:t>
      </w:r>
    </w:p>
    <w:p w14:paraId="6E4EACB2" w14:textId="77777777" w:rsidR="00C7768B" w:rsidRDefault="00FE36A1">
      <w:pPr>
        <w:numPr>
          <w:ilvl w:val="0"/>
          <w:numId w:val="7"/>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budou vyvinuty smluvní stranou zcela nezávisle na předchozím sdělení informací smluvní stranou;</w:t>
      </w:r>
    </w:p>
    <w:p w14:paraId="5B442BDD" w14:textId="77777777" w:rsidR="00C7768B" w:rsidRDefault="00FE36A1">
      <w:pPr>
        <w:numPr>
          <w:ilvl w:val="0"/>
          <w:numId w:val="7"/>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budou poskytnuty třetí stranou, která nebude požadovat jejich utajení;</w:t>
      </w:r>
    </w:p>
    <w:p w14:paraId="61539938" w14:textId="77777777" w:rsidR="00C7768B" w:rsidRDefault="00FE36A1">
      <w:pPr>
        <w:numPr>
          <w:ilvl w:val="0"/>
          <w:numId w:val="7"/>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smluvní strana povinna poskytnout ke splnění své zákonné povinnosti.</w:t>
      </w:r>
    </w:p>
    <w:p w14:paraId="5F29F4AD" w14:textId="77777777" w:rsidR="00C7768B" w:rsidRDefault="00FE36A1">
      <w:pPr>
        <w:numPr>
          <w:ilvl w:val="0"/>
          <w:numId w:val="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64F81E27" w14:textId="77777777" w:rsidR="00C7768B" w:rsidRDefault="00C7768B">
      <w:pPr>
        <w:spacing w:line="240" w:lineRule="auto"/>
        <w:jc w:val="both"/>
        <w:rPr>
          <w:rFonts w:ascii="Times New Roman" w:eastAsia="Times New Roman" w:hAnsi="Times New Roman" w:cs="Times New Roman"/>
          <w:b/>
          <w:sz w:val="24"/>
          <w:szCs w:val="24"/>
        </w:rPr>
      </w:pPr>
    </w:p>
    <w:p w14:paraId="1DA9AF16"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Článek IX</w:t>
      </w:r>
    </w:p>
    <w:p w14:paraId="11AEAE92"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Odpovědnost za škodu</w:t>
      </w:r>
    </w:p>
    <w:p w14:paraId="756BC6C4" w14:textId="77777777" w:rsidR="00C7768B" w:rsidRDefault="00FE36A1">
      <w:pPr>
        <w:numPr>
          <w:ilvl w:val="0"/>
          <w:numId w:val="2"/>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Právně a finančně odpovědný za správné a zákonné použití finanční podpory smluvními stranami vůči poskytovateli je příjemce.</w:t>
      </w:r>
    </w:p>
    <w:p w14:paraId="42B54217" w14:textId="77777777" w:rsidR="00C7768B" w:rsidRDefault="00FE36A1">
      <w:pPr>
        <w:numPr>
          <w:ilvl w:val="0"/>
          <w:numId w:val="2"/>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3EB553FB" w14:textId="77777777" w:rsidR="00C7768B" w:rsidRDefault="00FE36A1">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Další účastník projektu neodpovídá za škodu vzniklou konáním nebo opomenutím příjemce. </w:t>
      </w:r>
    </w:p>
    <w:p w14:paraId="4D63A60A" w14:textId="77777777" w:rsidR="00C7768B" w:rsidRDefault="00C7768B">
      <w:pPr>
        <w:spacing w:after="0" w:line="240" w:lineRule="auto"/>
        <w:jc w:val="center"/>
        <w:rPr>
          <w:rFonts w:ascii="Times New Roman" w:eastAsia="Times New Roman" w:hAnsi="Times New Roman" w:cs="Times New Roman"/>
          <w:b/>
          <w:sz w:val="24"/>
          <w:szCs w:val="24"/>
        </w:rPr>
      </w:pPr>
    </w:p>
    <w:p w14:paraId="02E5B005"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X</w:t>
      </w:r>
    </w:p>
    <w:p w14:paraId="409E4FE3"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Trvání smlouvy</w:t>
      </w:r>
    </w:p>
    <w:p w14:paraId="146B876B" w14:textId="77777777" w:rsidR="00C7768B" w:rsidRDefault="00FE36A1">
      <w:pPr>
        <w:numPr>
          <w:ilvl w:val="0"/>
          <w:numId w:val="3"/>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Smlouva se uzavírá na dobu určitou, a to do uplynutí doby udržitelnosti projektu.</w:t>
      </w:r>
    </w:p>
    <w:p w14:paraId="7C36D714" w14:textId="77777777" w:rsidR="00C7768B" w:rsidRDefault="00FE36A1">
      <w:pPr>
        <w:numPr>
          <w:ilvl w:val="0"/>
          <w:numId w:val="3"/>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Smluvní strany jsou oprávněny odstoupit od této smlouvy v případě, že kterákoliv smluvní strana poruší své povinnosti vyplývající z této smlouvy podstatným způsobem nebo ani přes výzvu nesplní některou z povinností vyplývající z této smlouvy. </w:t>
      </w:r>
    </w:p>
    <w:p w14:paraId="5EE617D8" w14:textId="77777777" w:rsidR="00C7768B" w:rsidRDefault="00FE36A1">
      <w:pPr>
        <w:numPr>
          <w:ilvl w:val="0"/>
          <w:numId w:val="3"/>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Podstatným porušením povinnosti se přitom zejména rozumí: </w:t>
      </w:r>
    </w:p>
    <w:p w14:paraId="3C2DA3CB" w14:textId="77777777" w:rsidR="00C7768B" w:rsidRDefault="00FE36A1">
      <w:pPr>
        <w:numPr>
          <w:ilvl w:val="1"/>
          <w:numId w:val="3"/>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jednání, které zásadně ohrožuje realizaci projektu, nezjedná-li dotčená strana na základě písemné výzvy kterékoliv smluvní strany nápravu takového jednání v dodatečné přiměřené lhůtě </w:t>
      </w:r>
    </w:p>
    <w:p w14:paraId="3DF172EB" w14:textId="142D1DF5" w:rsidR="00C7768B" w:rsidRDefault="00FE36A1">
      <w:pPr>
        <w:numPr>
          <w:ilvl w:val="1"/>
          <w:numId w:val="3"/>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rozporu s čl. III odst. 8 této smlouvy se příjemce vzdá práva na čerpání dotace přiznané rozhodnutím o poskytnutí dotace bez předchozího písemného souhlasu dalšíh</w:t>
      </w:r>
      <w:r w:rsidR="007F6AE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účastník</w:t>
      </w:r>
      <w:r w:rsidR="007F6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projektu,</w:t>
      </w:r>
    </w:p>
    <w:p w14:paraId="72D288D8" w14:textId="77777777" w:rsidR="00C7768B" w:rsidRDefault="00FE36A1">
      <w:pPr>
        <w:numPr>
          <w:ilvl w:val="1"/>
          <w:numId w:val="3"/>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je v prodlení s poskytnutím dotace pro dalšího účastníka projektu déle než 30 dní,</w:t>
      </w:r>
    </w:p>
    <w:p w14:paraId="11D8C0C1" w14:textId="77777777" w:rsidR="00C7768B" w:rsidRDefault="00FE36A1">
      <w:pPr>
        <w:numPr>
          <w:ilvl w:val="1"/>
          <w:numId w:val="3"/>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rozporu s čl. IV odst. 6 této smlouvy příjemce nepodá žádost o platbu nebo neodstraní nedostatky žádosti o platbu ve lhůtě stanovené poskytovatelem,</w:t>
      </w:r>
    </w:p>
    <w:p w14:paraId="43677060" w14:textId="77777777" w:rsidR="00C7768B" w:rsidRDefault="00FE36A1">
      <w:pPr>
        <w:numPr>
          <w:ilvl w:val="1"/>
          <w:numId w:val="3"/>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rozporu s čl. IV odst. 8 této smlouvy příjemce odstoupí od žádosti o platbu ve vztahu k dotaci příslušící dalšímu účastníkovi projektu bez předchozího písemného souhlasu dalšího účastníka projektu</w:t>
      </w:r>
    </w:p>
    <w:p w14:paraId="724ED88E" w14:textId="77777777" w:rsidR="00C7768B" w:rsidRDefault="00FE36A1">
      <w:pPr>
        <w:numPr>
          <w:ilvl w:val="1"/>
          <w:numId w:val="3"/>
        </w:numPr>
        <w:spacing w:after="60" w:line="240" w:lineRule="auto"/>
        <w:ind w:left="107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jakékoli porušení povinnost mlčenlivosti dle čl. VIII této smlouvy.</w:t>
      </w:r>
    </w:p>
    <w:p w14:paraId="55D6BCF1" w14:textId="77777777" w:rsidR="00C7768B" w:rsidRDefault="00C7768B">
      <w:pPr>
        <w:spacing w:line="240" w:lineRule="auto"/>
        <w:jc w:val="both"/>
        <w:rPr>
          <w:rFonts w:ascii="Times New Roman" w:eastAsia="Times New Roman" w:hAnsi="Times New Roman" w:cs="Times New Roman"/>
          <w:b/>
          <w:sz w:val="24"/>
          <w:szCs w:val="24"/>
        </w:rPr>
      </w:pPr>
    </w:p>
    <w:p w14:paraId="2A1B3F0C" w14:textId="77777777" w:rsidR="00C7768B" w:rsidRDefault="00FE36A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Článek XI</w:t>
      </w:r>
    </w:p>
    <w:p w14:paraId="724E6C80" w14:textId="77777777" w:rsidR="00C7768B" w:rsidRDefault="00FE36A1">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Ostatní ustanovení</w:t>
      </w:r>
    </w:p>
    <w:p w14:paraId="45A54CBB" w14:textId="77777777" w:rsidR="00C7768B" w:rsidRDefault="00FE36A1">
      <w:pPr>
        <w:numPr>
          <w:ilvl w:val="0"/>
          <w:numId w:val="10"/>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717D80DD" w14:textId="77777777" w:rsidR="00C7768B" w:rsidRDefault="00FE36A1">
      <w:pPr>
        <w:numPr>
          <w:ilvl w:val="0"/>
          <w:numId w:val="10"/>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76C5A3CE" w14:textId="77777777" w:rsidR="00C7768B" w:rsidRDefault="00FE36A1">
      <w:pPr>
        <w:numPr>
          <w:ilvl w:val="0"/>
          <w:numId w:val="10"/>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Tato smlouva nabývá platnosti dnem podpisu smluvních stran a účinnosti dnem vydání Rozhodnutí o poskytnutí dotace či uveřejněním v registru smluv dle zákona č. 340/2015 Sb., podle toho, která z uvedených skutečností nastane později. V případě, že poskytovatel rozhodne o tom, že projekt nebude v rámci výzvy uvedené v čl. II odst. 1 této smlouvy podpořen, tato smlouva zaniká ke dni rozhodnutí poskytovatele. </w:t>
      </w:r>
    </w:p>
    <w:p w14:paraId="172A0A0D" w14:textId="77777777" w:rsidR="00C7768B" w:rsidRDefault="00FE36A1">
      <w:pPr>
        <w:numPr>
          <w:ilvl w:val="0"/>
          <w:numId w:val="10"/>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Vztahy smluvních stran výslovně touto smlouvou neupravené se řídí zákonem č. 89/2012 Sb., občanský zákoník, a dalšími obecně závaznými právními předpisy České republiky.</w:t>
      </w:r>
    </w:p>
    <w:p w14:paraId="42D06412" w14:textId="77777777" w:rsidR="00C7768B" w:rsidRDefault="00FE36A1">
      <w:pPr>
        <w:numPr>
          <w:ilvl w:val="0"/>
          <w:numId w:val="10"/>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 bere na vědomí, že smlouvy uzavírané dalším účastníkem projektu 1 podléhají uveřejnění v registru smluv dle zákona č. 340/2015 Sb. Smluvní strany se dohodly, že smlouvu uveřejní další účastník projektu 1, za účelem uveřejnění musí být tato Smlouva předána dalšímu účastníkovi projektu 1, bez zbytečného odkladu po jejím podpisu poslední smluvní stranou (není-li jí sám další účastník projektu 1).</w:t>
      </w:r>
    </w:p>
    <w:p w14:paraId="4F9BEE17" w14:textId="21E2F13C" w:rsidR="00C7768B" w:rsidRDefault="00FE36A1">
      <w:pPr>
        <w:numPr>
          <w:ilvl w:val="0"/>
          <w:numId w:val="10"/>
        </w:numPr>
        <w:spacing w:after="120" w:line="240" w:lineRule="auto"/>
        <w:ind w:left="357" w:hanging="357"/>
        <w:jc w:val="both"/>
        <w:rPr>
          <w:rFonts w:ascii="Times New Roman" w:eastAsia="Times New Roman" w:hAnsi="Times New Roman" w:cs="Times New Roman"/>
          <w:sz w:val="24"/>
          <w:szCs w:val="24"/>
        </w:rPr>
      </w:pPr>
      <w:bookmarkStart w:id="7" w:name="_heading=h.1t3h5sf" w:colFirst="0" w:colLast="0"/>
      <w:bookmarkEnd w:id="7"/>
      <w:r>
        <w:rPr>
          <w:rFonts w:ascii="Times New Roman" w:eastAsia="Times New Roman" w:hAnsi="Times New Roman" w:cs="Times New Roman"/>
          <w:sz w:val="24"/>
          <w:szCs w:val="24"/>
        </w:rPr>
        <w:t xml:space="preserve">Pokud je tato smlouva uzavírána elektronickými prostředky, je vyhotovena v jednom originálním vyhotovení, které obdrží každá ze smluvních stran. Pokud je tato smlouva uzavírána v listinné formě, je vyhotovena ve </w:t>
      </w:r>
      <w:r w:rsidR="007F6AED">
        <w:rPr>
          <w:rFonts w:ascii="Times New Roman" w:eastAsia="Times New Roman" w:hAnsi="Times New Roman" w:cs="Times New Roman"/>
          <w:sz w:val="24"/>
          <w:szCs w:val="24"/>
        </w:rPr>
        <w:t xml:space="preserve">dvou </w:t>
      </w:r>
      <w:r>
        <w:rPr>
          <w:rFonts w:ascii="Times New Roman" w:eastAsia="Times New Roman" w:hAnsi="Times New Roman" w:cs="Times New Roman"/>
          <w:sz w:val="24"/>
          <w:szCs w:val="24"/>
        </w:rPr>
        <w:t xml:space="preserve">vyhotoveních, z nichž každé má platnost originálu, z nichž každá ze smluvních stran obdrží po jednom. </w:t>
      </w:r>
    </w:p>
    <w:p w14:paraId="2C09C33F" w14:textId="77777777" w:rsidR="00C7768B" w:rsidRDefault="00FE36A1">
      <w:pPr>
        <w:numPr>
          <w:ilvl w:val="0"/>
          <w:numId w:val="10"/>
        </w:numPr>
        <w:spacing w:after="120" w:line="240" w:lineRule="auto"/>
        <w:ind w:left="357"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prohlašují, že tato smlouva byla sepsána na základě jejich pravé a svobodné vůle, nikoliv v tísni ani za jinak nápadně nevýhodných podmínek.</w:t>
      </w:r>
    </w:p>
    <w:p w14:paraId="0D940807" w14:textId="77777777" w:rsidR="00C7768B" w:rsidRDefault="00C7768B">
      <w:pPr>
        <w:spacing w:after="120" w:line="240" w:lineRule="auto"/>
        <w:ind w:left="357"/>
        <w:jc w:val="both"/>
        <w:rPr>
          <w:rFonts w:ascii="Times New Roman" w:eastAsia="Times New Roman" w:hAnsi="Times New Roman" w:cs="Times New Roman"/>
          <w:sz w:val="24"/>
          <w:szCs w:val="24"/>
        </w:rPr>
      </w:pPr>
    </w:p>
    <w:p w14:paraId="0304BA9B" w14:textId="77777777" w:rsidR="00C7768B" w:rsidRDefault="00FE36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Příloha č. 1: Rozpočet projektu</w:t>
      </w:r>
    </w:p>
    <w:p w14:paraId="6777796A" w14:textId="77777777" w:rsidR="00C7768B" w:rsidRDefault="00C7768B">
      <w:pPr>
        <w:spacing w:line="240" w:lineRule="auto"/>
        <w:jc w:val="both"/>
        <w:rPr>
          <w:rFonts w:ascii="Times New Roman" w:eastAsia="Times New Roman" w:hAnsi="Times New Roman" w:cs="Times New Roman"/>
          <w:sz w:val="24"/>
          <w:szCs w:val="24"/>
        </w:rPr>
      </w:pPr>
    </w:p>
    <w:p w14:paraId="6D79BEAF" w14:textId="77777777" w:rsidR="00C7768B" w:rsidRDefault="00C7768B">
      <w:pPr>
        <w:spacing w:line="240" w:lineRule="auto"/>
        <w:jc w:val="both"/>
        <w:rPr>
          <w:rFonts w:ascii="Times New Roman" w:eastAsia="Times New Roman" w:hAnsi="Times New Roman" w:cs="Times New Roman"/>
          <w:sz w:val="24"/>
          <w:szCs w:val="24"/>
        </w:rPr>
      </w:pPr>
    </w:p>
    <w:tbl>
      <w:tblPr>
        <w:tblStyle w:val="a"/>
        <w:tblW w:w="9072" w:type="dxa"/>
        <w:jc w:val="center"/>
        <w:tblInd w:w="0" w:type="dxa"/>
        <w:tblLayout w:type="fixed"/>
        <w:tblLook w:val="0000" w:firstRow="0" w:lastRow="0" w:firstColumn="0" w:lastColumn="0" w:noHBand="0" w:noVBand="0"/>
      </w:tblPr>
      <w:tblGrid>
        <w:gridCol w:w="3946"/>
        <w:gridCol w:w="1014"/>
        <w:gridCol w:w="4112"/>
      </w:tblGrid>
      <w:tr w:rsidR="00C7768B" w14:paraId="254C1F0D" w14:textId="77777777">
        <w:trPr>
          <w:jc w:val="center"/>
        </w:trPr>
        <w:tc>
          <w:tcPr>
            <w:tcW w:w="3946" w:type="dxa"/>
          </w:tcPr>
          <w:p w14:paraId="729534FC" w14:textId="77777777" w:rsidR="00C7768B" w:rsidRDefault="00FE36A1">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V ………. dne………..</w:t>
            </w:r>
          </w:p>
        </w:tc>
        <w:tc>
          <w:tcPr>
            <w:tcW w:w="1014" w:type="dxa"/>
          </w:tcPr>
          <w:p w14:paraId="611E99A9" w14:textId="77777777" w:rsidR="00C7768B" w:rsidRDefault="00C7768B">
            <w:pPr>
              <w:spacing w:line="240" w:lineRule="auto"/>
              <w:jc w:val="both"/>
              <w:rPr>
                <w:rFonts w:ascii="Times New Roman" w:eastAsia="Times New Roman" w:hAnsi="Times New Roman" w:cs="Times New Roman"/>
                <w:b/>
                <w:i/>
                <w:sz w:val="24"/>
                <w:szCs w:val="24"/>
              </w:rPr>
            </w:pPr>
          </w:p>
        </w:tc>
        <w:tc>
          <w:tcPr>
            <w:tcW w:w="4112" w:type="dxa"/>
          </w:tcPr>
          <w:p w14:paraId="6DF9DACF" w14:textId="77777777" w:rsidR="00C7768B" w:rsidRDefault="00FE36A1">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 …………dne……………</w:t>
            </w:r>
          </w:p>
        </w:tc>
      </w:tr>
      <w:tr w:rsidR="00C7768B" w14:paraId="22A4F003" w14:textId="77777777">
        <w:trPr>
          <w:jc w:val="center"/>
        </w:trPr>
        <w:tc>
          <w:tcPr>
            <w:tcW w:w="3946" w:type="dxa"/>
          </w:tcPr>
          <w:p w14:paraId="74500645" w14:textId="77777777" w:rsidR="00C7768B" w:rsidRDefault="00C7768B">
            <w:pPr>
              <w:spacing w:line="240" w:lineRule="auto"/>
              <w:jc w:val="both"/>
              <w:rPr>
                <w:rFonts w:ascii="Times New Roman" w:eastAsia="Times New Roman" w:hAnsi="Times New Roman" w:cs="Times New Roman"/>
                <w:sz w:val="24"/>
                <w:szCs w:val="24"/>
              </w:rPr>
            </w:pPr>
          </w:p>
        </w:tc>
        <w:tc>
          <w:tcPr>
            <w:tcW w:w="1014" w:type="dxa"/>
          </w:tcPr>
          <w:p w14:paraId="3D0D6905" w14:textId="77777777" w:rsidR="00C7768B" w:rsidRDefault="00C7768B">
            <w:pPr>
              <w:spacing w:line="240" w:lineRule="auto"/>
              <w:jc w:val="both"/>
              <w:rPr>
                <w:rFonts w:ascii="Times New Roman" w:eastAsia="Times New Roman" w:hAnsi="Times New Roman" w:cs="Times New Roman"/>
                <w:sz w:val="24"/>
                <w:szCs w:val="24"/>
              </w:rPr>
            </w:pPr>
          </w:p>
        </w:tc>
        <w:tc>
          <w:tcPr>
            <w:tcW w:w="4112" w:type="dxa"/>
          </w:tcPr>
          <w:p w14:paraId="4682CAA5" w14:textId="77777777" w:rsidR="00C7768B" w:rsidRDefault="00C7768B">
            <w:pPr>
              <w:spacing w:line="240" w:lineRule="auto"/>
              <w:jc w:val="both"/>
              <w:rPr>
                <w:rFonts w:ascii="Times New Roman" w:eastAsia="Times New Roman" w:hAnsi="Times New Roman" w:cs="Times New Roman"/>
                <w:b/>
                <w:sz w:val="24"/>
                <w:szCs w:val="24"/>
              </w:rPr>
            </w:pPr>
          </w:p>
        </w:tc>
      </w:tr>
      <w:tr w:rsidR="00C7768B" w14:paraId="2683A7A5" w14:textId="77777777">
        <w:trPr>
          <w:trHeight w:val="947"/>
          <w:jc w:val="center"/>
        </w:trPr>
        <w:tc>
          <w:tcPr>
            <w:tcW w:w="3946" w:type="dxa"/>
            <w:tcBorders>
              <w:bottom w:val="dashed" w:sz="8" w:space="0" w:color="000000"/>
            </w:tcBorders>
          </w:tcPr>
          <w:p w14:paraId="2C98754A" w14:textId="77777777" w:rsidR="00C7768B" w:rsidRDefault="00C7768B">
            <w:pPr>
              <w:spacing w:line="240" w:lineRule="auto"/>
              <w:jc w:val="both"/>
              <w:rPr>
                <w:rFonts w:ascii="Times New Roman" w:eastAsia="Times New Roman" w:hAnsi="Times New Roman" w:cs="Times New Roman"/>
                <w:sz w:val="24"/>
                <w:szCs w:val="24"/>
              </w:rPr>
            </w:pPr>
          </w:p>
        </w:tc>
        <w:tc>
          <w:tcPr>
            <w:tcW w:w="1014" w:type="dxa"/>
          </w:tcPr>
          <w:p w14:paraId="6FD85552" w14:textId="77777777" w:rsidR="00C7768B" w:rsidRDefault="00C7768B">
            <w:pPr>
              <w:spacing w:line="240" w:lineRule="auto"/>
              <w:jc w:val="both"/>
              <w:rPr>
                <w:rFonts w:ascii="Times New Roman" w:eastAsia="Times New Roman" w:hAnsi="Times New Roman" w:cs="Times New Roman"/>
                <w:sz w:val="24"/>
                <w:szCs w:val="24"/>
              </w:rPr>
            </w:pPr>
          </w:p>
        </w:tc>
        <w:tc>
          <w:tcPr>
            <w:tcW w:w="4112" w:type="dxa"/>
            <w:tcBorders>
              <w:bottom w:val="dashed" w:sz="8" w:space="0" w:color="000000"/>
            </w:tcBorders>
          </w:tcPr>
          <w:p w14:paraId="594E28E4" w14:textId="77777777" w:rsidR="00C7768B" w:rsidRDefault="00C7768B">
            <w:pPr>
              <w:spacing w:line="240" w:lineRule="auto"/>
              <w:jc w:val="both"/>
              <w:rPr>
                <w:rFonts w:ascii="Times New Roman" w:eastAsia="Times New Roman" w:hAnsi="Times New Roman" w:cs="Times New Roman"/>
                <w:sz w:val="24"/>
                <w:szCs w:val="24"/>
              </w:rPr>
            </w:pPr>
          </w:p>
        </w:tc>
      </w:tr>
      <w:tr w:rsidR="00C7768B" w14:paraId="777AD9B4" w14:textId="77777777">
        <w:trPr>
          <w:jc w:val="center"/>
        </w:trPr>
        <w:tc>
          <w:tcPr>
            <w:tcW w:w="3946" w:type="dxa"/>
            <w:tcBorders>
              <w:top w:val="dashed" w:sz="8" w:space="0" w:color="000000"/>
            </w:tcBorders>
          </w:tcPr>
          <w:p w14:paraId="23C31F3D" w14:textId="77777777" w:rsidR="00C7768B" w:rsidRDefault="00FE36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příjemce</w:t>
            </w:r>
          </w:p>
          <w:p w14:paraId="0F9226C7" w14:textId="77777777" w:rsidR="00C7768B" w:rsidRDefault="00C7768B">
            <w:pPr>
              <w:spacing w:line="240" w:lineRule="auto"/>
              <w:jc w:val="both"/>
              <w:rPr>
                <w:rFonts w:ascii="Times New Roman" w:eastAsia="Times New Roman" w:hAnsi="Times New Roman" w:cs="Times New Roman"/>
                <w:sz w:val="24"/>
                <w:szCs w:val="24"/>
              </w:rPr>
            </w:pPr>
          </w:p>
        </w:tc>
        <w:tc>
          <w:tcPr>
            <w:tcW w:w="1014" w:type="dxa"/>
          </w:tcPr>
          <w:p w14:paraId="74E65BEF" w14:textId="77777777" w:rsidR="00C7768B" w:rsidRDefault="00C7768B">
            <w:pPr>
              <w:spacing w:line="240" w:lineRule="auto"/>
              <w:jc w:val="both"/>
              <w:rPr>
                <w:rFonts w:ascii="Times New Roman" w:eastAsia="Times New Roman" w:hAnsi="Times New Roman" w:cs="Times New Roman"/>
                <w:sz w:val="24"/>
                <w:szCs w:val="24"/>
              </w:rPr>
            </w:pPr>
          </w:p>
        </w:tc>
        <w:tc>
          <w:tcPr>
            <w:tcW w:w="4112" w:type="dxa"/>
            <w:tcBorders>
              <w:top w:val="dashed" w:sz="8" w:space="0" w:color="000000"/>
            </w:tcBorders>
          </w:tcPr>
          <w:p w14:paraId="4461D024" w14:textId="77777777" w:rsidR="00C7768B" w:rsidRDefault="00FE36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další účastník projektu</w:t>
            </w:r>
          </w:p>
        </w:tc>
      </w:tr>
    </w:tbl>
    <w:p w14:paraId="3EFECC6C" w14:textId="77777777" w:rsidR="00C7768B" w:rsidRDefault="00C7768B">
      <w:pPr>
        <w:spacing w:line="240" w:lineRule="auto"/>
        <w:jc w:val="both"/>
        <w:rPr>
          <w:rFonts w:ascii="Times New Roman" w:eastAsia="Times New Roman" w:hAnsi="Times New Roman" w:cs="Times New Roman"/>
          <w:sz w:val="24"/>
          <w:szCs w:val="24"/>
        </w:rPr>
      </w:pPr>
    </w:p>
    <w:p w14:paraId="4FF512CA" w14:textId="77777777" w:rsidR="00C7768B" w:rsidRDefault="00C7768B">
      <w:pPr>
        <w:spacing w:line="240" w:lineRule="auto"/>
        <w:jc w:val="both"/>
        <w:rPr>
          <w:rFonts w:ascii="Times New Roman" w:eastAsia="Times New Roman" w:hAnsi="Times New Roman" w:cs="Times New Roman"/>
          <w:sz w:val="24"/>
          <w:szCs w:val="24"/>
        </w:rPr>
      </w:pPr>
    </w:p>
    <w:p w14:paraId="07DEBB22" w14:textId="77777777" w:rsidR="00C7768B" w:rsidRDefault="00C7768B">
      <w:pPr>
        <w:spacing w:line="240" w:lineRule="auto"/>
        <w:jc w:val="both"/>
        <w:rPr>
          <w:rFonts w:ascii="Times New Roman" w:eastAsia="Times New Roman" w:hAnsi="Times New Roman" w:cs="Times New Roman"/>
          <w:sz w:val="24"/>
          <w:szCs w:val="24"/>
        </w:rPr>
      </w:pPr>
    </w:p>
    <w:p w14:paraId="06BDC279" w14:textId="77777777" w:rsidR="00C7768B" w:rsidRDefault="00C7768B">
      <w:pPr>
        <w:spacing w:line="240" w:lineRule="auto"/>
        <w:jc w:val="both"/>
        <w:rPr>
          <w:rFonts w:ascii="Times New Roman" w:eastAsia="Times New Roman" w:hAnsi="Times New Roman" w:cs="Times New Roman"/>
          <w:sz w:val="24"/>
          <w:szCs w:val="24"/>
        </w:rPr>
      </w:pPr>
    </w:p>
    <w:p w14:paraId="38DA5B7F" w14:textId="77777777" w:rsidR="00C7768B" w:rsidRDefault="00C7768B">
      <w:pPr>
        <w:spacing w:line="240" w:lineRule="auto"/>
        <w:jc w:val="both"/>
        <w:rPr>
          <w:rFonts w:ascii="Times New Roman" w:eastAsia="Times New Roman" w:hAnsi="Times New Roman" w:cs="Times New Roman"/>
          <w:sz w:val="24"/>
          <w:szCs w:val="24"/>
        </w:rPr>
      </w:pPr>
    </w:p>
    <w:p w14:paraId="2BF4F22D" w14:textId="77777777" w:rsidR="00C7768B" w:rsidRDefault="00FE36A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EFB766C" w14:textId="77777777" w:rsidR="00C7768B" w:rsidRDefault="00C7768B">
      <w:pPr>
        <w:spacing w:line="240" w:lineRule="auto"/>
        <w:jc w:val="both"/>
        <w:rPr>
          <w:rFonts w:ascii="Times New Roman" w:eastAsia="Times New Roman" w:hAnsi="Times New Roman" w:cs="Times New Roman"/>
          <w:sz w:val="24"/>
          <w:szCs w:val="24"/>
        </w:rPr>
      </w:pPr>
    </w:p>
    <w:p w14:paraId="3FFAF16A" w14:textId="77777777" w:rsidR="00C7768B" w:rsidRDefault="00C7768B">
      <w:pPr>
        <w:spacing w:line="240" w:lineRule="auto"/>
        <w:jc w:val="both"/>
        <w:rPr>
          <w:rFonts w:ascii="Times New Roman" w:eastAsia="Times New Roman" w:hAnsi="Times New Roman" w:cs="Times New Roman"/>
          <w:i/>
          <w:sz w:val="24"/>
          <w:szCs w:val="24"/>
        </w:rPr>
      </w:pPr>
    </w:p>
    <w:sectPr w:rsidR="00C7768B">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F093B" w14:textId="77777777" w:rsidR="0024090F" w:rsidRDefault="0024090F">
      <w:pPr>
        <w:spacing w:after="0" w:line="240" w:lineRule="auto"/>
      </w:pPr>
      <w:r>
        <w:separator/>
      </w:r>
    </w:p>
  </w:endnote>
  <w:endnote w:type="continuationSeparator" w:id="0">
    <w:p w14:paraId="408E35E5" w14:textId="77777777" w:rsidR="0024090F" w:rsidRDefault="0024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E0A0" w14:textId="32999E83" w:rsidR="00C7768B" w:rsidRDefault="00FE36A1">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859FC">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p w14:paraId="7A6B4545" w14:textId="77777777" w:rsidR="00C7768B" w:rsidRDefault="00C7768B">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4FAC4" w14:textId="77777777" w:rsidR="0024090F" w:rsidRDefault="0024090F">
      <w:pPr>
        <w:spacing w:after="0" w:line="240" w:lineRule="auto"/>
      </w:pPr>
      <w:r>
        <w:separator/>
      </w:r>
    </w:p>
  </w:footnote>
  <w:footnote w:type="continuationSeparator" w:id="0">
    <w:p w14:paraId="3034A345" w14:textId="77777777" w:rsidR="0024090F" w:rsidRDefault="0024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E905C" w14:textId="77777777" w:rsidR="00C7768B" w:rsidRDefault="00C7768B">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p w14:paraId="51B4E207" w14:textId="77777777" w:rsidR="00C7768B" w:rsidRDefault="00C7768B">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873BD"/>
    <w:multiLevelType w:val="multilevel"/>
    <w:tmpl w:val="EF30A0D6"/>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35403F"/>
    <w:multiLevelType w:val="multilevel"/>
    <w:tmpl w:val="F7EE218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45714C"/>
    <w:multiLevelType w:val="multilevel"/>
    <w:tmpl w:val="8CFAE56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84A0D6F"/>
    <w:multiLevelType w:val="multilevel"/>
    <w:tmpl w:val="1D8A8978"/>
    <w:lvl w:ilvl="0">
      <w:start w:val="1"/>
      <w:numFmt w:val="bullet"/>
      <w:lvlText w:val="●"/>
      <w:lvlJc w:val="left"/>
      <w:pPr>
        <w:ind w:left="720" w:hanging="363"/>
      </w:pPr>
      <w:rPr>
        <w:rFonts w:ascii="Noto Sans Symbols" w:eastAsia="Noto Sans Symbols" w:hAnsi="Noto Sans Symbols" w:cs="Noto Sans Symbols"/>
      </w:rPr>
    </w:lvl>
    <w:lvl w:ilvl="1">
      <w:start w:val="2"/>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605F0C"/>
    <w:multiLevelType w:val="multilevel"/>
    <w:tmpl w:val="374A8FF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B67502C"/>
    <w:multiLevelType w:val="multilevel"/>
    <w:tmpl w:val="E2FEEB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A912AA"/>
    <w:multiLevelType w:val="multilevel"/>
    <w:tmpl w:val="67EE8F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6AE79F4"/>
    <w:multiLevelType w:val="multilevel"/>
    <w:tmpl w:val="B13E16B2"/>
    <w:lvl w:ilvl="0">
      <w:start w:val="1"/>
      <w:numFmt w:val="decimal"/>
      <w:lvlText w:val="%1."/>
      <w:lvlJc w:val="left"/>
      <w:pPr>
        <w:ind w:left="357" w:hanging="357"/>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066D21"/>
    <w:multiLevelType w:val="multilevel"/>
    <w:tmpl w:val="BDF86A2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0A367F0"/>
    <w:multiLevelType w:val="multilevel"/>
    <w:tmpl w:val="5C4068A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43329B7"/>
    <w:multiLevelType w:val="multilevel"/>
    <w:tmpl w:val="2560457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BA54BCB"/>
    <w:multiLevelType w:val="multilevel"/>
    <w:tmpl w:val="D576A09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75758029">
    <w:abstractNumId w:val="0"/>
  </w:num>
  <w:num w:numId="2" w16cid:durableId="2057460491">
    <w:abstractNumId w:val="4"/>
  </w:num>
  <w:num w:numId="3" w16cid:durableId="1798982610">
    <w:abstractNumId w:val="5"/>
  </w:num>
  <w:num w:numId="4" w16cid:durableId="878711667">
    <w:abstractNumId w:val="7"/>
  </w:num>
  <w:num w:numId="5" w16cid:durableId="288124199">
    <w:abstractNumId w:val="11"/>
  </w:num>
  <w:num w:numId="6" w16cid:durableId="450174790">
    <w:abstractNumId w:val="8"/>
  </w:num>
  <w:num w:numId="7" w16cid:durableId="460657097">
    <w:abstractNumId w:val="6"/>
  </w:num>
  <w:num w:numId="8" w16cid:durableId="52852781">
    <w:abstractNumId w:val="9"/>
  </w:num>
  <w:num w:numId="9" w16cid:durableId="589774227">
    <w:abstractNumId w:val="10"/>
  </w:num>
  <w:num w:numId="10" w16cid:durableId="425199104">
    <w:abstractNumId w:val="2"/>
  </w:num>
  <w:num w:numId="11" w16cid:durableId="1231772457">
    <w:abstractNumId w:val="1"/>
  </w:num>
  <w:num w:numId="12" w16cid:durableId="162204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OwNDQzNTIwMTIxtjBU0lEKTi0uzszPAykwrAUAnZ47JCwAAAA="/>
  </w:docVars>
  <w:rsids>
    <w:rsidRoot w:val="00C7768B"/>
    <w:rsid w:val="000D4F8F"/>
    <w:rsid w:val="0024090F"/>
    <w:rsid w:val="007E3AE0"/>
    <w:rsid w:val="007F6AED"/>
    <w:rsid w:val="00894D45"/>
    <w:rsid w:val="008C3238"/>
    <w:rsid w:val="00A901E2"/>
    <w:rsid w:val="00C004C6"/>
    <w:rsid w:val="00C7768B"/>
    <w:rsid w:val="00D859FC"/>
    <w:rsid w:val="00FE36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EADE"/>
  <w15:docId w15:val="{9D445939-B551-48BE-BD7D-30E7C94C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QnqR+t3lSEGrCthvBJcd9MHWQ==">CgMxLjAyCGguZ2pkZ3hzMgloLjMwajB6bGwyCWguMWZvYjl0ZTIJaC4zem55c2g3MgloLjJldDkycDAyCGgudHlqY3d0MgloLjNkeTZ2a20yCWguMXQzaDVzZjgAciExRlpFaHVIRkJiYi1FOHpxcEN0OHd2RV9OZU8xcjdOdDg=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18701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Jitka GAMMONS</dc:creator>
  <cp:lastModifiedBy>Blanka Grebeňová</cp:lastModifiedBy>
  <cp:revision>2</cp:revision>
  <dcterms:created xsi:type="dcterms:W3CDTF">2024-08-01T05:55:00Z</dcterms:created>
  <dcterms:modified xsi:type="dcterms:W3CDTF">2024-08-01T05:55:00Z</dcterms:modified>
</cp:coreProperties>
</file>