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24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smlouvy objednatele: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336/2024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28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zhotovitele: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„Oldřichovský potok v Děčíně – u mostu DC-023L“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Projektová dokumentace DSP/DPS</w:t>
      </w:r>
    </w:p>
    <w:tbl>
      <w:tblPr>
        <w:tblOverlap w:val="never"/>
        <w:jc w:val="center"/>
        <w:tblLayout w:type="fixed"/>
      </w:tblPr>
      <w:tblGrid>
        <w:gridCol w:w="3686"/>
        <w:gridCol w:w="5438"/>
      </w:tblGrid>
      <w:tr>
        <w:trPr>
          <w:trHeight w:val="21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statutární orgán: oprávněn k podpisu smlouvy a k jednání o věcech smluvních: zástupce ve věcech technických: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 70889988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zástupce objednatele: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manažer projektů</w:t>
            </w:r>
          </w:p>
        </w:tc>
      </w:tr>
    </w:tbl>
    <w:p>
      <w:pPr>
        <w:widowControl w:val="0"/>
        <w:spacing w:after="9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tbl>
      <w:tblPr>
        <w:tblOverlap w:val="never"/>
        <w:jc w:val="center"/>
        <w:tblLayout w:type="fixed"/>
      </w:tblPr>
      <w:tblGrid>
        <w:gridCol w:w="3686"/>
        <w:gridCol w:w="5438"/>
      </w:tblGrid>
      <w:tr>
        <w:trPr>
          <w:trHeight w:val="9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oprávněn(i) k podpisu smlouvy: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AV ProENVI, s.r.o.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Kolonka 118/8, 165 00 Praha 6 - Lysolaje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 oprávněn(i) jednat o věcech technických:</w:t>
      </w:r>
    </w:p>
    <w:p>
      <w:pPr>
        <w:widowControl w:val="0"/>
        <w:spacing w:after="4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5438"/>
      </w:tblGrid>
      <w:tr>
        <w:trPr>
          <w:trHeight w:val="12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28364643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CZ28364643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zapsán v Obchodním rejstříku, vedeného Městským soudem v Praze oddíl C, vložka 136333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dodatek je žádáno z důvodu nutné součinnosti s pracovníky AOPK na finalizaci návrhu opevnění dna a definování specifických podmínek pro populaci mloka skvrnitého. V současné době se čeká na vyjádření pracovníků AOPK, zda v konkrétním úseku navrženém k řešení je výskyt mloka doložitelný. V návaznosti na výsledek budou pracovníky AOPK definovány limity pro konstrukce, které je nutné do PD zapracovat.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III TERMÍNY PLNĚNÍ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TERMÍNY PLNĚNÍ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0" w:right="0" w:firstLine="30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660" w:right="0" w:hanging="36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DUSP (elektronicky) po projednání na ZVV: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12.07.2024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0" w:right="0" w:firstLine="30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0" w:right="0" w:firstLine="30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660" w:right="0" w:hanging="36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DUSP (elektronicky) po projednání na ZVV: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15.08.2024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0" w:right="0" w:firstLine="30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ZÁVĚREČNÁ USTANOVENÍ DODATKU Č. 1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700" w:line="240" w:lineRule="auto"/>
        <w:ind w:left="440" w:right="0" w:hanging="4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960" w:line="240" w:lineRule="auto"/>
        <w:ind w:left="440" w:right="0" w:hanging="4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049" w:left="1392" w:right="1390" w:bottom="2066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12700</wp:posOffset>
                </wp:positionV>
                <wp:extent cx="819785" cy="22860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7.30000000000001pt;margin-top:1.pt;width:64.549999999999997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27" w:left="0" w:right="0" w:bottom="14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ekonomický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27" w:left="1394" w:right="2364" w:bottom="1421" w:header="0" w:footer="3" w:gutter="0"/>
          <w:cols w:num="2" w:space="175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AV ProENVI, s.r.o. jednatel společnosti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27" w:left="1394" w:right="2364" w:bottom="1421" w:header="0" w:footer="3" w:gutter="0"/>
      <w:cols w:num="2" w:space="1757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5989320</wp:posOffset>
              </wp:positionH>
              <wp:positionV relativeFrom="page">
                <wp:posOffset>9803765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0000000000002pt;margin-top:771.95000000000005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4977765</wp:posOffset>
              </wp:positionH>
              <wp:positionV relativeFrom="page">
                <wp:posOffset>428625</wp:posOffset>
              </wp:positionV>
              <wp:extent cx="168275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8275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k SOD 336/2024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1.94999999999999pt;margin-top:33.75pt;width:132.5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k SOD 336/2024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120" w:after="9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after="60"/>
      <w:ind w:firstLine="30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