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60E56411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61253C">
        <w:rPr>
          <w:rFonts w:ascii="Arial" w:hAnsi="Arial" w:cs="Arial"/>
          <w:sz w:val="28"/>
          <w:szCs w:val="28"/>
        </w:rPr>
        <w:t>5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4A5965E7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61253C">
        <w:rPr>
          <w:rFonts w:ascii="Arial" w:hAnsi="Arial" w:cs="Arial"/>
          <w:sz w:val="18"/>
        </w:rPr>
        <w:t>19560001</w:t>
      </w:r>
      <w:r w:rsidRPr="00C442AF">
        <w:rPr>
          <w:rFonts w:ascii="Arial" w:hAnsi="Arial" w:cs="Arial"/>
          <w:sz w:val="18"/>
        </w:rPr>
        <w:t xml:space="preserve">   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61253C">
        <w:rPr>
          <w:rFonts w:ascii="Arial" w:hAnsi="Arial" w:cs="Arial"/>
          <w:sz w:val="18"/>
        </w:rPr>
        <w:t xml:space="preserve">5.9.2019 </w:t>
      </w:r>
      <w:r w:rsidR="0098448B" w:rsidRPr="00C442AF">
        <w:rPr>
          <w:rFonts w:ascii="Arial" w:hAnsi="Arial" w:cs="Arial"/>
          <w:sz w:val="18"/>
        </w:rPr>
        <w:t xml:space="preserve"> (</w:t>
      </w:r>
      <w:proofErr w:type="gramEnd"/>
      <w:r w:rsidR="0098448B" w:rsidRPr="00C442AF">
        <w:rPr>
          <w:rFonts w:ascii="Arial" w:hAnsi="Arial" w:cs="Arial"/>
          <w:sz w:val="18"/>
        </w:rPr>
        <w:t xml:space="preserve">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61253C" w:rsidRPr="000A731B" w14:paraId="1BBFC447" w14:textId="77777777" w:rsidTr="00A64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49047" w14:textId="77777777" w:rsidR="0061253C" w:rsidRPr="000A731B" w:rsidRDefault="0061253C" w:rsidP="00A6405A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5FC2C4" w14:textId="77777777" w:rsidR="0061253C" w:rsidRPr="00381282" w:rsidRDefault="0061253C" w:rsidP="00A640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služba, František Barák</w:t>
            </w:r>
          </w:p>
        </w:tc>
      </w:tr>
      <w:tr w:rsidR="0061253C" w:rsidRPr="000A731B" w14:paraId="316D6174" w14:textId="77777777" w:rsidTr="00A64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6D9A0ED" w14:textId="77777777" w:rsidR="0061253C" w:rsidRPr="000A731B" w:rsidRDefault="0061253C" w:rsidP="00A6405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05FF625E" w14:textId="77777777" w:rsidR="0061253C" w:rsidRPr="000A731B" w:rsidRDefault="0061253C" w:rsidP="00A6405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Podbořany</w:t>
            </w:r>
          </w:p>
        </w:tc>
      </w:tr>
      <w:tr w:rsidR="0061253C" w:rsidRPr="000A731B" w14:paraId="006017D9" w14:textId="77777777" w:rsidTr="00A640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C40668C" w14:textId="77777777" w:rsidR="0061253C" w:rsidRPr="000A731B" w:rsidRDefault="0061253C" w:rsidP="00A6405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DAAE6AB" w14:textId="77777777" w:rsidR="0061253C" w:rsidRPr="000A731B" w:rsidRDefault="0061253C" w:rsidP="00A6405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Dukelská 57, 441 01</w:t>
            </w:r>
          </w:p>
        </w:tc>
      </w:tr>
      <w:tr w:rsidR="0061253C" w:rsidRPr="000A731B" w14:paraId="313A0CC4" w14:textId="77777777" w:rsidTr="00A64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017F9EA0" w14:textId="77777777" w:rsidR="0061253C" w:rsidRPr="000A731B" w:rsidRDefault="0061253C" w:rsidP="00A6405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17F51BD9" w14:textId="77777777" w:rsidR="0061253C" w:rsidRPr="00381282" w:rsidRDefault="0061253C" w:rsidP="00A6405A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61253C" w:rsidRPr="000A731B" w14:paraId="47B1A2DC" w14:textId="77777777" w:rsidTr="00A640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1B088B74" w14:textId="77777777" w:rsidR="0061253C" w:rsidRPr="000A731B" w:rsidRDefault="0061253C" w:rsidP="00A6405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1DAA939" w14:textId="77777777" w:rsidR="0061253C" w:rsidRPr="000A731B" w:rsidRDefault="0061253C" w:rsidP="00A6405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C9ABF82" w14:textId="77777777" w:rsidR="0061253C" w:rsidRPr="000A731B" w:rsidRDefault="0061253C" w:rsidP="00A6405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František Barák</w:t>
            </w:r>
          </w:p>
        </w:tc>
      </w:tr>
      <w:tr w:rsidR="0061253C" w:rsidRPr="000A731B" w14:paraId="7119728C" w14:textId="77777777" w:rsidTr="00A64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4C1BA73" w14:textId="77777777" w:rsidR="0061253C" w:rsidRPr="000A731B" w:rsidRDefault="0061253C" w:rsidP="00A6405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171A902B" w14:textId="77777777" w:rsidR="0061253C" w:rsidRPr="000A731B" w:rsidRDefault="0061253C" w:rsidP="00A6405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11458194</w:t>
            </w:r>
          </w:p>
        </w:tc>
      </w:tr>
      <w:tr w:rsidR="0061253C" w:rsidRPr="000A731B" w14:paraId="2EA06645" w14:textId="77777777" w:rsidTr="00A640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84C5626" w14:textId="77777777" w:rsidR="0061253C" w:rsidRPr="000A731B" w:rsidRDefault="0061253C" w:rsidP="00A6405A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391E239" w14:textId="77777777" w:rsidR="0061253C" w:rsidRPr="000A731B" w:rsidRDefault="0061253C" w:rsidP="00A6405A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56820000</w:t>
            </w:r>
          </w:p>
        </w:tc>
      </w:tr>
    </w:tbl>
    <w:p w14:paraId="5A803C6E" w14:textId="77777777" w:rsidR="0061253C" w:rsidRPr="000A731B" w:rsidRDefault="0061253C" w:rsidP="0061253C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049B403A" w14:textId="77777777" w:rsidR="0061253C" w:rsidRPr="000A731B" w:rsidRDefault="0061253C" w:rsidP="0061253C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61253C" w:rsidRPr="000A731B" w14:paraId="18355F71" w14:textId="77777777" w:rsidTr="00A64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2FB92A3" w14:textId="77777777" w:rsidR="0061253C" w:rsidRPr="000A731B" w:rsidRDefault="0061253C" w:rsidP="00A6405A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61253C" w:rsidRPr="000A731B" w14:paraId="6650E7CD" w14:textId="77777777" w:rsidTr="00A64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529B3EED" w14:textId="77777777" w:rsidR="0061253C" w:rsidRPr="000A731B" w:rsidRDefault="0061253C" w:rsidP="00A640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8C9F1E0" w14:textId="77777777" w:rsidR="0061253C" w:rsidRPr="000A731B" w:rsidRDefault="0061253C" w:rsidP="00A6405A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61253C" w:rsidRPr="000A731B" w14:paraId="6EB97044" w14:textId="77777777" w:rsidTr="00A640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9A3F9" w14:textId="77777777" w:rsidR="0061253C" w:rsidRPr="000A731B" w:rsidRDefault="0061253C" w:rsidP="00A640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47500" w14:textId="77777777" w:rsidR="0061253C" w:rsidRPr="000A731B" w:rsidRDefault="0061253C" w:rsidP="00A6405A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61253C" w:rsidRPr="000A731B" w14:paraId="4980E769" w14:textId="77777777" w:rsidTr="00A64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5B14D6CA" w14:textId="77777777" w:rsidR="0061253C" w:rsidRPr="000A731B" w:rsidRDefault="0061253C" w:rsidP="00A6405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61253C" w:rsidRPr="000A731B" w14:paraId="1CA0235D" w14:textId="77777777" w:rsidTr="00A640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13A93CA" w14:textId="77777777" w:rsidR="0061253C" w:rsidRDefault="0061253C" w:rsidP="00A6405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6F4494C1" w14:textId="77777777" w:rsidR="0061253C" w:rsidRPr="000A731B" w:rsidRDefault="0061253C" w:rsidP="00A6405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50BB15E" w14:textId="77777777" w:rsidR="0061253C" w:rsidRPr="000A731B" w:rsidRDefault="0061253C" w:rsidP="00A6405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Kejzlarová, vedoucí Oddělení správy smluv</w:t>
            </w:r>
          </w:p>
        </w:tc>
      </w:tr>
      <w:tr w:rsidR="0061253C" w:rsidRPr="000A731B" w14:paraId="4D87EF32" w14:textId="77777777" w:rsidTr="00A64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67973D0" w14:textId="77777777" w:rsidR="0061253C" w:rsidRPr="000A731B" w:rsidRDefault="0061253C" w:rsidP="00A6405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5CC1EA" w14:textId="44F4458C" w:rsidR="0061253C" w:rsidRPr="000A731B" w:rsidRDefault="0061253C" w:rsidP="00A6405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Ústí nad Labem</w:t>
            </w:r>
          </w:p>
        </w:tc>
      </w:tr>
      <w:tr w:rsidR="0061253C" w:rsidRPr="000A731B" w14:paraId="06BED822" w14:textId="77777777" w:rsidTr="00A640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2F02C0D" w14:textId="77777777" w:rsidR="0061253C" w:rsidRPr="000A731B" w:rsidRDefault="0061253C" w:rsidP="00A6405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02D6D53B" w14:textId="35A83AE7" w:rsidR="0061253C" w:rsidRPr="000A731B" w:rsidRDefault="0061253C" w:rsidP="00A6405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Mírové náměstí 35/C, 490 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08EA4817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8C70F8">
        <w:rPr>
          <w:rFonts w:eastAsia="Calibri" w:cs="Arial"/>
          <w:sz w:val="18"/>
          <w:szCs w:val="18"/>
        </w:rPr>
        <w:t>4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8C70F8">
        <w:rPr>
          <w:rFonts w:eastAsia="Calibri" w:cs="Arial"/>
          <w:sz w:val="18"/>
          <w:szCs w:val="18"/>
        </w:rPr>
        <w:t>4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15CAB594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</w:t>
      </w:r>
      <w:r w:rsidR="008C70F8">
        <w:rPr>
          <w:rFonts w:ascii="Arial" w:hAnsi="Arial" w:cs="Arial"/>
          <w:sz w:val="18"/>
          <w:szCs w:val="18"/>
        </w:rPr>
        <w:t>9</w:t>
      </w:r>
      <w:r w:rsidR="00BD7D86">
        <w:rPr>
          <w:rFonts w:ascii="Arial" w:hAnsi="Arial" w:cs="Arial"/>
          <w:sz w:val="18"/>
          <w:szCs w:val="18"/>
        </w:rPr>
        <w:t>/202</w:t>
      </w:r>
      <w:r w:rsidR="008C70F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 w:rsidR="00F12396">
        <w:rPr>
          <w:rFonts w:ascii="Arial" w:hAnsi="Arial" w:cs="Arial"/>
          <w:sz w:val="18"/>
          <w:szCs w:val="18"/>
        </w:rPr>
        <w:t xml:space="preserve"> tohoto Článku</w:t>
      </w:r>
      <w:r>
        <w:rPr>
          <w:rFonts w:ascii="Arial" w:hAnsi="Arial" w:cs="Arial"/>
          <w:sz w:val="18"/>
          <w:szCs w:val="18"/>
        </w:rPr>
        <w:t xml:space="preserve">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14A2CDA6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</w:t>
      </w:r>
      <w:r w:rsidR="00320489">
        <w:rPr>
          <w:rFonts w:ascii="Arial" w:hAnsi="Arial" w:cs="Arial"/>
          <w:sz w:val="18"/>
          <w:szCs w:val="18"/>
        </w:rPr>
        <w:t xml:space="preserve"> (dále jen „seznam zdravotních výkonů“)</w:t>
      </w:r>
      <w:r w:rsidRPr="00153F76">
        <w:rPr>
          <w:rFonts w:ascii="Arial" w:hAnsi="Arial" w:cs="Arial"/>
          <w:sz w:val="18"/>
          <w:szCs w:val="18"/>
        </w:rPr>
        <w:t xml:space="preserve">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8C70F8">
        <w:rPr>
          <w:rFonts w:ascii="Arial" w:hAnsi="Arial" w:cs="Arial"/>
          <w:b/>
          <w:sz w:val="18"/>
          <w:szCs w:val="18"/>
        </w:rPr>
        <w:t>41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3D5AD193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14:paraId="3CC117AE" w14:textId="4F17CBC1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4C07EF17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34193650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</w:t>
      </w:r>
      <w:r w:rsidR="00F12396">
        <w:rPr>
          <w:rFonts w:ascii="Arial" w:hAnsi="Arial" w:cs="Arial"/>
          <w:sz w:val="18"/>
          <w:szCs w:val="18"/>
        </w:rPr>
        <w:t xml:space="preserve"> uvedené v Článku I. odst. 1 </w:t>
      </w:r>
      <w:r w:rsidRPr="00C2581F">
        <w:rPr>
          <w:rFonts w:ascii="Arial" w:hAnsi="Arial" w:cs="Arial"/>
          <w:sz w:val="18"/>
          <w:szCs w:val="18"/>
        </w:rPr>
        <w:t xml:space="preserve">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678B229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19837718" w14:textId="637C9BA6" w:rsidR="009D5663" w:rsidRDefault="009D5663" w:rsidP="0061253C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E6C1788" w14:textId="53CF8948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BD276EE" w14:textId="77777777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3EAA130D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</w:t>
            </w:r>
            <w:r w:rsidR="00551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20DFCA51" w14:textId="77777777" w:rsidR="0061253C" w:rsidRDefault="0061253C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</w:p>
          <w:p w14:paraId="3CC117BB" w14:textId="11E88916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CC117BE" w14:textId="5C8B43D1" w:rsidR="00EF45A4" w:rsidRPr="00756819" w:rsidRDefault="0061253C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František Barák</w:t>
            </w:r>
          </w:p>
          <w:p w14:paraId="3CC117BF" w14:textId="0C162BFF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3CC117C0" w14:textId="676C3E97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V…………………….</w:t>
            </w:r>
            <w:r w:rsidR="00551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608EAA90" w14:textId="77777777" w:rsidR="0061253C" w:rsidRDefault="0061253C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</w:p>
          <w:p w14:paraId="3CC117C1" w14:textId="4461372E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CC117C4" w14:textId="39D39165" w:rsidR="00634C28" w:rsidRDefault="0061253C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3CC117C5" w14:textId="3E560E9E" w:rsidR="00EF45A4" w:rsidRPr="00756819" w:rsidRDefault="0061253C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4CA97" w14:textId="77777777" w:rsidR="00C018EB" w:rsidRDefault="00C018EB" w:rsidP="00C442AF">
      <w:r>
        <w:separator/>
      </w:r>
    </w:p>
  </w:endnote>
  <w:endnote w:type="continuationSeparator" w:id="0">
    <w:p w14:paraId="4BAF7897" w14:textId="77777777" w:rsidR="00C018EB" w:rsidRDefault="00C018EB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A5A24" w14:textId="77777777" w:rsidR="00C018EB" w:rsidRDefault="00C018EB" w:rsidP="00C442AF">
      <w:r>
        <w:separator/>
      </w:r>
    </w:p>
  </w:footnote>
  <w:footnote w:type="continuationSeparator" w:id="0">
    <w:p w14:paraId="3FA38BED" w14:textId="77777777" w:rsidR="00C018EB" w:rsidRDefault="00C018EB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5B260485" w:rsidR="005921F9" w:rsidRPr="0069626E" w:rsidRDefault="00C442AF" w:rsidP="003B17DA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6714F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773B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0489"/>
    <w:rsid w:val="003249AE"/>
    <w:rsid w:val="00325632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17DA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41B42"/>
    <w:rsid w:val="00453888"/>
    <w:rsid w:val="004604D5"/>
    <w:rsid w:val="00474F0B"/>
    <w:rsid w:val="0048352C"/>
    <w:rsid w:val="004875B3"/>
    <w:rsid w:val="0049143E"/>
    <w:rsid w:val="004C2DB6"/>
    <w:rsid w:val="004C5470"/>
    <w:rsid w:val="004C5976"/>
    <w:rsid w:val="004E1432"/>
    <w:rsid w:val="00504FA8"/>
    <w:rsid w:val="00521CAF"/>
    <w:rsid w:val="00523C80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6A78"/>
    <w:rsid w:val="005E75DB"/>
    <w:rsid w:val="005F02F6"/>
    <w:rsid w:val="005F0771"/>
    <w:rsid w:val="0060375F"/>
    <w:rsid w:val="0061161A"/>
    <w:rsid w:val="0061253C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83976"/>
    <w:rsid w:val="0078563F"/>
    <w:rsid w:val="00790F0F"/>
    <w:rsid w:val="00792F47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80DB1"/>
    <w:rsid w:val="008A162D"/>
    <w:rsid w:val="008A41CD"/>
    <w:rsid w:val="008A655C"/>
    <w:rsid w:val="008B3A28"/>
    <w:rsid w:val="008B485D"/>
    <w:rsid w:val="008C70F8"/>
    <w:rsid w:val="008D606E"/>
    <w:rsid w:val="008D682D"/>
    <w:rsid w:val="008D6E0C"/>
    <w:rsid w:val="008E3264"/>
    <w:rsid w:val="008E4E0C"/>
    <w:rsid w:val="008E60B8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8756F"/>
    <w:rsid w:val="00994103"/>
    <w:rsid w:val="009A1E4D"/>
    <w:rsid w:val="009B6370"/>
    <w:rsid w:val="009C27C4"/>
    <w:rsid w:val="009D0534"/>
    <w:rsid w:val="009D5663"/>
    <w:rsid w:val="009E2117"/>
    <w:rsid w:val="009E3CB1"/>
    <w:rsid w:val="009E7BE7"/>
    <w:rsid w:val="009F1805"/>
    <w:rsid w:val="00A329CE"/>
    <w:rsid w:val="00A35DD3"/>
    <w:rsid w:val="00A42C5C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0FCF"/>
    <w:rsid w:val="00B412FA"/>
    <w:rsid w:val="00B54414"/>
    <w:rsid w:val="00B56461"/>
    <w:rsid w:val="00B63959"/>
    <w:rsid w:val="00B72403"/>
    <w:rsid w:val="00B84FD6"/>
    <w:rsid w:val="00B856B1"/>
    <w:rsid w:val="00B96856"/>
    <w:rsid w:val="00BA031A"/>
    <w:rsid w:val="00BB1AA5"/>
    <w:rsid w:val="00BD07A6"/>
    <w:rsid w:val="00BD1F33"/>
    <w:rsid w:val="00BD243B"/>
    <w:rsid w:val="00BD2C35"/>
    <w:rsid w:val="00BD7D86"/>
    <w:rsid w:val="00BF3AD3"/>
    <w:rsid w:val="00C018EB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7513B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07842"/>
    <w:rsid w:val="00D226AB"/>
    <w:rsid w:val="00D349B2"/>
    <w:rsid w:val="00D361DF"/>
    <w:rsid w:val="00D36741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80B56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12396"/>
    <w:rsid w:val="00F22962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2</_x010c__x00ed_slo_x0020_MP>
    <Rok xmlns="081b771e-1c88-4fba-bfa8-6ea13399dd86">2024</Rok>
    <Dot_x010d_en_x00fd__x0020_P_x0158_ xmlns="081b771e-1c88-4fba-bfa8-6ea13399dd86">PŘ č. 3/2021</Dot_x010d_en_x00fd__x0020_P_x0158_>
    <Zaji_x0161__x0165_uje_x0020__x00fa_tvar xmlns="081b771e-1c88-4fba-bfa8-6ea13399dd86" xsi:nil="true"/>
    <_x00da__x010d_innost_x0020_od xmlns="081b771e-1c88-4fba-bfa8-6ea13399dd86">2024-01-08T23:00:00+00:00</_x00da__x010d_innost_x0020_od>
    <N_x00e1_zev_x0020_MP xmlns="081b771e-1c88-4fba-bfa8-6ea13399dd86">Mechanismus úhrady v odbornostech 709, 799, 989, 003, 007 (sekce DOP) pro rok 2024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74D6F-2C51-45DC-844C-713C282E5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Šustáčková Gabriela (VZP ČR Regionální pobočka Ústí nad Labem)</cp:lastModifiedBy>
  <cp:revision>5</cp:revision>
  <cp:lastPrinted>2024-01-30T06:31:00Z</cp:lastPrinted>
  <dcterms:created xsi:type="dcterms:W3CDTF">2024-01-15T07:49:00Z</dcterms:created>
  <dcterms:modified xsi:type="dcterms:W3CDTF">2024-01-30T06:31:00Z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