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1262" w14:textId="77777777" w:rsidR="00EB7C7F" w:rsidRPr="00FB780C" w:rsidRDefault="00806CAD" w:rsidP="00EB7C7F">
      <w:pPr>
        <w:pStyle w:val="Zhlavdohody"/>
      </w:pPr>
      <w:r w:rsidRPr="00FB780C">
        <w:t>D O H O D A</w:t>
      </w:r>
      <w:r w:rsidR="00020048" w:rsidRPr="00FB780C">
        <w:rPr>
          <w:noProof/>
        </w:rPr>
        <w:t xml:space="preserve"> </w:t>
      </w:r>
    </w:p>
    <w:p w14:paraId="54E8FD56" w14:textId="77777777"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14:paraId="094BADE1" w14:textId="77777777" w:rsidR="00B320B8" w:rsidRPr="00FB780C" w:rsidRDefault="00680B09" w:rsidP="00B320B8">
      <w:pPr>
        <w:pStyle w:val="Nzevdohody"/>
      </w:pPr>
      <w:r w:rsidRPr="00FB780C">
        <w:t xml:space="preserve">č. </w:t>
      </w:r>
      <w:r w:rsidR="00020048">
        <w:t>OLA-P-3/2024</w:t>
      </w:r>
    </w:p>
    <w:p w14:paraId="375A37DA" w14:textId="77777777" w:rsidR="00B320B8" w:rsidRPr="00FB780C" w:rsidRDefault="00B320B8" w:rsidP="00B320B8">
      <w:pPr>
        <w:rPr>
          <w:rFonts w:cs="Arial"/>
          <w:szCs w:val="20"/>
        </w:rPr>
      </w:pPr>
    </w:p>
    <w:p w14:paraId="1B1D78FE" w14:textId="77777777"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14:paraId="54B77719" w14:textId="77777777" w:rsidR="00EA2E75" w:rsidRPr="00FB780C" w:rsidRDefault="00EA2E75">
      <w:pPr>
        <w:rPr>
          <w:rFonts w:cs="Arial"/>
          <w:szCs w:val="20"/>
        </w:rPr>
      </w:pPr>
    </w:p>
    <w:p w14:paraId="1D60D738" w14:textId="77777777"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14:paraId="272D50B8" w14:textId="77777777"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20048" w:rsidRPr="00020048">
        <w:rPr>
          <w:rFonts w:cs="Arial"/>
          <w:szCs w:val="20"/>
        </w:rPr>
        <w:t xml:space="preserve">Mgr. </w:t>
      </w:r>
      <w:r w:rsidR="00020048">
        <w:t>Milena Vykoukalová</w:t>
      </w:r>
      <w:r w:rsidRPr="00A3020E">
        <w:rPr>
          <w:rFonts w:cs="Arial"/>
          <w:szCs w:val="20"/>
        </w:rPr>
        <w:t xml:space="preserve">, </w:t>
      </w:r>
      <w:r w:rsidR="00020048" w:rsidRPr="00020048">
        <w:rPr>
          <w:rFonts w:cs="Arial"/>
          <w:szCs w:val="20"/>
        </w:rPr>
        <w:t>ředitelka Odboru</w:t>
      </w:r>
      <w:r w:rsidR="00020048">
        <w:t xml:space="preserve"> zaměstnanosti KoP Olomouc</w:t>
      </w:r>
    </w:p>
    <w:p w14:paraId="107E605D" w14:textId="77777777"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020048" w:rsidRPr="00020048">
        <w:rPr>
          <w:rFonts w:cs="Arial"/>
          <w:szCs w:val="20"/>
        </w:rPr>
        <w:t>Dobrovského 1278</w:t>
      </w:r>
      <w:r w:rsidR="00020048">
        <w:t>/25, 170 00 Praha 7</w:t>
      </w:r>
    </w:p>
    <w:p w14:paraId="5B438821" w14:textId="77777777"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020048" w:rsidRPr="00020048">
        <w:rPr>
          <w:rFonts w:cs="Arial"/>
          <w:szCs w:val="20"/>
        </w:rPr>
        <w:t>72496991</w:t>
      </w:r>
    </w:p>
    <w:p w14:paraId="48CA4A9B" w14:textId="77777777"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r w:rsidR="00020048" w:rsidRPr="00020048">
        <w:rPr>
          <w:rFonts w:cs="Arial"/>
          <w:szCs w:val="20"/>
        </w:rPr>
        <w:t>Vejdovského č</w:t>
      </w:r>
      <w:r w:rsidR="00020048">
        <w:t>.p. 988/4, Hodolany, 779 00 Olomouc 9</w:t>
      </w:r>
    </w:p>
    <w:p w14:paraId="139CF660" w14:textId="77777777"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14:paraId="07A48118" w14:textId="77777777" w:rsidR="001E04F3" w:rsidRPr="00A3020E" w:rsidRDefault="001E04F3" w:rsidP="004E1A52">
      <w:pPr>
        <w:tabs>
          <w:tab w:val="left" w:pos="2520"/>
        </w:tabs>
        <w:spacing w:before="120" w:after="120"/>
        <w:rPr>
          <w:rFonts w:cs="Arial"/>
          <w:szCs w:val="20"/>
        </w:rPr>
      </w:pPr>
      <w:r w:rsidRPr="00A3020E">
        <w:rPr>
          <w:rFonts w:cs="Arial"/>
          <w:szCs w:val="20"/>
        </w:rPr>
        <w:t>a</w:t>
      </w:r>
    </w:p>
    <w:p w14:paraId="4CF91C62" w14:textId="77777777" w:rsidR="00020048" w:rsidRPr="00D342F9" w:rsidRDefault="001E04F3" w:rsidP="001E04F3">
      <w:pPr>
        <w:tabs>
          <w:tab w:val="left" w:pos="2212"/>
        </w:tabs>
        <w:ind w:left="2211" w:hanging="2211"/>
        <w:rPr>
          <w:rFonts w:cs="Arial"/>
          <w:noProof/>
          <w:szCs w:val="20"/>
        </w:rPr>
      </w:pPr>
      <w:r w:rsidRPr="00D342F9">
        <w:rPr>
          <w:rFonts w:cs="Arial"/>
          <w:szCs w:val="20"/>
        </w:rPr>
        <w:t>zaměstnavatelem:</w:t>
      </w:r>
      <w:r w:rsidRPr="00D342F9">
        <w:rPr>
          <w:rFonts w:cs="Arial"/>
          <w:szCs w:val="20"/>
        </w:rPr>
        <w:tab/>
      </w:r>
      <w:r w:rsidR="00020048" w:rsidRPr="00020048">
        <w:rPr>
          <w:rFonts w:cs="Arial"/>
          <w:szCs w:val="20"/>
        </w:rPr>
        <w:t>BSB PRÁDELNY</w:t>
      </w:r>
      <w:r w:rsidR="00020048">
        <w:t xml:space="preserve"> s.r.o.</w:t>
      </w:r>
      <w:r w:rsidR="00020048" w:rsidRPr="00020048">
        <w:rPr>
          <w:rFonts w:cs="Arial"/>
          <w:vanish/>
          <w:szCs w:val="20"/>
        </w:rPr>
        <w:t>0</w:t>
      </w:r>
    </w:p>
    <w:p w14:paraId="0BC2AAF4" w14:textId="77777777" w:rsidR="001E04F3" w:rsidRPr="00D342F9" w:rsidRDefault="00020048" w:rsidP="001E04F3">
      <w:pPr>
        <w:tabs>
          <w:tab w:val="left" w:pos="2212"/>
        </w:tabs>
        <w:ind w:left="2211" w:hanging="2211"/>
        <w:rPr>
          <w:rFonts w:cs="Arial"/>
          <w:szCs w:val="20"/>
        </w:rPr>
      </w:pPr>
      <w:r w:rsidRPr="00D342F9">
        <w:rPr>
          <w:rFonts w:cs="Arial"/>
          <w:noProof/>
          <w:szCs w:val="20"/>
        </w:rPr>
        <w:t>zastupující osoba:</w:t>
      </w:r>
      <w:r w:rsidRPr="00D342F9">
        <w:rPr>
          <w:rFonts w:cs="Arial"/>
          <w:noProof/>
          <w:szCs w:val="20"/>
        </w:rPr>
        <w:tab/>
      </w:r>
      <w:r w:rsidRPr="00020048">
        <w:rPr>
          <w:rFonts w:cs="Arial"/>
          <w:noProof/>
          <w:szCs w:val="20"/>
        </w:rPr>
        <w:t xml:space="preserve">Mgr. </w:t>
      </w:r>
      <w:r>
        <w:rPr>
          <w:noProof/>
        </w:rPr>
        <w:t>Roman Chlopčík, jednatel</w:t>
      </w:r>
      <w:r>
        <w:rPr>
          <w:noProof/>
        </w:rPr>
        <w:tab/>
      </w:r>
      <w:r>
        <w:rPr>
          <w:noProof/>
        </w:rPr>
        <w:br/>
        <w:t>Mgr. Ilja Spurný, jednatel</w:t>
      </w:r>
    </w:p>
    <w:p w14:paraId="462513D4" w14:textId="77777777"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020048" w:rsidRPr="00020048">
        <w:rPr>
          <w:rFonts w:cs="Arial"/>
          <w:szCs w:val="20"/>
        </w:rPr>
        <w:t xml:space="preserve">nám. </w:t>
      </w:r>
      <w:r w:rsidR="00020048">
        <w:t>Národních hrdinů č.p. 769/2, 779 00 Olomouc 9</w:t>
      </w:r>
    </w:p>
    <w:p w14:paraId="177686E8" w14:textId="77777777"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020048" w:rsidRPr="00020048">
        <w:rPr>
          <w:rFonts w:cs="Arial"/>
          <w:szCs w:val="20"/>
        </w:rPr>
        <w:t>02833409</w:t>
      </w:r>
    </w:p>
    <w:p w14:paraId="3922326C" w14:textId="77777777"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14:paraId="6FF51F4A" w14:textId="77777777" w:rsidR="00467F52" w:rsidRPr="00FB780C" w:rsidRDefault="00467F52" w:rsidP="00B320B8">
      <w:pPr>
        <w:tabs>
          <w:tab w:val="left" w:pos="2520"/>
        </w:tabs>
        <w:spacing w:before="60"/>
        <w:rPr>
          <w:rFonts w:cs="Arial"/>
          <w:szCs w:val="20"/>
        </w:rPr>
      </w:pPr>
    </w:p>
    <w:p w14:paraId="29BE53B8" w14:textId="77777777" w:rsidR="001A1E1E" w:rsidRPr="00FB780C" w:rsidRDefault="001A1E1E" w:rsidP="001A1E1E">
      <w:pPr>
        <w:pStyle w:val="lnek"/>
      </w:pPr>
      <w:r w:rsidRPr="00FB780C">
        <w:t>Článek I</w:t>
      </w:r>
    </w:p>
    <w:p w14:paraId="059E7ACF" w14:textId="77777777" w:rsidR="00661871" w:rsidRPr="00FB780C" w:rsidRDefault="001A1E1E" w:rsidP="004124F1">
      <w:pPr>
        <w:pStyle w:val="lnek"/>
      </w:pPr>
      <w:r>
        <w:t>Účel poskytnutí příspěvku</w:t>
      </w:r>
    </w:p>
    <w:p w14:paraId="2BDA1D2F" w14:textId="77777777"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14:paraId="699E6093" w14:textId="77777777" w:rsidR="00DE5F15" w:rsidRPr="00FB780C" w:rsidRDefault="00DE5F15" w:rsidP="004124F1">
      <w:pPr>
        <w:pStyle w:val="lnek"/>
      </w:pPr>
      <w:r w:rsidRPr="00FB780C">
        <w:t>Článek II</w:t>
      </w:r>
    </w:p>
    <w:p w14:paraId="7BEBD2B2" w14:textId="77777777" w:rsidR="0061588B" w:rsidRPr="00FB780C" w:rsidRDefault="0061588B" w:rsidP="0061588B">
      <w:pPr>
        <w:pStyle w:val="lnek"/>
      </w:pPr>
      <w:r>
        <w:t>Podmínky poskytování příspěvku</w:t>
      </w:r>
    </w:p>
    <w:p w14:paraId="20FEFB11" w14:textId="77777777"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14:paraId="70F26D26" w14:textId="77777777" w:rsidR="00204CBE" w:rsidRPr="00204CBE" w:rsidRDefault="004F4B30" w:rsidP="00204CBE">
      <w:pPr>
        <w:pStyle w:val="Boddohody"/>
        <w:spacing w:after="120"/>
        <w:ind w:left="357" w:hanging="357"/>
      </w:pPr>
      <w:r w:rsidRPr="004F4B30">
        <w:t>Zaměstnavatel zřídí nejdříve ode dne nabytí účinnosti této dohody níže uvedená pracovní místa pro osob</w:t>
      </w:r>
      <w:r w:rsidR="00020048">
        <w:t>u</w:t>
      </w:r>
      <w:r w:rsidRPr="004F4B30">
        <w:t xml:space="preserve"> se zdravotním postižením (dále jen „pracovní místa"). Další údaje o charakteristice pracovníh</w:t>
      </w:r>
      <w:r w:rsidR="00020048">
        <w:t>o</w:t>
      </w:r>
      <w:r w:rsidRPr="004F4B30">
        <w:t xml:space="preserve"> míst</w:t>
      </w:r>
      <w:r w:rsidR="00020048">
        <w:t>a</w:t>
      </w:r>
      <w:r w:rsidRPr="004F4B30">
        <w:t xml:space="preserve"> jsou přílohou č. 1 této dohody.</w:t>
      </w:r>
      <w:r w:rsidR="00204CBE" w:rsidRPr="00204CBE">
        <w:t xml:space="preserve"> </w:t>
      </w:r>
    </w:p>
    <w:p w14:paraId="1F5250EE" w14:textId="77777777" w:rsidR="001C3643" w:rsidRPr="00FB780C" w:rsidRDefault="001C3643" w:rsidP="001C3643">
      <w:pPr>
        <w:rPr>
          <w:rFonts w:cs="Arial"/>
          <w:vanish/>
          <w:szCs w:val="20"/>
        </w:rPr>
      </w:pPr>
      <w:r w:rsidRPr="00FB780C">
        <w:rPr>
          <w:rFonts w:cs="Arial"/>
          <w:vanish/>
          <w:szCs w:val="20"/>
        </w:rPr>
        <w:t>tabMístaPříspěvek</w:t>
      </w:r>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14:paraId="340BCD88" w14:textId="77777777" w:rsidTr="00F31776">
        <w:trPr>
          <w:cantSplit/>
          <w:trHeight w:val="260"/>
          <w:tblHeader/>
        </w:trPr>
        <w:tc>
          <w:tcPr>
            <w:tcW w:w="2617" w:type="dxa"/>
            <w:shd w:val="clear" w:color="auto" w:fill="E6E6E6"/>
            <w:vAlign w:val="center"/>
          </w:tcPr>
          <w:p w14:paraId="33F77355" w14:textId="77777777" w:rsidR="001C3643" w:rsidRPr="00FD702D" w:rsidRDefault="001C3643" w:rsidP="00F31776">
            <w:pPr>
              <w:keepNext/>
              <w:spacing w:before="20" w:after="20"/>
              <w:rPr>
                <w:rFonts w:cs="Arial"/>
                <w:sz w:val="18"/>
                <w:szCs w:val="18"/>
              </w:rPr>
            </w:pPr>
            <w:r>
              <w:rPr>
                <w:rFonts w:cs="Arial"/>
                <w:sz w:val="18"/>
                <w:szCs w:val="18"/>
              </w:rPr>
              <w:t>Druh práce</w:t>
            </w:r>
          </w:p>
        </w:tc>
        <w:tc>
          <w:tcPr>
            <w:tcW w:w="2930" w:type="dxa"/>
            <w:shd w:val="clear" w:color="auto" w:fill="E6E6E6"/>
            <w:vAlign w:val="center"/>
          </w:tcPr>
          <w:p w14:paraId="3710588C" w14:textId="77777777"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14:paraId="0921D671" w14:textId="77777777"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14:paraId="722C6FE2" w14:textId="77777777"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14:paraId="2DCD3234" w14:textId="77777777"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020048" w:rsidRPr="00FD702D" w14:paraId="12CD260A" w14:textId="77777777" w:rsidTr="00F31776">
        <w:trPr>
          <w:cantSplit/>
          <w:trHeight w:val="910"/>
        </w:trPr>
        <w:tc>
          <w:tcPr>
            <w:tcW w:w="2617" w:type="dxa"/>
            <w:vAlign w:val="center"/>
          </w:tcPr>
          <w:p w14:paraId="43D8AFAD" w14:textId="77777777" w:rsidR="00020048" w:rsidRPr="00FD702D" w:rsidRDefault="00020048" w:rsidP="00F31776">
            <w:pPr>
              <w:spacing w:before="20" w:after="20"/>
              <w:jc w:val="left"/>
              <w:rPr>
                <w:rFonts w:cs="Arial"/>
                <w:sz w:val="18"/>
                <w:szCs w:val="18"/>
              </w:rPr>
            </w:pPr>
            <w:r>
              <w:rPr>
                <w:rFonts w:cs="Arial"/>
                <w:sz w:val="18"/>
                <w:szCs w:val="18"/>
              </w:rPr>
              <w:t>Zaměstnanec prádelny</w:t>
            </w:r>
          </w:p>
        </w:tc>
        <w:tc>
          <w:tcPr>
            <w:tcW w:w="2930" w:type="dxa"/>
            <w:vAlign w:val="center"/>
          </w:tcPr>
          <w:p w14:paraId="6AD84E72" w14:textId="77777777" w:rsidR="00020048" w:rsidRPr="00FC4618" w:rsidRDefault="008723CF" w:rsidP="00F31776">
            <w:pPr>
              <w:spacing w:before="20" w:after="20"/>
              <w:jc w:val="left"/>
              <w:rPr>
                <w:rFonts w:cs="Arial"/>
                <w:sz w:val="18"/>
                <w:szCs w:val="18"/>
              </w:rPr>
            </w:pPr>
            <w:r>
              <w:rPr>
                <w:rFonts w:cs="Arial"/>
                <w:sz w:val="18"/>
                <w:szCs w:val="18"/>
              </w:rPr>
              <w:t>Olomouc, Nový Dvůr č.p. 138</w:t>
            </w:r>
          </w:p>
        </w:tc>
        <w:tc>
          <w:tcPr>
            <w:tcW w:w="1181" w:type="dxa"/>
            <w:tcMar>
              <w:right w:w="454" w:type="dxa"/>
            </w:tcMar>
            <w:vAlign w:val="center"/>
          </w:tcPr>
          <w:p w14:paraId="07465A03" w14:textId="77777777" w:rsidR="00020048" w:rsidRPr="00FD702D" w:rsidRDefault="00020048" w:rsidP="00F31776">
            <w:pPr>
              <w:spacing w:before="20" w:after="20"/>
              <w:jc w:val="right"/>
              <w:rPr>
                <w:rFonts w:cs="Arial"/>
                <w:sz w:val="18"/>
                <w:szCs w:val="18"/>
              </w:rPr>
            </w:pPr>
            <w:r>
              <w:rPr>
                <w:rFonts w:cs="Arial"/>
                <w:sz w:val="18"/>
                <w:szCs w:val="18"/>
              </w:rPr>
              <w:t>1</w:t>
            </w:r>
          </w:p>
        </w:tc>
        <w:tc>
          <w:tcPr>
            <w:tcW w:w="992" w:type="dxa"/>
            <w:vAlign w:val="center"/>
          </w:tcPr>
          <w:p w14:paraId="30F7DC77" w14:textId="77777777" w:rsidR="00020048" w:rsidRPr="00FC4618" w:rsidRDefault="00020048" w:rsidP="00F31776">
            <w:pPr>
              <w:spacing w:before="20" w:after="20"/>
              <w:jc w:val="center"/>
              <w:rPr>
                <w:rFonts w:cs="Arial"/>
                <w:sz w:val="18"/>
                <w:szCs w:val="18"/>
              </w:rPr>
            </w:pPr>
            <w:r>
              <w:rPr>
                <w:rFonts w:cs="Arial"/>
                <w:sz w:val="18"/>
                <w:szCs w:val="18"/>
              </w:rPr>
              <w:t>NE</w:t>
            </w:r>
          </w:p>
        </w:tc>
        <w:tc>
          <w:tcPr>
            <w:tcW w:w="1459" w:type="dxa"/>
            <w:tcMar>
              <w:right w:w="454" w:type="dxa"/>
            </w:tcMar>
            <w:vAlign w:val="center"/>
          </w:tcPr>
          <w:p w14:paraId="2FD17DA0" w14:textId="77777777" w:rsidR="00020048" w:rsidRPr="00FD702D" w:rsidRDefault="00020048" w:rsidP="00F31776">
            <w:pPr>
              <w:spacing w:before="20" w:after="20"/>
              <w:jc w:val="right"/>
              <w:rPr>
                <w:rFonts w:cs="Arial"/>
                <w:sz w:val="18"/>
                <w:szCs w:val="18"/>
              </w:rPr>
            </w:pPr>
            <w:r>
              <w:rPr>
                <w:rFonts w:cs="Arial"/>
                <w:sz w:val="18"/>
                <w:szCs w:val="18"/>
              </w:rPr>
              <w:t>120000</w:t>
            </w:r>
          </w:p>
        </w:tc>
      </w:tr>
      <w:tr w:rsidR="001C3643" w:rsidRPr="00FD702D" w14:paraId="24EEDCFA" w14:textId="77777777" w:rsidTr="00F31776">
        <w:trPr>
          <w:cantSplit/>
          <w:trHeight w:val="1141"/>
        </w:trPr>
        <w:tc>
          <w:tcPr>
            <w:tcW w:w="2617" w:type="dxa"/>
            <w:shd w:val="clear" w:color="auto" w:fill="E6E6E6"/>
            <w:vAlign w:val="center"/>
          </w:tcPr>
          <w:p w14:paraId="633908F9" w14:textId="77777777" w:rsidR="001C3643" w:rsidRPr="00FD702D" w:rsidRDefault="001C3643" w:rsidP="00F31776">
            <w:pPr>
              <w:spacing w:before="20" w:after="20"/>
              <w:rPr>
                <w:rFonts w:cs="Arial"/>
                <w:sz w:val="18"/>
                <w:szCs w:val="18"/>
              </w:rPr>
            </w:pPr>
            <w:r w:rsidRPr="00FD702D">
              <w:rPr>
                <w:rFonts w:cs="Arial"/>
                <w:sz w:val="18"/>
                <w:szCs w:val="18"/>
              </w:rPr>
              <w:lastRenderedPageBreak/>
              <w:t>Celkem</w:t>
            </w:r>
          </w:p>
        </w:tc>
        <w:tc>
          <w:tcPr>
            <w:tcW w:w="2930" w:type="dxa"/>
            <w:shd w:val="clear" w:color="auto" w:fill="E6E6E6"/>
            <w:vAlign w:val="center"/>
          </w:tcPr>
          <w:p w14:paraId="1E1A3344" w14:textId="77777777" w:rsidR="001C3643" w:rsidRPr="00FD702D" w:rsidRDefault="001C3643" w:rsidP="00F31776">
            <w:pPr>
              <w:spacing w:before="20" w:after="20"/>
              <w:jc w:val="left"/>
              <w:rPr>
                <w:rFonts w:cs="Arial"/>
                <w:sz w:val="18"/>
                <w:szCs w:val="18"/>
              </w:rPr>
            </w:pPr>
          </w:p>
        </w:tc>
        <w:tc>
          <w:tcPr>
            <w:tcW w:w="1181" w:type="dxa"/>
            <w:shd w:val="clear" w:color="auto" w:fill="E6E6E6"/>
            <w:tcMar>
              <w:right w:w="454" w:type="dxa"/>
            </w:tcMar>
            <w:vAlign w:val="center"/>
          </w:tcPr>
          <w:p w14:paraId="6E2D8660" w14:textId="77777777" w:rsidR="001C3643" w:rsidRPr="00FD702D" w:rsidRDefault="00020048" w:rsidP="00F31776">
            <w:pPr>
              <w:spacing w:before="20" w:after="20"/>
              <w:jc w:val="right"/>
              <w:rPr>
                <w:rFonts w:cs="Arial"/>
                <w:sz w:val="18"/>
                <w:szCs w:val="18"/>
              </w:rPr>
            </w:pPr>
            <w:r w:rsidRPr="00020048">
              <w:rPr>
                <w:rFonts w:cs="Arial"/>
                <w:sz w:val="18"/>
                <w:szCs w:val="18"/>
              </w:rPr>
              <w:t>1</w:t>
            </w:r>
          </w:p>
        </w:tc>
        <w:tc>
          <w:tcPr>
            <w:tcW w:w="992" w:type="dxa"/>
            <w:shd w:val="clear" w:color="auto" w:fill="E6E6E6"/>
            <w:vAlign w:val="center"/>
          </w:tcPr>
          <w:p w14:paraId="63890670" w14:textId="77777777" w:rsidR="001C3643" w:rsidRPr="00FD702D" w:rsidRDefault="00020048" w:rsidP="00F31776">
            <w:pPr>
              <w:spacing w:before="20" w:after="20"/>
              <w:jc w:val="center"/>
              <w:rPr>
                <w:rFonts w:cs="Arial"/>
                <w:sz w:val="18"/>
                <w:szCs w:val="18"/>
              </w:rPr>
            </w:pPr>
            <w:r>
              <w:rPr>
                <w:rFonts w:cs="Arial"/>
                <w:sz w:val="18"/>
                <w:szCs w:val="18"/>
              </w:rPr>
              <w:t>NE</w:t>
            </w:r>
          </w:p>
        </w:tc>
        <w:tc>
          <w:tcPr>
            <w:tcW w:w="1459" w:type="dxa"/>
            <w:shd w:val="clear" w:color="auto" w:fill="E6E6E6"/>
            <w:tcMar>
              <w:right w:w="454" w:type="dxa"/>
            </w:tcMar>
            <w:vAlign w:val="center"/>
          </w:tcPr>
          <w:p w14:paraId="1AC8D061" w14:textId="77777777"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020048">
              <w:rPr>
                <w:rFonts w:cs="Arial"/>
                <w:noProof/>
                <w:sz w:val="18"/>
                <w:szCs w:val="18"/>
              </w:rPr>
              <w:t>120 000</w:t>
            </w:r>
            <w:r w:rsidRPr="00FD702D">
              <w:rPr>
                <w:rFonts w:cs="Arial"/>
                <w:sz w:val="18"/>
                <w:szCs w:val="18"/>
              </w:rPr>
              <w:fldChar w:fldCharType="end"/>
            </w:r>
          </w:p>
        </w:tc>
      </w:tr>
    </w:tbl>
    <w:p w14:paraId="7AA01E16" w14:textId="77777777" w:rsidR="00057578" w:rsidRPr="00057578" w:rsidRDefault="00057578" w:rsidP="00E20016">
      <w:pPr>
        <w:pStyle w:val="Boddohody"/>
      </w:pPr>
      <w:r w:rsidRPr="00057578">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6BAF25D4" w14:textId="77777777" w:rsidR="00001526" w:rsidRPr="00DE4CB9" w:rsidRDefault="00001526" w:rsidP="00001526">
      <w:pPr>
        <w:pStyle w:val="Boddohody"/>
      </w:pPr>
      <w:r w:rsidRPr="00DE4CB9">
        <w:t>Zaměstnavatel zřídí a obsadí pracovní místa nejpozději do</w:t>
      </w:r>
      <w:r w:rsidR="0076321E">
        <w:t> </w:t>
      </w:r>
      <w:r w:rsidR="00020048">
        <w:t>29.7.2024</w:t>
      </w:r>
      <w:r w:rsidRPr="00DE4CB9">
        <w:t>.</w:t>
      </w:r>
    </w:p>
    <w:p w14:paraId="394B2F53" w14:textId="77777777" w:rsidR="00001526" w:rsidRPr="00DE4CB9" w:rsidRDefault="00001526" w:rsidP="00001526">
      <w:pPr>
        <w:pStyle w:val="Boddohody"/>
      </w:pPr>
      <w:r w:rsidRPr="00DE4CB9">
        <w:t>Doba obsazení každého pracovního místa musí činit alespoň 3</w:t>
      </w:r>
      <w:r w:rsidR="00450DA1">
        <w:t> </w:t>
      </w:r>
      <w:r w:rsidRPr="00DE4CB9">
        <w:t>roky a musí být splněna nejpozději do</w:t>
      </w:r>
      <w:r w:rsidR="00020048">
        <w:t xml:space="preserve"> 28.1.2028</w:t>
      </w:r>
      <w:r w:rsidRPr="00DE4CB9">
        <w:t>. Za dobu obsazení pracovního místa se považuje doba, po kterou trvá pracovní poměr osoby se zdravotním postižením.</w:t>
      </w:r>
    </w:p>
    <w:p w14:paraId="14635FFE" w14:textId="77777777"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436648C6" w14:textId="77777777" w:rsidR="00001526" w:rsidRPr="00DE4CB9" w:rsidRDefault="00001526" w:rsidP="00001526">
      <w:pPr>
        <w:pStyle w:val="Boddohody"/>
      </w:pPr>
      <w:r w:rsidRPr="00DE4CB9">
        <w:t>Příspěvek může být zaměstnavatelem použit jen na krytí a úhradu nákladů, které vzniknou a budou uhrazeny v době od nabytí účinnosti této dohody do</w:t>
      </w:r>
      <w:r w:rsidR="00273E02">
        <w:t> </w:t>
      </w:r>
      <w:r w:rsidR="00020048">
        <w:t>24.9.2024.</w:t>
      </w:r>
    </w:p>
    <w:p w14:paraId="4602A1EE" w14:textId="77777777" w:rsidR="00001526" w:rsidRPr="00DE4CB9" w:rsidRDefault="00001526" w:rsidP="00001526">
      <w:pPr>
        <w:pStyle w:val="Boddohody"/>
      </w:pPr>
      <w:r w:rsidRPr="00DE4CB9">
        <w:t>Zaměstnavatel doloží Úřadu práce do</w:t>
      </w:r>
      <w:r w:rsidR="00020048">
        <w:t xml:space="preserve"> 31.10.2024</w:t>
      </w:r>
      <w:r w:rsidRPr="00DE4CB9">
        <w:t>(tj.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14:paraId="6E0B04AB" w14:textId="77777777" w:rsidR="00001526" w:rsidRPr="00DE4CB9" w:rsidRDefault="00001526" w:rsidP="00001526">
      <w:pPr>
        <w:pStyle w:val="Boddohody"/>
      </w:pPr>
      <w:r w:rsidRPr="00DE4CB9">
        <w:t xml:space="preserve">Zaměstnavatel si ponechá vybavení pořízené podle bodu 5. tohoto článku dohody ve svém vlastnictví minimálně do </w:t>
      </w:r>
      <w:r w:rsidR="00020048">
        <w:t>28.1.2028</w:t>
      </w:r>
      <w:r w:rsidRPr="00DE4CB9">
        <w:t>. Tato podmínka neplatí, pokud Úřad práce udělí zaměstnavateli předchozí písemný souhlas s prodejem pořízené věci nebo zaměstnavatel Úřadu práce prokáže, že došlo k jejímu odcizení, ztrátě nebo zničení.</w:t>
      </w:r>
    </w:p>
    <w:p w14:paraId="37BF12D3" w14:textId="77777777"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14:paraId="3842087D" w14:textId="77777777" w:rsidR="00001526" w:rsidRPr="00DE4CB9" w:rsidRDefault="00001526" w:rsidP="00001526">
      <w:pPr>
        <w:pStyle w:val="Boddohody"/>
      </w:pPr>
      <w:r w:rsidRPr="00DE4CB9">
        <w:t xml:space="preserve">Zaměstnavatel doručí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14:paraId="584C6319" w14:textId="77777777" w:rsidR="00001526" w:rsidRPr="00DE4CB9" w:rsidRDefault="00001526" w:rsidP="00001526">
      <w:pPr>
        <w:pStyle w:val="Boddohody"/>
      </w:pPr>
      <w:r w:rsidRPr="00DE4CB9">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14:paraId="05829F0F" w14:textId="77777777" w:rsidR="00B94D64" w:rsidRDefault="00B94D64" w:rsidP="004124F1">
      <w:pPr>
        <w:pStyle w:val="lnek"/>
      </w:pPr>
      <w:r w:rsidRPr="00FB780C">
        <w:t>Článek III</w:t>
      </w:r>
    </w:p>
    <w:p w14:paraId="7F1CC847" w14:textId="77777777" w:rsidR="00414151" w:rsidRPr="00414151" w:rsidRDefault="00414151" w:rsidP="00414151">
      <w:pPr>
        <w:pStyle w:val="lnek"/>
      </w:pPr>
      <w:r w:rsidRPr="00414151">
        <w:t>Výše příspěvku, jeho specifikace a způsob úhrady</w:t>
      </w:r>
    </w:p>
    <w:p w14:paraId="0E3C5717" w14:textId="77777777"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020048">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020048">
        <w:rPr>
          <w:noProof/>
        </w:rPr>
        <w:t>120 000</w:t>
      </w:r>
      <w:r w:rsidR="005D5896" w:rsidRPr="00FB780C">
        <w:t xml:space="preserve"> Kč (slovy</w:t>
      </w:r>
      <w:r w:rsidR="000104E8">
        <w:t xml:space="preserve"> </w:t>
      </w:r>
      <w:r w:rsidR="00020048">
        <w:t>Stodvacettisíc</w:t>
      </w:r>
      <w:r w:rsidR="005D5896" w:rsidRPr="00FB780C">
        <w:t>).</w:t>
      </w:r>
    </w:p>
    <w:p w14:paraId="3BE5B43E" w14:textId="6F5928B3"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r w:rsidR="00196C75">
        <w:t>xx-xxxxxxxxx/xxxx</w:t>
      </w:r>
      <w:r w:rsidRPr="00D337C4">
        <w:rPr>
          <w:rStyle w:val="FontStyle21"/>
          <w:sz w:val="20"/>
          <w:szCs w:val="20"/>
        </w:rPr>
        <w:t>.</w:t>
      </w:r>
    </w:p>
    <w:p w14:paraId="764092C6" w14:textId="77777777" w:rsidR="0041517D" w:rsidRDefault="0041517D" w:rsidP="0041517D">
      <w:pPr>
        <w:pStyle w:val="lnek"/>
      </w:pPr>
      <w:r w:rsidRPr="008F1A38">
        <w:t>Článek IV</w:t>
      </w:r>
    </w:p>
    <w:p w14:paraId="264BB77C" w14:textId="77777777" w:rsidR="0041517D" w:rsidRDefault="000E0D51" w:rsidP="0041517D">
      <w:pPr>
        <w:pStyle w:val="lnek"/>
      </w:pPr>
      <w:r w:rsidRPr="000E0D51">
        <w:rPr>
          <w:bCs/>
        </w:rPr>
        <w:t>Kontrola sjednaných podmínek</w:t>
      </w:r>
    </w:p>
    <w:p w14:paraId="41CAC5C5" w14:textId="77777777"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B11F979" w14:textId="77777777"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14:paraId="1B9C67CF" w14:textId="77777777" w:rsidR="00CD4D2D" w:rsidRDefault="00CD4D2D" w:rsidP="00CD4D2D">
      <w:pPr>
        <w:pStyle w:val="Style6"/>
        <w:widowControl/>
        <w:jc w:val="center"/>
        <w:rPr>
          <w:rStyle w:val="FontStyle19"/>
          <w:sz w:val="22"/>
          <w:szCs w:val="22"/>
        </w:rPr>
      </w:pPr>
      <w:r>
        <w:rPr>
          <w:rStyle w:val="FontStyle19"/>
          <w:sz w:val="22"/>
          <w:szCs w:val="22"/>
        </w:rPr>
        <w:t>Článek V</w:t>
      </w:r>
    </w:p>
    <w:p w14:paraId="5A47234D" w14:textId="77777777"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14:paraId="7622162A" w14:textId="77777777" w:rsidR="00CD4D2D" w:rsidRPr="00CD4D2D" w:rsidRDefault="00CD4D2D" w:rsidP="00CD4D2D">
      <w:pPr>
        <w:pStyle w:val="Style6"/>
        <w:widowControl/>
        <w:spacing w:before="120"/>
        <w:jc w:val="both"/>
        <w:rPr>
          <w:rStyle w:val="FontStyle19"/>
          <w:b w:val="0"/>
        </w:rPr>
      </w:pPr>
      <w:r w:rsidRPr="00CD4D2D">
        <w:rPr>
          <w:rStyle w:val="FontStyle19"/>
          <w:b w:val="0"/>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14:paraId="14B93741" w14:textId="77777777" w:rsidR="00CD4D2D" w:rsidRDefault="00CD4D2D" w:rsidP="00CD4D2D">
      <w:pPr>
        <w:pStyle w:val="Style14"/>
        <w:widowControl/>
        <w:spacing w:line="240" w:lineRule="auto"/>
        <w:rPr>
          <w:rFonts w:ascii="Arial" w:hAnsi="Arial" w:cs="Arial"/>
          <w:sz w:val="22"/>
          <w:szCs w:val="22"/>
        </w:rPr>
      </w:pPr>
    </w:p>
    <w:p w14:paraId="208984F8" w14:textId="77777777" w:rsidR="00CD4D2D" w:rsidRDefault="00CD4D2D" w:rsidP="00CD4D2D">
      <w:pPr>
        <w:pStyle w:val="Style6"/>
        <w:widowControl/>
        <w:jc w:val="center"/>
        <w:rPr>
          <w:rStyle w:val="FontStyle19"/>
          <w:sz w:val="22"/>
          <w:szCs w:val="22"/>
        </w:rPr>
      </w:pPr>
      <w:r>
        <w:rPr>
          <w:rStyle w:val="FontStyle19"/>
          <w:sz w:val="22"/>
          <w:szCs w:val="22"/>
        </w:rPr>
        <w:t>Článek VI</w:t>
      </w:r>
    </w:p>
    <w:p w14:paraId="56BED517" w14:textId="77777777"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14:paraId="7201B9A1" w14:textId="77777777"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6. této dohody</w:t>
      </w:r>
      <w:r w:rsidR="00020048">
        <w:t xml:space="preserve"> do 24.9.2024</w:t>
      </w:r>
      <w:r w:rsidRPr="00CD4D2D">
        <w:t xml:space="preserve"> nebo nedoložil její čerpání doklady jmenovanými v Článku II pod bodem 7. této dohody do </w:t>
      </w:r>
      <w:r w:rsidR="00020048">
        <w:t>31.10.2024</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14:paraId="473B535E" w14:textId="77777777"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14:paraId="49FA1CFB" w14:textId="77777777"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1B36AF3D" w14:textId="77777777"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1BED79C6" w14:textId="77777777"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006566C4" w14:textId="77777777" w:rsidR="00CD4D2D" w:rsidRPr="004135BE" w:rsidRDefault="00CD4D2D" w:rsidP="004135BE">
      <w:pPr>
        <w:pStyle w:val="Boddohody"/>
      </w:pPr>
      <w:r w:rsidRPr="004135BE">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14:paraId="4D242BC5" w14:textId="77777777"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7FAFF1BE" w14:textId="77777777" w:rsidR="00CD4D2D" w:rsidRPr="004135BE" w:rsidRDefault="00CD4D2D" w:rsidP="004135BE">
      <w:pPr>
        <w:pStyle w:val="Boddohody"/>
      </w:pPr>
      <w:r w:rsidRPr="004135BE">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14:paraId="1BD9F1B3" w14:textId="77777777" w:rsidR="00CD4D2D" w:rsidRPr="004135BE" w:rsidRDefault="00CD4D2D" w:rsidP="004135BE">
      <w:pPr>
        <w:pStyle w:val="Boddohody"/>
      </w:pPr>
      <w:r w:rsidRPr="004135BE">
        <w:t>Příspěvek se vrací na účet, který zaměstnavateli písemně sdělí Úřad práce.</w:t>
      </w:r>
    </w:p>
    <w:p w14:paraId="131A1441" w14:textId="77777777" w:rsidR="0041517D" w:rsidRDefault="0041517D" w:rsidP="0041517D">
      <w:pPr>
        <w:pStyle w:val="lnek"/>
      </w:pPr>
      <w:r>
        <w:t xml:space="preserve">Článek </w:t>
      </w:r>
      <w:r w:rsidRPr="008F1A38">
        <w:t>V</w:t>
      </w:r>
      <w:r w:rsidR="005F3508">
        <w:t>II</w:t>
      </w:r>
    </w:p>
    <w:p w14:paraId="6A87CC3D" w14:textId="77777777" w:rsidR="0041517D" w:rsidRDefault="0041517D" w:rsidP="0041517D">
      <w:pPr>
        <w:pStyle w:val="lnek"/>
      </w:pPr>
      <w:r>
        <w:t>Porušení rozpočtové kázně</w:t>
      </w:r>
    </w:p>
    <w:p w14:paraId="76B33D10" w14:textId="77777777"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553A8725" w14:textId="77777777"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14:paraId="415F8BDB" w14:textId="77777777" w:rsidR="0041517D" w:rsidRDefault="0041517D" w:rsidP="0041517D">
      <w:pPr>
        <w:pStyle w:val="lnek"/>
      </w:pPr>
      <w:r>
        <w:t xml:space="preserve">Článek </w:t>
      </w:r>
      <w:r w:rsidRPr="008F1A38">
        <w:t>V</w:t>
      </w:r>
      <w:r>
        <w:t>I</w:t>
      </w:r>
      <w:r w:rsidR="005F3508">
        <w:t>II</w:t>
      </w:r>
    </w:p>
    <w:p w14:paraId="09851C3D" w14:textId="77777777" w:rsidR="0041517D" w:rsidRDefault="0041517D" w:rsidP="0041517D">
      <w:pPr>
        <w:pStyle w:val="lnek"/>
      </w:pPr>
      <w:r>
        <w:t>Ujednání o vypovězení dohody</w:t>
      </w:r>
    </w:p>
    <w:p w14:paraId="5299152B" w14:textId="77777777" w:rsidR="00922CE9" w:rsidRPr="00922CE9" w:rsidRDefault="00922CE9" w:rsidP="00922CE9">
      <w:pPr>
        <w:pStyle w:val="Boddohody"/>
        <w:numPr>
          <w:ilvl w:val="0"/>
          <w:numId w:val="38"/>
        </w:numPr>
      </w:pPr>
      <w:r w:rsidRPr="00922CE9">
        <w:t xml:space="preserve">Úřad práce si vyhrazuje právo dohodu vypovědět v případě, že zaměstnavatel závažně poruší nebo opakovaně nedodrží podmínky pro poskytnutí příspěvku uvedené v Článku II pod body 1. až 9. této dohody. </w:t>
      </w:r>
    </w:p>
    <w:p w14:paraId="55CDF7A0" w14:textId="77777777"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14:paraId="59A18945" w14:textId="77777777"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14:paraId="251BF53C" w14:textId="77777777"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14:paraId="3C9BB81E" w14:textId="77777777" w:rsidR="0041517D" w:rsidRDefault="0041517D" w:rsidP="0041517D">
      <w:pPr>
        <w:pStyle w:val="lnek"/>
      </w:pPr>
      <w:r>
        <w:t>Článek I</w:t>
      </w:r>
      <w:r w:rsidR="005F3508">
        <w:t>X</w:t>
      </w:r>
    </w:p>
    <w:p w14:paraId="3CF32F04" w14:textId="77777777" w:rsidR="0041517D" w:rsidRDefault="0041517D" w:rsidP="0041517D">
      <w:pPr>
        <w:pStyle w:val="lnek"/>
      </w:pPr>
      <w:r>
        <w:t>Další ujednání</w:t>
      </w:r>
    </w:p>
    <w:p w14:paraId="585F774E" w14:textId="77777777" w:rsidR="004A6446" w:rsidRPr="004A6446" w:rsidRDefault="004A6446" w:rsidP="004A6446">
      <w:pPr>
        <w:pStyle w:val="Boddohody"/>
        <w:numPr>
          <w:ilvl w:val="0"/>
          <w:numId w:val="42"/>
        </w:numPr>
      </w:pPr>
      <w:r w:rsidRPr="004A6446">
        <w:t>Dohoda nabývá platnosti a účinnosti dnem jejího podpisu oběma smluvními stranami.</w:t>
      </w:r>
    </w:p>
    <w:p w14:paraId="6170D6C8" w14:textId="77777777" w:rsidR="004A6446" w:rsidRPr="004A6446" w:rsidRDefault="004A6446" w:rsidP="004A6446">
      <w:pPr>
        <w:pStyle w:val="Boddohody"/>
        <w:numPr>
          <w:ilvl w:val="0"/>
          <w:numId w:val="42"/>
        </w:numPr>
      </w:pPr>
      <w:r w:rsidRPr="004A644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0ECA2A1" w14:textId="77777777"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14:paraId="5127CA83" w14:textId="77777777" w:rsidR="004A6446" w:rsidRPr="004A6446" w:rsidRDefault="004A6446" w:rsidP="004A6446">
      <w:pPr>
        <w:pStyle w:val="Boddohody"/>
        <w:numPr>
          <w:ilvl w:val="0"/>
          <w:numId w:val="42"/>
        </w:numPr>
      </w:pPr>
      <w:r w:rsidRPr="004A6446">
        <w:t>Dohoda je sepsána ve dvou vyhotoveních, z nichž jedno obdrží Úřad práce a jedno zaměstnavatel.</w:t>
      </w:r>
    </w:p>
    <w:p w14:paraId="7E90DD20" w14:textId="77777777"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14:paraId="16801727" w14:textId="77777777"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B04F6D4" w14:textId="77777777"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14:paraId="187DFDAE" w14:textId="77777777"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479CDCF" w14:textId="77777777"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14:paraId="3FD9509F" w14:textId="77777777" w:rsidR="004A6446" w:rsidRPr="004A6446" w:rsidRDefault="004A6446" w:rsidP="004A6446">
      <w:pPr>
        <w:pStyle w:val="Boddohody"/>
        <w:numPr>
          <w:ilvl w:val="0"/>
          <w:numId w:val="42"/>
        </w:numPr>
      </w:pPr>
      <w:r w:rsidRPr="004A6446">
        <w:t>Nedílnou součástí této dohody jsou její přílohy:</w:t>
      </w:r>
    </w:p>
    <w:p w14:paraId="0EF6B61C" w14:textId="77777777" w:rsidR="004A6446" w:rsidRDefault="004A6446" w:rsidP="004A6446">
      <w:pPr>
        <w:pStyle w:val="Style14"/>
        <w:widowControl/>
        <w:spacing w:before="10" w:line="240" w:lineRule="auto"/>
        <w:ind w:firstLine="720"/>
        <w:rPr>
          <w:rFonts w:ascii="Arial" w:hAnsi="Arial" w:cs="Arial"/>
          <w:bCs/>
          <w:sz w:val="22"/>
          <w:szCs w:val="22"/>
        </w:rPr>
      </w:pPr>
    </w:p>
    <w:p w14:paraId="29B51B8D"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23EEBFB9"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193DEB56"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7779EE86"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1BC071EF"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40DF9CFD"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5D967478"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6FFF0246"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250719BD"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1C732720"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08B0CAB3"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015CE0DD"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632B3BB9"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0C9F2651"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508DA4E7"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64FC0396" w14:textId="77777777" w:rsidR="00020048" w:rsidRDefault="00020048" w:rsidP="004A6446">
      <w:pPr>
        <w:pStyle w:val="Style14"/>
        <w:widowControl/>
        <w:tabs>
          <w:tab w:val="left" w:pos="1418"/>
        </w:tabs>
        <w:spacing w:before="10" w:line="240" w:lineRule="auto"/>
        <w:rPr>
          <w:rFonts w:ascii="Arial" w:hAnsi="Arial" w:cs="Arial"/>
          <w:bCs/>
          <w:sz w:val="20"/>
          <w:szCs w:val="20"/>
        </w:rPr>
      </w:pPr>
    </w:p>
    <w:p w14:paraId="3322913F"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14:paraId="502AEC1C"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14:paraId="19B0E04A" w14:textId="77777777" w:rsidR="000378AA" w:rsidRDefault="000378AA" w:rsidP="0007184F">
      <w:pPr>
        <w:keepNext/>
        <w:keepLines/>
        <w:tabs>
          <w:tab w:val="left" w:pos="2520"/>
        </w:tabs>
        <w:rPr>
          <w:rFonts w:cs="Arial"/>
          <w:szCs w:val="20"/>
        </w:rPr>
      </w:pPr>
    </w:p>
    <w:p w14:paraId="319942DC" w14:textId="77777777" w:rsidR="0007184F" w:rsidRPr="00FB780C" w:rsidRDefault="0007184F" w:rsidP="0007184F">
      <w:pPr>
        <w:keepNext/>
        <w:keepLines/>
        <w:tabs>
          <w:tab w:val="left" w:pos="2520"/>
        </w:tabs>
        <w:rPr>
          <w:rFonts w:cs="Arial"/>
          <w:szCs w:val="20"/>
        </w:rPr>
      </w:pPr>
    </w:p>
    <w:p w14:paraId="5FA6D2CD" w14:textId="34B553CC" w:rsidR="00662069" w:rsidRPr="00FB780C" w:rsidRDefault="00020048" w:rsidP="009B751F">
      <w:pPr>
        <w:keepNext/>
        <w:keepLines/>
        <w:tabs>
          <w:tab w:val="left" w:pos="2520"/>
        </w:tabs>
        <w:rPr>
          <w:rFonts w:cs="Arial"/>
          <w:szCs w:val="20"/>
        </w:rPr>
      </w:pPr>
      <w:r>
        <w:rPr>
          <w:noProof/>
        </w:rPr>
        <w:t>V Olomouci</w:t>
      </w:r>
      <w:r w:rsidR="000378AA" w:rsidRPr="00FB780C">
        <w:rPr>
          <w:rFonts w:cs="Arial"/>
          <w:szCs w:val="20"/>
        </w:rPr>
        <w:t xml:space="preserve"> dne </w:t>
      </w:r>
      <w:r w:rsidR="00196C75">
        <w:rPr>
          <w:rFonts w:cs="Arial"/>
          <w:szCs w:val="20"/>
        </w:rPr>
        <w:t>25.7.2024</w:t>
      </w:r>
    </w:p>
    <w:p w14:paraId="1DF1FD5C" w14:textId="77777777" w:rsidR="006C6899" w:rsidRPr="00FB780C" w:rsidRDefault="006C6899" w:rsidP="0007184F">
      <w:pPr>
        <w:keepNext/>
        <w:keepLines/>
        <w:tabs>
          <w:tab w:val="left" w:pos="2520"/>
        </w:tabs>
        <w:rPr>
          <w:rFonts w:cs="Arial"/>
          <w:szCs w:val="20"/>
        </w:rPr>
      </w:pPr>
    </w:p>
    <w:p w14:paraId="679161B3" w14:textId="77777777" w:rsidR="006C6899" w:rsidRPr="00FB780C" w:rsidRDefault="006C6899" w:rsidP="0007184F">
      <w:pPr>
        <w:keepNext/>
        <w:keepLines/>
        <w:tabs>
          <w:tab w:val="left" w:pos="2520"/>
        </w:tabs>
        <w:rPr>
          <w:rFonts w:cs="Arial"/>
          <w:szCs w:val="20"/>
        </w:rPr>
      </w:pPr>
    </w:p>
    <w:p w14:paraId="4F5E0178" w14:textId="77777777" w:rsidR="006C6899" w:rsidRPr="00FB780C" w:rsidRDefault="006C6899" w:rsidP="0007184F">
      <w:pPr>
        <w:keepNext/>
        <w:keepLines/>
        <w:tabs>
          <w:tab w:val="left" w:pos="2520"/>
        </w:tabs>
        <w:rPr>
          <w:rFonts w:cs="Arial"/>
          <w:szCs w:val="20"/>
        </w:rPr>
      </w:pPr>
    </w:p>
    <w:p w14:paraId="646B3295" w14:textId="77777777" w:rsidR="006C6899" w:rsidRPr="00FB780C" w:rsidRDefault="006C6899" w:rsidP="0007184F">
      <w:pPr>
        <w:keepNext/>
        <w:keepLines/>
        <w:tabs>
          <w:tab w:val="left" w:pos="2520"/>
        </w:tabs>
        <w:rPr>
          <w:rFonts w:cs="Arial"/>
          <w:szCs w:val="20"/>
        </w:rPr>
      </w:pPr>
    </w:p>
    <w:p w14:paraId="7F805DBC" w14:textId="77777777" w:rsidR="0007184F" w:rsidRPr="00FB780C" w:rsidRDefault="0007184F" w:rsidP="0007184F">
      <w:pPr>
        <w:keepNext/>
        <w:keepLines/>
        <w:tabs>
          <w:tab w:val="center" w:pos="2340"/>
        </w:tabs>
        <w:jc w:val="left"/>
        <w:rPr>
          <w:rFonts w:cs="Arial"/>
          <w:szCs w:val="20"/>
        </w:rPr>
        <w:sectPr w:rsidR="0007184F" w:rsidRPr="00FB780C" w:rsidSect="00DA3125">
          <w:footerReference w:type="default" r:id="rId8"/>
          <w:headerReference w:type="first" r:id="rId9"/>
          <w:footerReference w:type="first" r:id="rId10"/>
          <w:type w:val="continuous"/>
          <w:pgSz w:w="11697" w:h="16839"/>
          <w:pgMar w:top="1191" w:right="1191" w:bottom="1191" w:left="1191" w:header="709" w:footer="709" w:gutter="0"/>
          <w:cols w:space="720"/>
          <w:titlePg/>
          <w:docGrid w:linePitch="360"/>
        </w:sectPr>
      </w:pPr>
    </w:p>
    <w:p w14:paraId="7A98ECCE" w14:textId="77777777" w:rsidR="0007059F" w:rsidRPr="00FB780C" w:rsidRDefault="0007059F" w:rsidP="009B751F">
      <w:pPr>
        <w:keepNext/>
        <w:keepLines/>
        <w:jc w:val="center"/>
        <w:rPr>
          <w:rFonts w:cs="Arial"/>
          <w:szCs w:val="20"/>
        </w:rPr>
      </w:pPr>
      <w:r w:rsidRPr="00FB780C">
        <w:rPr>
          <w:rFonts w:cs="Arial"/>
          <w:szCs w:val="20"/>
        </w:rPr>
        <w:t>..................................................................</w:t>
      </w:r>
    </w:p>
    <w:p w14:paraId="57C1903F" w14:textId="77777777" w:rsidR="006C6899" w:rsidRPr="00FB780C" w:rsidRDefault="00020048" w:rsidP="009B751F">
      <w:pPr>
        <w:keepNext/>
        <w:keepLines/>
        <w:jc w:val="center"/>
        <w:rPr>
          <w:rFonts w:cs="Arial"/>
          <w:szCs w:val="20"/>
        </w:rPr>
      </w:pPr>
      <w:r w:rsidRPr="00020048">
        <w:rPr>
          <w:rFonts w:cs="Arial"/>
          <w:szCs w:val="20"/>
        </w:rPr>
        <w:t xml:space="preserve">Mgr. </w:t>
      </w:r>
      <w:r>
        <w:t>Roman Chlopčík</w:t>
      </w:r>
      <w:r>
        <w:tab/>
      </w:r>
      <w:r>
        <w:br/>
        <w:t>jednatel</w:t>
      </w:r>
      <w:r>
        <w:tab/>
      </w:r>
      <w:r>
        <w:br/>
      </w:r>
      <w:r>
        <w:tab/>
      </w:r>
      <w:r>
        <w:br/>
      </w:r>
      <w:r>
        <w:tab/>
      </w:r>
      <w:r>
        <w:br/>
      </w:r>
      <w:r>
        <w:tab/>
      </w:r>
      <w:r>
        <w:br/>
        <w:t>Mgr. Ilja Spurný</w:t>
      </w:r>
      <w:r>
        <w:tab/>
      </w:r>
      <w:r>
        <w:br/>
        <w:t>jednatel</w:t>
      </w:r>
    </w:p>
    <w:p w14:paraId="37C7B301" w14:textId="77777777" w:rsidR="006C6899" w:rsidRDefault="006C6899" w:rsidP="009B751F">
      <w:pPr>
        <w:keepNext/>
        <w:keepLines/>
        <w:jc w:val="center"/>
        <w:rPr>
          <w:rFonts w:cs="Arial"/>
          <w:szCs w:val="20"/>
        </w:rPr>
      </w:pPr>
    </w:p>
    <w:p w14:paraId="032AF958" w14:textId="77777777" w:rsidR="00916930" w:rsidRPr="00FB780C" w:rsidRDefault="00916930" w:rsidP="009B751F">
      <w:pPr>
        <w:keepNext/>
        <w:keepLines/>
        <w:jc w:val="center"/>
        <w:rPr>
          <w:rFonts w:cs="Arial"/>
          <w:szCs w:val="20"/>
        </w:rPr>
      </w:pPr>
      <w:r>
        <w:rPr>
          <w:rFonts w:cs="Arial"/>
          <w:szCs w:val="20"/>
        </w:rPr>
        <w:t>za zaměstnavatele</w:t>
      </w:r>
    </w:p>
    <w:p w14:paraId="22AC5F7D" w14:textId="77777777" w:rsidR="0007184F" w:rsidRPr="00FB780C" w:rsidRDefault="0007184F" w:rsidP="009B751F">
      <w:pPr>
        <w:keepNext/>
        <w:keepLines/>
        <w:jc w:val="center"/>
        <w:rPr>
          <w:rFonts w:cs="Arial"/>
          <w:szCs w:val="20"/>
        </w:rPr>
      </w:pPr>
      <w:r w:rsidRPr="00FB780C">
        <w:rPr>
          <w:rFonts w:cs="Arial"/>
          <w:szCs w:val="20"/>
        </w:rPr>
        <w:br w:type="column"/>
        <w:t>..................................................................</w:t>
      </w:r>
    </w:p>
    <w:p w14:paraId="49D812EE" w14:textId="77777777" w:rsidR="0007184F" w:rsidRPr="00FB780C" w:rsidRDefault="00020048" w:rsidP="009B751F">
      <w:pPr>
        <w:keepNext/>
        <w:keepLines/>
        <w:jc w:val="center"/>
        <w:rPr>
          <w:rFonts w:cs="Arial"/>
          <w:szCs w:val="20"/>
        </w:rPr>
      </w:pPr>
      <w:r w:rsidRPr="00020048">
        <w:rPr>
          <w:rFonts w:cs="Arial"/>
          <w:szCs w:val="20"/>
        </w:rPr>
        <w:t xml:space="preserve">Mgr. </w:t>
      </w:r>
      <w:r>
        <w:t>Milena Vykoukalová</w:t>
      </w:r>
    </w:p>
    <w:p w14:paraId="015B211C" w14:textId="77777777" w:rsidR="004F61C5" w:rsidRDefault="00020048" w:rsidP="004F61C5">
      <w:pPr>
        <w:keepNext/>
        <w:keepLines/>
        <w:jc w:val="center"/>
        <w:rPr>
          <w:rFonts w:cs="Arial"/>
          <w:szCs w:val="20"/>
        </w:rPr>
      </w:pPr>
      <w:r w:rsidRPr="00020048">
        <w:rPr>
          <w:rFonts w:cs="Arial"/>
          <w:szCs w:val="20"/>
        </w:rPr>
        <w:t>ředitelka Odboru</w:t>
      </w:r>
      <w:r>
        <w:t xml:space="preserve"> zaměstnanosti KoP Olomouc</w:t>
      </w:r>
    </w:p>
    <w:p w14:paraId="2011F130" w14:textId="77777777" w:rsidR="0007184F" w:rsidRDefault="0007184F" w:rsidP="004F61C5">
      <w:pPr>
        <w:keepNext/>
        <w:keepLines/>
        <w:jc w:val="center"/>
        <w:rPr>
          <w:rFonts w:cs="Arial"/>
          <w:szCs w:val="20"/>
        </w:rPr>
      </w:pPr>
    </w:p>
    <w:p w14:paraId="6B5E72E3" w14:textId="77777777" w:rsidR="00916930" w:rsidRPr="00FB780C" w:rsidRDefault="00916930" w:rsidP="004F61C5">
      <w:pPr>
        <w:keepNext/>
        <w:keepLines/>
        <w:jc w:val="center"/>
        <w:rPr>
          <w:rFonts w:cs="Arial"/>
          <w:szCs w:val="20"/>
        </w:rPr>
      </w:pPr>
      <w:r>
        <w:rPr>
          <w:rFonts w:cs="Arial"/>
          <w:szCs w:val="20"/>
        </w:rPr>
        <w:t>za Úřad práce</w:t>
      </w:r>
    </w:p>
    <w:p w14:paraId="216A5981" w14:textId="77777777" w:rsidR="0007184F" w:rsidRPr="00FB780C" w:rsidRDefault="0007184F" w:rsidP="0007184F">
      <w:pPr>
        <w:keepNext/>
        <w:keepLines/>
        <w:jc w:val="center"/>
        <w:rPr>
          <w:rFonts w:cs="Arial"/>
          <w:szCs w:val="20"/>
        </w:rPr>
        <w:sectPr w:rsidR="0007184F" w:rsidRPr="00FB780C" w:rsidSect="00DA3125">
          <w:type w:val="continuous"/>
          <w:pgSz w:w="11697" w:h="16839"/>
          <w:pgMar w:top="1191" w:right="1191" w:bottom="1191" w:left="1191" w:header="709" w:footer="709" w:gutter="0"/>
          <w:cols w:num="2" w:space="454"/>
          <w:docGrid w:linePitch="360"/>
        </w:sectPr>
      </w:pPr>
    </w:p>
    <w:p w14:paraId="07F85C72" w14:textId="77777777" w:rsidR="006C6899" w:rsidRPr="00FB780C" w:rsidRDefault="006C6899" w:rsidP="0007184F">
      <w:pPr>
        <w:keepNext/>
        <w:keepLines/>
        <w:rPr>
          <w:rFonts w:cs="Arial"/>
          <w:szCs w:val="20"/>
        </w:rPr>
      </w:pPr>
    </w:p>
    <w:p w14:paraId="5DFF25D4" w14:textId="77777777" w:rsidR="006C6899" w:rsidRPr="00FB780C" w:rsidRDefault="006C6899" w:rsidP="0007184F">
      <w:pPr>
        <w:keepNext/>
        <w:keepLines/>
        <w:rPr>
          <w:rFonts w:cs="Arial"/>
          <w:szCs w:val="20"/>
        </w:rPr>
      </w:pPr>
    </w:p>
    <w:p w14:paraId="205B1A7F" w14:textId="77777777" w:rsidR="00020048" w:rsidRDefault="00020048" w:rsidP="0007184F">
      <w:pPr>
        <w:keepNext/>
        <w:keepLines/>
        <w:tabs>
          <w:tab w:val="left" w:pos="2160"/>
        </w:tabs>
        <w:rPr>
          <w:rFonts w:cs="Arial"/>
          <w:szCs w:val="20"/>
        </w:rPr>
      </w:pPr>
    </w:p>
    <w:p w14:paraId="621443DD" w14:textId="77777777" w:rsidR="00020048" w:rsidRDefault="00020048" w:rsidP="0007184F">
      <w:pPr>
        <w:keepNext/>
        <w:keepLines/>
        <w:tabs>
          <w:tab w:val="left" w:pos="2160"/>
        </w:tabs>
        <w:rPr>
          <w:rFonts w:cs="Arial"/>
          <w:szCs w:val="20"/>
        </w:rPr>
      </w:pPr>
    </w:p>
    <w:p w14:paraId="3E7C6B4C" w14:textId="77777777" w:rsidR="00020048" w:rsidRDefault="00020048" w:rsidP="0007184F">
      <w:pPr>
        <w:keepNext/>
        <w:keepLines/>
        <w:tabs>
          <w:tab w:val="left" w:pos="2160"/>
        </w:tabs>
        <w:rPr>
          <w:rFonts w:cs="Arial"/>
          <w:szCs w:val="20"/>
        </w:rPr>
      </w:pPr>
    </w:p>
    <w:p w14:paraId="462D1FAC" w14:textId="77777777" w:rsidR="00020048" w:rsidRDefault="00020048" w:rsidP="0007184F">
      <w:pPr>
        <w:keepNext/>
        <w:keepLines/>
        <w:tabs>
          <w:tab w:val="left" w:pos="2160"/>
        </w:tabs>
        <w:rPr>
          <w:rFonts w:cs="Arial"/>
          <w:szCs w:val="20"/>
        </w:rPr>
      </w:pPr>
    </w:p>
    <w:p w14:paraId="4C24D3E3" w14:textId="77777777" w:rsidR="00020048" w:rsidRDefault="00020048" w:rsidP="0007184F">
      <w:pPr>
        <w:keepNext/>
        <w:keepLines/>
        <w:tabs>
          <w:tab w:val="left" w:pos="2160"/>
        </w:tabs>
        <w:rPr>
          <w:rFonts w:cs="Arial"/>
          <w:szCs w:val="20"/>
        </w:rPr>
      </w:pPr>
    </w:p>
    <w:p w14:paraId="3BE19377" w14:textId="77777777" w:rsidR="00020048" w:rsidRDefault="00020048" w:rsidP="0007184F">
      <w:pPr>
        <w:keepNext/>
        <w:keepLines/>
        <w:tabs>
          <w:tab w:val="left" w:pos="2160"/>
        </w:tabs>
        <w:rPr>
          <w:rFonts w:cs="Arial"/>
          <w:szCs w:val="20"/>
        </w:rPr>
      </w:pPr>
    </w:p>
    <w:p w14:paraId="57E31A90" w14:textId="77777777" w:rsidR="00020048" w:rsidRDefault="00020048" w:rsidP="0007184F">
      <w:pPr>
        <w:keepNext/>
        <w:keepLines/>
        <w:tabs>
          <w:tab w:val="left" w:pos="2160"/>
        </w:tabs>
        <w:rPr>
          <w:rFonts w:cs="Arial"/>
          <w:szCs w:val="20"/>
        </w:rPr>
      </w:pPr>
    </w:p>
    <w:p w14:paraId="3E7EFA74" w14:textId="0848195A"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196C75">
        <w:rPr>
          <w:rFonts w:cs="Arial"/>
          <w:szCs w:val="20"/>
        </w:rPr>
        <w:t>xxxxxx xxxxxxxxx</w:t>
      </w:r>
    </w:p>
    <w:p w14:paraId="285AFC73" w14:textId="7A5785D4" w:rsidR="00DC610C" w:rsidRPr="00FB780C" w:rsidRDefault="00DC610C" w:rsidP="0007184F">
      <w:pPr>
        <w:keepLines/>
        <w:tabs>
          <w:tab w:val="left" w:pos="2160"/>
        </w:tabs>
        <w:rPr>
          <w:rFonts w:cs="Arial"/>
          <w:szCs w:val="20"/>
        </w:rPr>
      </w:pPr>
      <w:r w:rsidRPr="00FB780C">
        <w:rPr>
          <w:rFonts w:cs="Arial"/>
          <w:szCs w:val="20"/>
        </w:rPr>
        <w:t>Telefon:</w:t>
      </w:r>
      <w:r w:rsidRPr="00FB780C">
        <w:rPr>
          <w:rFonts w:cs="Arial"/>
          <w:szCs w:val="20"/>
        </w:rPr>
        <w:tab/>
      </w:r>
      <w:r w:rsidR="00196C75">
        <w:rPr>
          <w:rFonts w:cs="Arial"/>
          <w:szCs w:val="20"/>
        </w:rPr>
        <w:t>xxx xxx xxx</w:t>
      </w:r>
    </w:p>
    <w:p w14:paraId="4593861E" w14:textId="77777777" w:rsidR="00997B94" w:rsidRPr="00FB780C" w:rsidRDefault="0007184F" w:rsidP="0005028D">
      <w:pPr>
        <w:keepLines/>
        <w:tabs>
          <w:tab w:val="left" w:pos="2160"/>
        </w:tabs>
        <w:rPr>
          <w:rFonts w:cs="Arial"/>
          <w:szCs w:val="20"/>
        </w:rPr>
      </w:pPr>
      <w:r w:rsidRPr="00FB780C">
        <w:rPr>
          <w:rFonts w:cs="Arial"/>
          <w:szCs w:val="20"/>
        </w:rPr>
        <w:br w:type="textWrapping" w:clear="all"/>
      </w:r>
    </w:p>
    <w:sectPr w:rsidR="00997B94" w:rsidRPr="00FB780C" w:rsidSect="00DA3125">
      <w:type w:val="continuous"/>
      <w:pgSz w:w="1169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B19D" w14:textId="77777777" w:rsidR="001A5EA5" w:rsidRDefault="001A5EA5">
      <w:r>
        <w:separator/>
      </w:r>
    </w:p>
  </w:endnote>
  <w:endnote w:type="continuationSeparator" w:id="0">
    <w:p w14:paraId="1F734A97" w14:textId="77777777" w:rsidR="001A5EA5" w:rsidRDefault="001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EC59" w14:textId="77777777" w:rsidR="00B22BE6" w:rsidRDefault="00B22BE6" w:rsidP="004F4B30">
    <w:pPr>
      <w:pStyle w:val="Zpat"/>
      <w:tabs>
        <w:tab w:val="clear" w:pos="9072"/>
        <w:tab w:val="right" w:pos="9498"/>
      </w:tabs>
    </w:pPr>
    <w:r>
      <w:tab/>
      <w:t xml:space="preserve">- </w:t>
    </w:r>
    <w:r>
      <w:fldChar w:fldCharType="begin"/>
    </w:r>
    <w:r>
      <w:instrText xml:space="preserve"> PAGE </w:instrText>
    </w:r>
    <w:r>
      <w:fldChar w:fldCharType="separate"/>
    </w:r>
    <w:r w:rsidR="002525F7">
      <w:rPr>
        <w:noProof/>
      </w:rPr>
      <w:t>2</w:t>
    </w:r>
    <w:r>
      <w:fldChar w:fldCharType="end"/>
    </w:r>
    <w:r>
      <w:t xml:space="preserve"> -</w:t>
    </w:r>
    <w:r w:rsidR="004F4B30">
      <w:tab/>
    </w:r>
    <w:r w:rsidR="00020048">
      <w:t>OLA-P-3/2024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C166" w14:textId="77777777" w:rsidR="00B22BE6" w:rsidRDefault="00B22BE6" w:rsidP="004F4B30">
    <w:pPr>
      <w:pStyle w:val="Zpat"/>
      <w:tabs>
        <w:tab w:val="clear" w:pos="9072"/>
        <w:tab w:val="right" w:pos="9498"/>
      </w:tabs>
    </w:pPr>
    <w:r>
      <w:tab/>
    </w:r>
    <w:r w:rsidR="004F4B30">
      <w:tab/>
    </w:r>
    <w:r w:rsidR="00020048">
      <w:t>OLA-P-3/2024</w:t>
    </w:r>
  </w:p>
  <w:p w14:paraId="726E4D01" w14:textId="77777777" w:rsidR="006340D9" w:rsidRPr="006340D9" w:rsidRDefault="006340D9" w:rsidP="004F4B30">
    <w:pPr>
      <w:pStyle w:val="Zpat"/>
      <w:tabs>
        <w:tab w:val="clear" w:pos="9072"/>
        <w:tab w:val="right" w:pos="9498"/>
      </w:tabs>
      <w:rPr>
        <w:i/>
        <w:sz w:val="16"/>
        <w:szCs w:val="16"/>
      </w:rPr>
    </w:pPr>
    <w:r w:rsidRPr="006340D9">
      <w:rPr>
        <w:i/>
        <w:sz w:val="16"/>
        <w:szCs w:val="16"/>
      </w:rPr>
      <w:t>C</w:t>
    </w:r>
    <w:r>
      <w:rPr>
        <w:i/>
        <w:sz w:val="16"/>
        <w:szCs w:val="16"/>
      </w:rPr>
      <w:tab/>
    </w:r>
    <w:r>
      <w:t xml:space="preserve">- </w:t>
    </w:r>
    <w:r>
      <w:fldChar w:fldCharType="begin"/>
    </w:r>
    <w:r>
      <w:instrText xml:space="preserve"> PAGE </w:instrText>
    </w:r>
    <w:r>
      <w:fldChar w:fldCharType="separate"/>
    </w:r>
    <w:r>
      <w:t>1</w:t>
    </w:r>
    <w:r>
      <w:fldChar w:fldCharType="end"/>
    </w:r>
    <w:r>
      <w:t xml:space="preserve"> -</w:t>
    </w:r>
    <w:r>
      <w:rPr>
        <w:i/>
        <w:sz w:val="16"/>
        <w:szCs w:val="16"/>
      </w:rPr>
      <w:tab/>
    </w:r>
    <w:r w:rsidRPr="006340D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0B88" w14:textId="77777777" w:rsidR="001A5EA5" w:rsidRDefault="001A5EA5">
      <w:r>
        <w:separator/>
      </w:r>
    </w:p>
  </w:footnote>
  <w:footnote w:type="continuationSeparator" w:id="0">
    <w:p w14:paraId="6B25D945" w14:textId="77777777" w:rsidR="001A5EA5" w:rsidRDefault="001A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B5BF" w14:textId="7F9E22FC" w:rsidR="00873A16" w:rsidRDefault="001A5EA5">
    <w:pPr>
      <w:pStyle w:val="Zhlav"/>
    </w:pPr>
    <w:r>
      <w:rPr>
        <w:noProof/>
      </w:rPr>
      <w:drawing>
        <wp:inline distT="0" distB="0" distL="0" distR="0" wp14:anchorId="65750393" wp14:editId="5B62FD59">
          <wp:extent cx="1009650" cy="714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33861407">
    <w:abstractNumId w:val="5"/>
  </w:num>
  <w:num w:numId="2" w16cid:durableId="208194836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098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615315">
    <w:abstractNumId w:val="6"/>
  </w:num>
  <w:num w:numId="5" w16cid:durableId="1382948489">
    <w:abstractNumId w:val="11"/>
  </w:num>
  <w:num w:numId="6" w16cid:durableId="711616470">
    <w:abstractNumId w:val="7"/>
  </w:num>
  <w:num w:numId="7" w16cid:durableId="1519539272">
    <w:abstractNumId w:val="12"/>
  </w:num>
  <w:num w:numId="8" w16cid:durableId="425031461">
    <w:abstractNumId w:val="3"/>
  </w:num>
  <w:num w:numId="9" w16cid:durableId="705058377">
    <w:abstractNumId w:val="12"/>
  </w:num>
  <w:num w:numId="10" w16cid:durableId="2022465911">
    <w:abstractNumId w:val="4"/>
  </w:num>
  <w:num w:numId="11" w16cid:durableId="1627546146">
    <w:abstractNumId w:val="12"/>
  </w:num>
  <w:num w:numId="12" w16cid:durableId="259530498">
    <w:abstractNumId w:val="10"/>
  </w:num>
  <w:num w:numId="13" w16cid:durableId="1453131841">
    <w:abstractNumId w:val="12"/>
    <w:lvlOverride w:ilvl="0">
      <w:startOverride w:val="1"/>
    </w:lvlOverride>
  </w:num>
  <w:num w:numId="14" w16cid:durableId="1526409547">
    <w:abstractNumId w:val="12"/>
  </w:num>
  <w:num w:numId="15" w16cid:durableId="1347100068">
    <w:abstractNumId w:val="12"/>
  </w:num>
  <w:num w:numId="16" w16cid:durableId="1703942426">
    <w:abstractNumId w:val="12"/>
  </w:num>
  <w:num w:numId="17" w16cid:durableId="573782420">
    <w:abstractNumId w:val="12"/>
  </w:num>
  <w:num w:numId="18" w16cid:durableId="758985985">
    <w:abstractNumId w:val="12"/>
    <w:lvlOverride w:ilvl="0">
      <w:startOverride w:val="1"/>
    </w:lvlOverride>
  </w:num>
  <w:num w:numId="19" w16cid:durableId="352151860">
    <w:abstractNumId w:val="12"/>
    <w:lvlOverride w:ilvl="0">
      <w:startOverride w:val="1"/>
    </w:lvlOverride>
  </w:num>
  <w:num w:numId="20" w16cid:durableId="1183931952">
    <w:abstractNumId w:val="12"/>
    <w:lvlOverride w:ilvl="0">
      <w:startOverride w:val="1"/>
    </w:lvlOverride>
  </w:num>
  <w:num w:numId="21" w16cid:durableId="468208234">
    <w:abstractNumId w:val="12"/>
    <w:lvlOverride w:ilvl="0">
      <w:startOverride w:val="1"/>
    </w:lvlOverride>
  </w:num>
  <w:num w:numId="22" w16cid:durableId="2002847002">
    <w:abstractNumId w:val="12"/>
    <w:lvlOverride w:ilvl="0">
      <w:startOverride w:val="1"/>
    </w:lvlOverride>
  </w:num>
  <w:num w:numId="23" w16cid:durableId="1716155983">
    <w:abstractNumId w:val="12"/>
    <w:lvlOverride w:ilvl="0">
      <w:startOverride w:val="1"/>
    </w:lvlOverride>
  </w:num>
  <w:num w:numId="24" w16cid:durableId="2105882706">
    <w:abstractNumId w:val="12"/>
    <w:lvlOverride w:ilvl="0">
      <w:startOverride w:val="1"/>
    </w:lvlOverride>
  </w:num>
  <w:num w:numId="25" w16cid:durableId="1811435277">
    <w:abstractNumId w:val="0"/>
  </w:num>
  <w:num w:numId="26" w16cid:durableId="1600865461">
    <w:abstractNumId w:val="12"/>
  </w:num>
  <w:num w:numId="27" w16cid:durableId="251747748">
    <w:abstractNumId w:val="8"/>
  </w:num>
  <w:num w:numId="28" w16cid:durableId="585846372">
    <w:abstractNumId w:val="12"/>
  </w:num>
  <w:num w:numId="29" w16cid:durableId="398329137">
    <w:abstractNumId w:val="12"/>
    <w:lvlOverride w:ilvl="0">
      <w:startOverride w:val="1"/>
    </w:lvlOverride>
  </w:num>
  <w:num w:numId="30" w16cid:durableId="1426997354">
    <w:abstractNumId w:val="12"/>
  </w:num>
  <w:num w:numId="31" w16cid:durableId="1922330183">
    <w:abstractNumId w:val="2"/>
  </w:num>
  <w:num w:numId="32" w16cid:durableId="2014725749">
    <w:abstractNumId w:val="12"/>
  </w:num>
  <w:num w:numId="33" w16cid:durableId="691419720">
    <w:abstractNumId w:val="12"/>
  </w:num>
  <w:num w:numId="34" w16cid:durableId="449595660">
    <w:abstractNumId w:val="12"/>
    <w:lvlOverride w:ilvl="0">
      <w:startOverride w:val="1"/>
    </w:lvlOverride>
  </w:num>
  <w:num w:numId="35" w16cid:durableId="594754167">
    <w:abstractNumId w:val="12"/>
  </w:num>
  <w:num w:numId="36" w16cid:durableId="894510483">
    <w:abstractNumId w:val="1"/>
  </w:num>
  <w:num w:numId="37" w16cid:durableId="661004462">
    <w:abstractNumId w:val="12"/>
  </w:num>
  <w:num w:numId="38" w16cid:durableId="1564020197">
    <w:abstractNumId w:val="12"/>
    <w:lvlOverride w:ilvl="0">
      <w:startOverride w:val="1"/>
    </w:lvlOverride>
  </w:num>
  <w:num w:numId="39" w16cid:durableId="1203904484">
    <w:abstractNumId w:val="12"/>
  </w:num>
  <w:num w:numId="40" w16cid:durableId="758524000">
    <w:abstractNumId w:val="9"/>
  </w:num>
  <w:num w:numId="41" w16cid:durableId="478347491">
    <w:abstractNumId w:val="12"/>
  </w:num>
  <w:num w:numId="42" w16cid:durableId="73277718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A5"/>
    <w:rsid w:val="00001526"/>
    <w:rsid w:val="000104E8"/>
    <w:rsid w:val="0001482E"/>
    <w:rsid w:val="00020048"/>
    <w:rsid w:val="000200F5"/>
    <w:rsid w:val="00020EBF"/>
    <w:rsid w:val="00026239"/>
    <w:rsid w:val="00031B14"/>
    <w:rsid w:val="00033354"/>
    <w:rsid w:val="000378AA"/>
    <w:rsid w:val="0005028D"/>
    <w:rsid w:val="00053F65"/>
    <w:rsid w:val="00057578"/>
    <w:rsid w:val="00061D5B"/>
    <w:rsid w:val="0007059F"/>
    <w:rsid w:val="0007184F"/>
    <w:rsid w:val="00077CC2"/>
    <w:rsid w:val="00077DA7"/>
    <w:rsid w:val="00080763"/>
    <w:rsid w:val="000812C3"/>
    <w:rsid w:val="00083005"/>
    <w:rsid w:val="000838CF"/>
    <w:rsid w:val="000B1B0E"/>
    <w:rsid w:val="000B77C2"/>
    <w:rsid w:val="000C2F25"/>
    <w:rsid w:val="000D47C9"/>
    <w:rsid w:val="000D576A"/>
    <w:rsid w:val="000E0D51"/>
    <w:rsid w:val="000E5202"/>
    <w:rsid w:val="00102BDB"/>
    <w:rsid w:val="001121DE"/>
    <w:rsid w:val="00115AEF"/>
    <w:rsid w:val="001208DE"/>
    <w:rsid w:val="001311F7"/>
    <w:rsid w:val="0013298C"/>
    <w:rsid w:val="00156862"/>
    <w:rsid w:val="001671CD"/>
    <w:rsid w:val="001746A8"/>
    <w:rsid w:val="00183DA7"/>
    <w:rsid w:val="00190DD0"/>
    <w:rsid w:val="00191E67"/>
    <w:rsid w:val="00196C75"/>
    <w:rsid w:val="001A1E1E"/>
    <w:rsid w:val="001A278F"/>
    <w:rsid w:val="001A5EA5"/>
    <w:rsid w:val="001B6881"/>
    <w:rsid w:val="001C0543"/>
    <w:rsid w:val="001C3643"/>
    <w:rsid w:val="001C745C"/>
    <w:rsid w:val="001D22FC"/>
    <w:rsid w:val="001D3E27"/>
    <w:rsid w:val="001E04F3"/>
    <w:rsid w:val="001E62C8"/>
    <w:rsid w:val="001F0A9F"/>
    <w:rsid w:val="001F291A"/>
    <w:rsid w:val="001F4FFA"/>
    <w:rsid w:val="00201524"/>
    <w:rsid w:val="0020384A"/>
    <w:rsid w:val="00204CBE"/>
    <w:rsid w:val="00207137"/>
    <w:rsid w:val="00207D92"/>
    <w:rsid w:val="00217572"/>
    <w:rsid w:val="00220CCF"/>
    <w:rsid w:val="00223BD8"/>
    <w:rsid w:val="002265DD"/>
    <w:rsid w:val="00236259"/>
    <w:rsid w:val="002525F7"/>
    <w:rsid w:val="002675EF"/>
    <w:rsid w:val="00273E02"/>
    <w:rsid w:val="002775C3"/>
    <w:rsid w:val="002851DF"/>
    <w:rsid w:val="002906C3"/>
    <w:rsid w:val="00294867"/>
    <w:rsid w:val="002A263B"/>
    <w:rsid w:val="002A651F"/>
    <w:rsid w:val="002B1E4E"/>
    <w:rsid w:val="002C114B"/>
    <w:rsid w:val="002C19C4"/>
    <w:rsid w:val="002C247E"/>
    <w:rsid w:val="002D4B33"/>
    <w:rsid w:val="002E5F39"/>
    <w:rsid w:val="002F7027"/>
    <w:rsid w:val="00304F89"/>
    <w:rsid w:val="0033001D"/>
    <w:rsid w:val="003432DE"/>
    <w:rsid w:val="00343CB2"/>
    <w:rsid w:val="00360E5E"/>
    <w:rsid w:val="00380730"/>
    <w:rsid w:val="00386784"/>
    <w:rsid w:val="003A2DE3"/>
    <w:rsid w:val="003C6B52"/>
    <w:rsid w:val="003D0A3B"/>
    <w:rsid w:val="003F3275"/>
    <w:rsid w:val="00406DE2"/>
    <w:rsid w:val="004124F1"/>
    <w:rsid w:val="004135BE"/>
    <w:rsid w:val="00413BA1"/>
    <w:rsid w:val="00414151"/>
    <w:rsid w:val="0041517D"/>
    <w:rsid w:val="00415693"/>
    <w:rsid w:val="00420FB2"/>
    <w:rsid w:val="004230A7"/>
    <w:rsid w:val="00433B00"/>
    <w:rsid w:val="00434B82"/>
    <w:rsid w:val="004367FD"/>
    <w:rsid w:val="00442DFD"/>
    <w:rsid w:val="00450DA1"/>
    <w:rsid w:val="004521DB"/>
    <w:rsid w:val="004609D0"/>
    <w:rsid w:val="00465178"/>
    <w:rsid w:val="00467F52"/>
    <w:rsid w:val="00482646"/>
    <w:rsid w:val="00483223"/>
    <w:rsid w:val="00484403"/>
    <w:rsid w:val="004A1179"/>
    <w:rsid w:val="004A5485"/>
    <w:rsid w:val="004A6446"/>
    <w:rsid w:val="004B279E"/>
    <w:rsid w:val="004B5D26"/>
    <w:rsid w:val="004B79E2"/>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71395"/>
    <w:rsid w:val="0057418A"/>
    <w:rsid w:val="005B3162"/>
    <w:rsid w:val="005C412A"/>
    <w:rsid w:val="005D0699"/>
    <w:rsid w:val="005D5896"/>
    <w:rsid w:val="005D5EDC"/>
    <w:rsid w:val="005E5691"/>
    <w:rsid w:val="005F008F"/>
    <w:rsid w:val="005F3508"/>
    <w:rsid w:val="005F52E1"/>
    <w:rsid w:val="00601BAC"/>
    <w:rsid w:val="006117AA"/>
    <w:rsid w:val="0061588B"/>
    <w:rsid w:val="00625332"/>
    <w:rsid w:val="0063395D"/>
    <w:rsid w:val="006340D9"/>
    <w:rsid w:val="00645A60"/>
    <w:rsid w:val="00646AB5"/>
    <w:rsid w:val="006532C4"/>
    <w:rsid w:val="00655332"/>
    <w:rsid w:val="00661871"/>
    <w:rsid w:val="00662069"/>
    <w:rsid w:val="0066368E"/>
    <w:rsid w:val="006737B2"/>
    <w:rsid w:val="00673DC1"/>
    <w:rsid w:val="00680B09"/>
    <w:rsid w:val="006836EB"/>
    <w:rsid w:val="00691497"/>
    <w:rsid w:val="0069295F"/>
    <w:rsid w:val="006A4193"/>
    <w:rsid w:val="006A4978"/>
    <w:rsid w:val="006B392E"/>
    <w:rsid w:val="006B579E"/>
    <w:rsid w:val="006C6899"/>
    <w:rsid w:val="006C73A3"/>
    <w:rsid w:val="006D0838"/>
    <w:rsid w:val="006E0707"/>
    <w:rsid w:val="006E390F"/>
    <w:rsid w:val="006E5C80"/>
    <w:rsid w:val="007100C3"/>
    <w:rsid w:val="00721DC1"/>
    <w:rsid w:val="007230C5"/>
    <w:rsid w:val="00724A71"/>
    <w:rsid w:val="00736B1C"/>
    <w:rsid w:val="007370A7"/>
    <w:rsid w:val="00754869"/>
    <w:rsid w:val="00756A66"/>
    <w:rsid w:val="0076321E"/>
    <w:rsid w:val="00763CBF"/>
    <w:rsid w:val="00765537"/>
    <w:rsid w:val="00771329"/>
    <w:rsid w:val="007734FD"/>
    <w:rsid w:val="00783B26"/>
    <w:rsid w:val="00785335"/>
    <w:rsid w:val="0078768D"/>
    <w:rsid w:val="00791358"/>
    <w:rsid w:val="007C60C7"/>
    <w:rsid w:val="007D2507"/>
    <w:rsid w:val="00802D63"/>
    <w:rsid w:val="00802D91"/>
    <w:rsid w:val="00806CAD"/>
    <w:rsid w:val="00817973"/>
    <w:rsid w:val="00820AFB"/>
    <w:rsid w:val="008424F1"/>
    <w:rsid w:val="00842816"/>
    <w:rsid w:val="008471BC"/>
    <w:rsid w:val="00866376"/>
    <w:rsid w:val="008723CF"/>
    <w:rsid w:val="00872AC2"/>
    <w:rsid w:val="00873A16"/>
    <w:rsid w:val="008741AC"/>
    <w:rsid w:val="00875506"/>
    <w:rsid w:val="008A475B"/>
    <w:rsid w:val="008A5DCA"/>
    <w:rsid w:val="008B28C9"/>
    <w:rsid w:val="008C0D7E"/>
    <w:rsid w:val="008C406F"/>
    <w:rsid w:val="008C7577"/>
    <w:rsid w:val="008D0C22"/>
    <w:rsid w:val="008D1EC3"/>
    <w:rsid w:val="008D6743"/>
    <w:rsid w:val="008F1A38"/>
    <w:rsid w:val="008F26A0"/>
    <w:rsid w:val="008F3259"/>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751F"/>
    <w:rsid w:val="009D6AE4"/>
    <w:rsid w:val="009E26DB"/>
    <w:rsid w:val="009E5269"/>
    <w:rsid w:val="009F0A77"/>
    <w:rsid w:val="009F3BE4"/>
    <w:rsid w:val="00A27B99"/>
    <w:rsid w:val="00A3020E"/>
    <w:rsid w:val="00A30959"/>
    <w:rsid w:val="00A46D1D"/>
    <w:rsid w:val="00A46F5F"/>
    <w:rsid w:val="00A514DD"/>
    <w:rsid w:val="00A517AA"/>
    <w:rsid w:val="00A520AB"/>
    <w:rsid w:val="00A5583C"/>
    <w:rsid w:val="00A627E5"/>
    <w:rsid w:val="00A64A57"/>
    <w:rsid w:val="00A67459"/>
    <w:rsid w:val="00A70438"/>
    <w:rsid w:val="00A80D21"/>
    <w:rsid w:val="00A81ED7"/>
    <w:rsid w:val="00A85DD1"/>
    <w:rsid w:val="00A945C8"/>
    <w:rsid w:val="00AA3A12"/>
    <w:rsid w:val="00AA6259"/>
    <w:rsid w:val="00AA787B"/>
    <w:rsid w:val="00AB1D8A"/>
    <w:rsid w:val="00AB5808"/>
    <w:rsid w:val="00AC11EE"/>
    <w:rsid w:val="00AC7122"/>
    <w:rsid w:val="00AD3FDB"/>
    <w:rsid w:val="00AF0878"/>
    <w:rsid w:val="00AF2D3E"/>
    <w:rsid w:val="00AF7B22"/>
    <w:rsid w:val="00B00E15"/>
    <w:rsid w:val="00B03695"/>
    <w:rsid w:val="00B05325"/>
    <w:rsid w:val="00B14B2A"/>
    <w:rsid w:val="00B22BE6"/>
    <w:rsid w:val="00B3139D"/>
    <w:rsid w:val="00B320B8"/>
    <w:rsid w:val="00B427C8"/>
    <w:rsid w:val="00B42EBC"/>
    <w:rsid w:val="00B43C43"/>
    <w:rsid w:val="00B539CA"/>
    <w:rsid w:val="00B6378D"/>
    <w:rsid w:val="00B65BA3"/>
    <w:rsid w:val="00B72080"/>
    <w:rsid w:val="00B72145"/>
    <w:rsid w:val="00B73298"/>
    <w:rsid w:val="00B94D64"/>
    <w:rsid w:val="00BA02F5"/>
    <w:rsid w:val="00BA3389"/>
    <w:rsid w:val="00BB1CB3"/>
    <w:rsid w:val="00BB6792"/>
    <w:rsid w:val="00BC0A54"/>
    <w:rsid w:val="00BC3891"/>
    <w:rsid w:val="00BC7850"/>
    <w:rsid w:val="00BD7661"/>
    <w:rsid w:val="00BE19B8"/>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A36B9"/>
    <w:rsid w:val="00CA62AF"/>
    <w:rsid w:val="00CB14D7"/>
    <w:rsid w:val="00CD20D6"/>
    <w:rsid w:val="00CD3EEF"/>
    <w:rsid w:val="00CD4D2D"/>
    <w:rsid w:val="00CE53D6"/>
    <w:rsid w:val="00D034B1"/>
    <w:rsid w:val="00D07BAA"/>
    <w:rsid w:val="00D11E41"/>
    <w:rsid w:val="00D13781"/>
    <w:rsid w:val="00D22F4E"/>
    <w:rsid w:val="00D2501C"/>
    <w:rsid w:val="00D337C4"/>
    <w:rsid w:val="00D342F9"/>
    <w:rsid w:val="00D3482F"/>
    <w:rsid w:val="00D364AC"/>
    <w:rsid w:val="00D42183"/>
    <w:rsid w:val="00D421A8"/>
    <w:rsid w:val="00D423D3"/>
    <w:rsid w:val="00D427F3"/>
    <w:rsid w:val="00D55FB8"/>
    <w:rsid w:val="00D635C8"/>
    <w:rsid w:val="00DA3125"/>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24DCE"/>
    <w:rsid w:val="00E3581E"/>
    <w:rsid w:val="00E35F91"/>
    <w:rsid w:val="00E41862"/>
    <w:rsid w:val="00E42ADE"/>
    <w:rsid w:val="00E43102"/>
    <w:rsid w:val="00E508E0"/>
    <w:rsid w:val="00E83C37"/>
    <w:rsid w:val="00E93799"/>
    <w:rsid w:val="00E957FA"/>
    <w:rsid w:val="00EA2E75"/>
    <w:rsid w:val="00EA2E89"/>
    <w:rsid w:val="00EA3109"/>
    <w:rsid w:val="00EA54AD"/>
    <w:rsid w:val="00EB7C7F"/>
    <w:rsid w:val="00EC3824"/>
    <w:rsid w:val="00EC7642"/>
    <w:rsid w:val="00ED1265"/>
    <w:rsid w:val="00ED7F0C"/>
    <w:rsid w:val="00EE5576"/>
    <w:rsid w:val="00EE7825"/>
    <w:rsid w:val="00EE7E3E"/>
    <w:rsid w:val="00EF2E03"/>
    <w:rsid w:val="00EF3C06"/>
    <w:rsid w:val="00EF5E92"/>
    <w:rsid w:val="00F01B2A"/>
    <w:rsid w:val="00F25FD8"/>
    <w:rsid w:val="00F31776"/>
    <w:rsid w:val="00F318E9"/>
    <w:rsid w:val="00F33F31"/>
    <w:rsid w:val="00F40A9D"/>
    <w:rsid w:val="00F470ED"/>
    <w:rsid w:val="00F50F3E"/>
    <w:rsid w:val="00F51635"/>
    <w:rsid w:val="00F5258E"/>
    <w:rsid w:val="00F574B2"/>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DDF86"/>
  <w15:chartTrackingRefBased/>
  <w15:docId w15:val="{F9013E1F-C349-4060-A56A-43CF9ED8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rh%20prace\Mikl&#237;kov&#225;\agenda%20z&#345;&#237;zen&#237;%20CHPM\2024\Dohody%20a%20Dodatky\BSB%20PR&#193;DELNY%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277A-71EB-4D4F-9F3C-381C2EB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BSB PRÁDELNY s.r.o..dot</Template>
  <TotalTime>2</TotalTime>
  <Pages>6</Pages>
  <Words>2099</Words>
  <Characters>12172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 </vt:lpstr>
    </vt:vector>
  </TitlesOfParts>
  <Company>OKsystem spol. s r. o.</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Miklíková Miluše (UPM-OLA)</dc:creator>
  <cp:keywords/>
  <dc:description>Předloha byla vytvořena v informačním systému OKpráce.</dc:description>
  <cp:lastModifiedBy>Miklíková Miluše (UPM-OLA)</cp:lastModifiedBy>
  <cp:revision>2</cp:revision>
  <cp:lastPrinted>1899-12-31T23:00:00Z</cp:lastPrinted>
  <dcterms:created xsi:type="dcterms:W3CDTF">2024-07-29T09:21:00Z</dcterms:created>
  <dcterms:modified xsi:type="dcterms:W3CDTF">2024-07-29T09:25:00Z</dcterms:modified>
</cp:coreProperties>
</file>