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098E94F" w:rsidR="002708D3" w:rsidRPr="00F7255B" w:rsidRDefault="008E5EE2" w:rsidP="00F7255B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708D3" w:rsidRPr="00F7255B">
        <w:rPr>
          <w:rFonts w:ascii="Arial" w:hAnsi="Arial" w:cs="Arial"/>
          <w:sz w:val="22"/>
          <w:szCs w:val="22"/>
        </w:rPr>
        <w:t xml:space="preserve">Č.j.: </w:t>
      </w:r>
      <w:r w:rsidRPr="008E5EE2">
        <w:rPr>
          <w:rFonts w:ascii="Arial" w:hAnsi="Arial" w:cs="Arial"/>
          <w:sz w:val="22"/>
          <w:szCs w:val="22"/>
        </w:rPr>
        <w:t>SPU 278979/2024/523203/Rác</w:t>
      </w:r>
    </w:p>
    <w:p w14:paraId="237CBBF2" w14:textId="57C0A02D" w:rsidR="002708D3" w:rsidRDefault="008E5EE2" w:rsidP="00F725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2708D3" w:rsidRPr="00F7255B">
        <w:rPr>
          <w:rFonts w:ascii="Arial" w:hAnsi="Arial" w:cs="Arial"/>
          <w:sz w:val="22"/>
          <w:szCs w:val="22"/>
        </w:rPr>
        <w:t>UID:</w:t>
      </w:r>
      <w:r w:rsidR="00F7255B">
        <w:rPr>
          <w:rFonts w:ascii="Arial" w:hAnsi="Arial" w:cs="Arial"/>
          <w:sz w:val="22"/>
          <w:szCs w:val="22"/>
        </w:rPr>
        <w:t xml:space="preserve"> </w:t>
      </w:r>
      <w:r w:rsidRPr="008E5EE2">
        <w:rPr>
          <w:rFonts w:ascii="Arial" w:hAnsi="Arial" w:cs="Arial"/>
          <w:sz w:val="22"/>
          <w:szCs w:val="22"/>
        </w:rPr>
        <w:t>spuess920c3f8b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Pavel Zajíček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45AF9856" w:rsidR="00A36D26" w:rsidRPr="0087119A" w:rsidRDefault="00697439" w:rsidP="00F72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NECHO, spol. s r.o.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Lidická 3520/144, Břeclav, 69003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48533645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48533645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F7255B">
        <w:rPr>
          <w:rFonts w:ascii="Arial" w:hAnsi="Arial" w:cs="Arial"/>
          <w:sz w:val="22"/>
          <w:szCs w:val="22"/>
        </w:rPr>
        <w:t>zapsán</w:t>
      </w:r>
      <w:r w:rsidR="00F7255B">
        <w:rPr>
          <w:rFonts w:ascii="Arial" w:hAnsi="Arial" w:cs="Arial"/>
          <w:sz w:val="22"/>
          <w:szCs w:val="22"/>
        </w:rPr>
        <w:t>a</w:t>
      </w:r>
      <w:r w:rsidR="0067751D" w:rsidRPr="00F7255B">
        <w:rPr>
          <w:rFonts w:ascii="Arial" w:hAnsi="Arial" w:cs="Arial"/>
          <w:sz w:val="22"/>
          <w:szCs w:val="22"/>
        </w:rPr>
        <w:t xml:space="preserve"> v obchodním rejstříku vedeném </w:t>
      </w:r>
      <w:r w:rsidR="00F7255B">
        <w:rPr>
          <w:rFonts w:ascii="Arial" w:hAnsi="Arial" w:cs="Arial"/>
          <w:sz w:val="22"/>
          <w:szCs w:val="22"/>
        </w:rPr>
        <w:t xml:space="preserve">Krajským soudem v Brně, oddíl C, vložka 11019 </w:t>
      </w:r>
      <w:r w:rsidR="0067751D" w:rsidRPr="00F7255B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F7255B">
        <w:rPr>
          <w:rFonts w:ascii="Arial" w:hAnsi="Arial" w:cs="Arial"/>
          <w:sz w:val="22"/>
          <w:szCs w:val="22"/>
        </w:rPr>
        <w:t>Jan Gajdoš, jednatel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Česká spořitelna, a.s.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3540274399</w:t>
      </w:r>
      <w:r w:rsidR="0067751D"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122N24/59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6E71F67F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F7255B">
        <w:rPr>
          <w:rFonts w:ascii="Arial" w:hAnsi="Arial" w:cs="Arial"/>
          <w:sz w:val="22"/>
          <w:szCs w:val="22"/>
        </w:rPr>
        <w:t>Jihomoravský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Břeclav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3FF8E6E5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Příloha č. 1 je </w:t>
      </w:r>
      <w:r w:rsidR="00F7255B">
        <w:rPr>
          <w:rFonts w:ascii="Arial" w:hAnsi="Arial" w:cs="Arial"/>
          <w:sz w:val="22"/>
          <w:szCs w:val="22"/>
        </w:rPr>
        <w:t xml:space="preserve">spolu s výpisy z katastru nemovitostí, grafickou přílohou a přílohou č. 2- výpočet alikvotní části ročního pachtovného </w:t>
      </w:r>
      <w:r w:rsidRPr="0087119A">
        <w:rPr>
          <w:rFonts w:ascii="Arial" w:hAnsi="Arial" w:cs="Arial"/>
          <w:sz w:val="22"/>
          <w:szCs w:val="22"/>
        </w:rPr>
        <w:t>nedílnou součástí této smlouvy.</w:t>
      </w:r>
      <w:r w:rsidR="00F7255B">
        <w:rPr>
          <w:rFonts w:ascii="Arial" w:hAnsi="Arial" w:cs="Arial"/>
          <w:sz w:val="22"/>
          <w:szCs w:val="22"/>
        </w:rPr>
        <w:t xml:space="preserve"> Výměry částí pozemků byly odměřeny přibližně z dostupných mapových podkladů. Předmět pachtu, respektive jeho část přešel do této smlouvy z nájemních smluv č. 148N07/59 a č. 240N12/59.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5F363B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5F363B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5F363B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D9097D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D9097D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D9097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D9097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D9097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D9097D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D9097D">
        <w:rPr>
          <w:rFonts w:ascii="Arial" w:hAnsi="Arial" w:cs="Arial"/>
          <w:sz w:val="22"/>
          <w:szCs w:val="22"/>
        </w:rPr>
        <w:t xml:space="preserve"> vstupem na pozem</w:t>
      </w:r>
      <w:r w:rsidRPr="00D9097D">
        <w:rPr>
          <w:rFonts w:ascii="Arial" w:hAnsi="Arial" w:cs="Arial"/>
          <w:sz w:val="22"/>
          <w:szCs w:val="22"/>
        </w:rPr>
        <w:t>k</w:t>
      </w:r>
      <w:r w:rsidR="00561A83" w:rsidRPr="00D9097D">
        <w:rPr>
          <w:rFonts w:ascii="Arial" w:hAnsi="Arial" w:cs="Arial"/>
          <w:sz w:val="22"/>
          <w:szCs w:val="22"/>
        </w:rPr>
        <w:t>y</w:t>
      </w:r>
      <w:r w:rsidRPr="00D9097D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D9097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D9097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 xml:space="preserve">e) </w:t>
      </w:r>
      <w:r w:rsidRPr="00D9097D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2D8D255" w14:textId="77777777" w:rsidR="00AF39CE" w:rsidRPr="00D9097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D9097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 xml:space="preserve">f) </w:t>
      </w:r>
      <w:r w:rsidRPr="00D9097D">
        <w:rPr>
          <w:rFonts w:ascii="Arial" w:hAnsi="Arial" w:cs="Arial"/>
          <w:iCs/>
          <w:sz w:val="22"/>
          <w:szCs w:val="22"/>
        </w:rPr>
        <w:t>provádět podle podmínek sběr kamene</w:t>
      </w:r>
      <w:r w:rsidRPr="00D9097D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D9097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D9097D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D9097D">
        <w:rPr>
          <w:rFonts w:ascii="Arial" w:hAnsi="Arial" w:cs="Arial"/>
          <w:sz w:val="22"/>
          <w:szCs w:val="22"/>
        </w:rPr>
        <w:t>dání trvalých porostů na pozemcích</w:t>
      </w:r>
      <w:r w:rsidRPr="00D9097D">
        <w:rPr>
          <w:rFonts w:ascii="Arial" w:hAnsi="Arial" w:cs="Arial"/>
          <w:sz w:val="22"/>
          <w:szCs w:val="22"/>
        </w:rPr>
        <w:t xml:space="preserve"> nebo př</w:t>
      </w:r>
      <w:r w:rsidR="000E1E95" w:rsidRPr="00D9097D">
        <w:rPr>
          <w:rFonts w:ascii="Arial" w:hAnsi="Arial" w:cs="Arial"/>
          <w:sz w:val="22"/>
          <w:szCs w:val="22"/>
        </w:rPr>
        <w:t>i provádění změny druhu pozemku</w:t>
      </w:r>
      <w:r w:rsidR="006D4291" w:rsidRPr="00D9097D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D9097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D9097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9097D">
        <w:rPr>
          <w:rFonts w:ascii="Arial" w:hAnsi="Arial" w:cs="Arial"/>
          <w:sz w:val="22"/>
          <w:szCs w:val="22"/>
        </w:rPr>
        <w:t>h) trpět věcná břemena, resp</w:t>
      </w:r>
      <w:r w:rsidR="00561A83" w:rsidRPr="00D9097D">
        <w:rPr>
          <w:rFonts w:ascii="Arial" w:hAnsi="Arial" w:cs="Arial"/>
          <w:sz w:val="22"/>
          <w:szCs w:val="22"/>
        </w:rPr>
        <w:t>. služebnosti spojené s pozemky, jež jsou</w:t>
      </w:r>
      <w:r w:rsidRPr="00D9097D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D9097D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D9097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9097D">
        <w:rPr>
          <w:rFonts w:ascii="Arial" w:hAnsi="Arial" w:cs="Arial"/>
          <w:b/>
          <w:bCs/>
          <w:sz w:val="22"/>
          <w:szCs w:val="22"/>
        </w:rPr>
        <w:t>i) platit v souladu se zákonnou úpravou daň z </w:t>
      </w:r>
      <w:r w:rsidR="00561A83" w:rsidRPr="00D9097D">
        <w:rPr>
          <w:rFonts w:ascii="Arial" w:hAnsi="Arial" w:cs="Arial"/>
          <w:b/>
          <w:bCs/>
          <w:sz w:val="22"/>
          <w:szCs w:val="22"/>
        </w:rPr>
        <w:t>nemovitých věcí za propachtované pozem</w:t>
      </w:r>
      <w:r w:rsidRPr="00D9097D">
        <w:rPr>
          <w:rFonts w:ascii="Arial" w:hAnsi="Arial" w:cs="Arial"/>
          <w:b/>
          <w:bCs/>
          <w:sz w:val="22"/>
          <w:szCs w:val="22"/>
        </w:rPr>
        <w:t>k</w:t>
      </w:r>
      <w:r w:rsidR="00561A83" w:rsidRPr="00D9097D">
        <w:rPr>
          <w:rFonts w:ascii="Arial" w:hAnsi="Arial" w:cs="Arial"/>
          <w:b/>
          <w:bCs/>
          <w:sz w:val="22"/>
          <w:szCs w:val="22"/>
        </w:rPr>
        <w:t>y</w:t>
      </w:r>
      <w:r w:rsidRPr="00D9097D">
        <w:rPr>
          <w:rFonts w:ascii="Arial" w:hAnsi="Arial" w:cs="Arial"/>
          <w:b/>
          <w:bCs/>
          <w:sz w:val="22"/>
          <w:szCs w:val="22"/>
        </w:rPr>
        <w:t>, jenž je předmětem pachtu.</w:t>
      </w:r>
    </w:p>
    <w:p w14:paraId="3459954A" w14:textId="77777777" w:rsidR="00AF39CE" w:rsidRPr="00D9097D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66E90DDD" w14:textId="696BCA63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D9097D">
        <w:rPr>
          <w:rFonts w:ascii="Arial" w:hAnsi="Arial" w:cs="Arial"/>
          <w:sz w:val="22"/>
          <w:szCs w:val="22"/>
        </w:rPr>
        <w:t>j)</w:t>
      </w:r>
      <w:r w:rsidR="00D9097D">
        <w:rPr>
          <w:rFonts w:ascii="Arial" w:hAnsi="Arial" w:cs="Arial"/>
          <w:sz w:val="22"/>
          <w:szCs w:val="22"/>
        </w:rPr>
        <w:t xml:space="preserve"> </w:t>
      </w:r>
      <w:r w:rsidRPr="00D9097D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D9097D">
        <w:rPr>
          <w:rFonts w:ascii="Arial" w:hAnsi="Arial" w:cs="Arial"/>
          <w:sz w:val="22"/>
          <w:szCs w:val="22"/>
        </w:rPr>
        <w:t>ek</w:t>
      </w:r>
      <w:r w:rsidRPr="00D9097D">
        <w:rPr>
          <w:rFonts w:ascii="Arial" w:hAnsi="Arial" w:cs="Arial"/>
          <w:sz w:val="22"/>
          <w:szCs w:val="22"/>
        </w:rPr>
        <w:t xml:space="preserve"> geodetického bodu zřízen</w:t>
      </w:r>
      <w:r w:rsidR="00D9097D">
        <w:rPr>
          <w:rFonts w:ascii="Arial" w:hAnsi="Arial" w:cs="Arial"/>
          <w:sz w:val="22"/>
          <w:szCs w:val="22"/>
        </w:rPr>
        <w:t>ých</w:t>
      </w:r>
      <w:r w:rsidR="00561A83" w:rsidRPr="00D9097D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D9097D">
        <w:rPr>
          <w:rFonts w:ascii="Arial" w:hAnsi="Arial" w:cs="Arial"/>
          <w:sz w:val="22"/>
          <w:szCs w:val="22"/>
        </w:rPr>
        <w:t xml:space="preserve"> předmětem pachtu. </w:t>
      </w:r>
      <w:r w:rsidRPr="00D9097D">
        <w:rPr>
          <w:rFonts w:ascii="Arial" w:hAnsi="Arial" w:cs="Arial"/>
          <w:bCs/>
          <w:sz w:val="22"/>
          <w:szCs w:val="22"/>
        </w:rPr>
        <w:t>Informace o znač</w:t>
      </w:r>
      <w:r w:rsidR="00D9097D">
        <w:rPr>
          <w:rFonts w:ascii="Arial" w:hAnsi="Arial" w:cs="Arial"/>
          <w:bCs/>
          <w:sz w:val="22"/>
          <w:szCs w:val="22"/>
        </w:rPr>
        <w:t>kách</w:t>
      </w:r>
      <w:r w:rsidRPr="00D9097D">
        <w:rPr>
          <w:rFonts w:ascii="Arial" w:hAnsi="Arial" w:cs="Arial"/>
          <w:bCs/>
          <w:sz w:val="22"/>
          <w:szCs w:val="22"/>
        </w:rPr>
        <w:t xml:space="preserve"> a poloze bod</w:t>
      </w:r>
      <w:r w:rsidR="00D9097D">
        <w:rPr>
          <w:rFonts w:ascii="Arial" w:hAnsi="Arial" w:cs="Arial"/>
          <w:bCs/>
          <w:sz w:val="22"/>
          <w:szCs w:val="22"/>
        </w:rPr>
        <w:t>ů</w:t>
      </w:r>
      <w:r w:rsidRPr="00D9097D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D9097D">
        <w:rPr>
          <w:rFonts w:ascii="Arial" w:hAnsi="Arial" w:cs="Arial"/>
          <w:b/>
          <w:bCs/>
          <w:sz w:val="22"/>
          <w:szCs w:val="22"/>
        </w:rPr>
        <w:t>od 01.08.2024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23649611" w14:textId="77777777" w:rsidR="00D9097D" w:rsidRDefault="00D9097D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3C7EEB" w14:textId="674028A8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36EB13AA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57 488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padesát sedm tisíc čtyři sta osmdesát osm korun českých</w:t>
      </w:r>
      <w:r w:rsidRPr="00E86D9A">
        <w:rPr>
          <w:rFonts w:ascii="Arial" w:hAnsi="Arial" w:cs="Arial"/>
          <w:sz w:val="22"/>
          <w:szCs w:val="22"/>
        </w:rPr>
        <w:t>)</w:t>
      </w:r>
      <w:r w:rsidR="00D9097D">
        <w:rPr>
          <w:rFonts w:ascii="Arial" w:hAnsi="Arial" w:cs="Arial"/>
          <w:sz w:val="22"/>
          <w:szCs w:val="22"/>
        </w:rPr>
        <w:t>, jak je vypočteno v nedílné příloze č. 1</w:t>
      </w:r>
      <w:r w:rsidRPr="00E86D9A">
        <w:rPr>
          <w:rFonts w:ascii="Arial" w:hAnsi="Arial" w:cs="Arial"/>
          <w:sz w:val="22"/>
          <w:szCs w:val="22"/>
        </w:rPr>
        <w:t>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64D755E4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 w:rsidR="00D9097D">
        <w:rPr>
          <w:rFonts w:ascii="Arial" w:hAnsi="Arial" w:cs="Arial"/>
          <w:bCs/>
          <w:sz w:val="22"/>
          <w:szCs w:val="22"/>
        </w:rPr>
        <w:t>2024</w:t>
      </w:r>
      <w:r w:rsidRPr="00D9097D">
        <w:rPr>
          <w:rFonts w:ascii="Arial" w:hAnsi="Arial" w:cs="Arial"/>
          <w:bCs/>
          <w:sz w:val="22"/>
          <w:szCs w:val="22"/>
        </w:rPr>
        <w:t xml:space="preserve"> včetně činí </w:t>
      </w:r>
      <w:r w:rsidR="008E5EE2" w:rsidRPr="008E5EE2">
        <w:rPr>
          <w:rFonts w:ascii="Arial" w:hAnsi="Arial" w:cs="Arial"/>
          <w:b/>
          <w:sz w:val="22"/>
          <w:szCs w:val="22"/>
        </w:rPr>
        <w:t>9 581</w:t>
      </w:r>
      <w:r w:rsidRPr="008E5EE2">
        <w:rPr>
          <w:rFonts w:ascii="Arial" w:hAnsi="Arial" w:cs="Arial"/>
          <w:b/>
          <w:sz w:val="22"/>
          <w:szCs w:val="22"/>
        </w:rPr>
        <w:t xml:space="preserve"> Kč</w:t>
      </w:r>
      <w:r w:rsidRPr="00D9097D">
        <w:rPr>
          <w:rFonts w:ascii="Arial" w:hAnsi="Arial" w:cs="Arial"/>
          <w:bCs/>
          <w:sz w:val="22"/>
          <w:szCs w:val="22"/>
        </w:rPr>
        <w:t xml:space="preserve"> (slovy: </w:t>
      </w:r>
      <w:r w:rsidR="008E5EE2">
        <w:rPr>
          <w:rFonts w:ascii="Arial" w:hAnsi="Arial" w:cs="Arial"/>
          <w:bCs/>
          <w:sz w:val="22"/>
          <w:szCs w:val="22"/>
        </w:rPr>
        <w:t>devět tisíc pět set osmdesát jedna korun českých)</w:t>
      </w:r>
      <w:r w:rsidR="00EF37F3" w:rsidRPr="00D9097D">
        <w:rPr>
          <w:rFonts w:ascii="Arial" w:hAnsi="Arial" w:cs="Arial"/>
          <w:bCs/>
          <w:sz w:val="22"/>
          <w:szCs w:val="22"/>
        </w:rPr>
        <w:t xml:space="preserve"> uhrazeno </w:t>
      </w:r>
      <w:r w:rsidR="00EF37F3" w:rsidRPr="008E5EE2">
        <w:rPr>
          <w:rFonts w:ascii="Arial" w:hAnsi="Arial" w:cs="Arial"/>
          <w:b/>
          <w:sz w:val="22"/>
          <w:szCs w:val="22"/>
        </w:rPr>
        <w:t xml:space="preserve">k 1. 10. </w:t>
      </w:r>
      <w:r w:rsidR="008E5EE2" w:rsidRPr="008E5EE2">
        <w:rPr>
          <w:rFonts w:ascii="Arial" w:hAnsi="Arial" w:cs="Arial"/>
          <w:b/>
          <w:sz w:val="22"/>
          <w:szCs w:val="22"/>
        </w:rPr>
        <w:t>2024</w:t>
      </w:r>
      <w:r w:rsidR="008E5EE2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8E5EE2">
        <w:rPr>
          <w:rFonts w:ascii="Arial" w:hAnsi="Arial" w:cs="Arial"/>
          <w:bCs/>
          <w:sz w:val="22"/>
          <w:szCs w:val="22"/>
        </w:rPr>
        <w:t>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8E5EE2">
        <w:rPr>
          <w:rFonts w:ascii="Arial" w:hAnsi="Arial" w:cs="Arial"/>
          <w:bCs/>
          <w:sz w:val="22"/>
          <w:szCs w:val="22"/>
        </w:rPr>
        <w:t>12212459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12212459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8E5EE2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8E5EE2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8E5EE2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5EE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8E5EE2">
        <w:rPr>
          <w:rFonts w:ascii="Arial" w:hAnsi="Arial" w:cs="Arial"/>
          <w:sz w:val="22"/>
          <w:szCs w:val="22"/>
        </w:rPr>
        <w:t>ům</w:t>
      </w:r>
      <w:r w:rsidRPr="008E5EE2">
        <w:rPr>
          <w:rFonts w:ascii="Arial" w:hAnsi="Arial" w:cs="Arial"/>
          <w:i/>
          <w:sz w:val="22"/>
          <w:szCs w:val="22"/>
        </w:rPr>
        <w:t>,</w:t>
      </w:r>
      <w:r w:rsidR="00D65B28" w:rsidRPr="008E5EE2">
        <w:rPr>
          <w:rFonts w:ascii="Arial" w:hAnsi="Arial" w:cs="Arial"/>
          <w:sz w:val="22"/>
          <w:szCs w:val="22"/>
        </w:rPr>
        <w:t xml:space="preserve"> které jsou</w:t>
      </w:r>
      <w:r w:rsidRPr="008E5EE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3C85BD5B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</w:t>
      </w:r>
      <w:r w:rsidR="008E5EE2">
        <w:rPr>
          <w:rFonts w:ascii="Arial" w:hAnsi="Arial" w:cs="Arial"/>
          <w:bCs/>
          <w:sz w:val="22"/>
          <w:szCs w:val="22"/>
        </w:rPr>
        <w:t>é</w:t>
      </w:r>
      <w:r w:rsidRPr="005F2C48">
        <w:rPr>
          <w:rFonts w:ascii="Arial" w:hAnsi="Arial" w:cs="Arial"/>
          <w:bCs/>
          <w:sz w:val="22"/>
          <w:szCs w:val="22"/>
        </w:rPr>
        <w:t xml:space="preserve"> pozemk</w:t>
      </w:r>
      <w:r w:rsidR="008E5EE2">
        <w:rPr>
          <w:rFonts w:ascii="Arial" w:hAnsi="Arial" w:cs="Arial"/>
          <w:bCs/>
          <w:sz w:val="22"/>
          <w:szCs w:val="22"/>
        </w:rPr>
        <w:t>y</w:t>
      </w:r>
      <w:r w:rsidRPr="005F2C48">
        <w:rPr>
          <w:rFonts w:ascii="Arial" w:hAnsi="Arial" w:cs="Arial"/>
          <w:bCs/>
          <w:sz w:val="22"/>
          <w:szCs w:val="22"/>
        </w:rPr>
        <w:t xml:space="preserve"> nebo </w:t>
      </w:r>
      <w:r w:rsidR="008E5EE2">
        <w:rPr>
          <w:rFonts w:ascii="Arial" w:hAnsi="Arial" w:cs="Arial"/>
          <w:bCs/>
          <w:sz w:val="22"/>
          <w:szCs w:val="22"/>
        </w:rPr>
        <w:t>jejich</w:t>
      </w:r>
      <w:r w:rsidRPr="005F2C48">
        <w:rPr>
          <w:rFonts w:ascii="Arial" w:hAnsi="Arial" w:cs="Arial"/>
          <w:bCs/>
          <w:sz w:val="22"/>
          <w:szCs w:val="22"/>
        </w:rPr>
        <w:t xml:space="preserve">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27E33676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721E4ECD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8E5EE2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8E5EE2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8E5EE2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0FC2110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8E5EE2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8E5EE2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8E5EE2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8E5EE2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8E5EE2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E5EE2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0C8DE6B4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EBC5A14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E5EE2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E5214F">
        <w:rPr>
          <w:rFonts w:ascii="Arial" w:hAnsi="Arial" w:cs="Arial"/>
          <w:sz w:val="22"/>
          <w:szCs w:val="22"/>
        </w:rPr>
        <w:t>26.7.2024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F7255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titlePg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F8A31FF" w14:textId="77777777" w:rsidR="008E5EE2" w:rsidRDefault="008E5EE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2B4FD48" w14:textId="77777777" w:rsidR="008E5EE2" w:rsidRDefault="008E5EE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7BF1A39" w14:textId="77777777" w:rsidR="008E5EE2" w:rsidRDefault="008E5EE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5D5479A" w14:textId="77777777" w:rsidR="008E5EE2" w:rsidRDefault="008E5EE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FB8C385" w14:textId="77777777" w:rsidR="008E5EE2" w:rsidRDefault="008E5EE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61DD3D6C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97439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4D347AFA" w14:textId="77777777" w:rsidR="008E5EE2" w:rsidRDefault="008E5EE2" w:rsidP="00E96870">
      <w:pPr>
        <w:rPr>
          <w:rFonts w:ascii="Arial" w:hAnsi="Arial" w:cs="Arial"/>
          <w:sz w:val="22"/>
          <w:szCs w:val="22"/>
        </w:rPr>
      </w:pPr>
    </w:p>
    <w:p w14:paraId="6F21DAED" w14:textId="77777777" w:rsidR="008E5EE2" w:rsidRDefault="008E5EE2" w:rsidP="00E96870">
      <w:pPr>
        <w:rPr>
          <w:rFonts w:ascii="Arial" w:hAnsi="Arial" w:cs="Arial"/>
          <w:sz w:val="22"/>
          <w:szCs w:val="22"/>
        </w:rPr>
      </w:pPr>
    </w:p>
    <w:p w14:paraId="5DBDA465" w14:textId="77777777" w:rsidR="008E5EE2" w:rsidRDefault="008E5EE2" w:rsidP="00E96870">
      <w:pPr>
        <w:rPr>
          <w:rFonts w:ascii="Arial" w:hAnsi="Arial" w:cs="Arial"/>
          <w:sz w:val="22"/>
          <w:szCs w:val="22"/>
        </w:rPr>
      </w:pPr>
    </w:p>
    <w:p w14:paraId="166523C9" w14:textId="77777777" w:rsidR="008E5EE2" w:rsidRDefault="008E5EE2" w:rsidP="00E96870">
      <w:pPr>
        <w:rPr>
          <w:rFonts w:ascii="Arial" w:hAnsi="Arial" w:cs="Arial"/>
          <w:sz w:val="22"/>
          <w:szCs w:val="22"/>
        </w:rPr>
      </w:pPr>
    </w:p>
    <w:p w14:paraId="1121E466" w14:textId="77777777" w:rsidR="008E5EE2" w:rsidRDefault="008E5EE2" w:rsidP="00E96870">
      <w:pPr>
        <w:rPr>
          <w:rFonts w:ascii="Arial" w:hAnsi="Arial" w:cs="Arial"/>
          <w:sz w:val="22"/>
          <w:szCs w:val="22"/>
        </w:rPr>
      </w:pPr>
    </w:p>
    <w:p w14:paraId="6F000DA8" w14:textId="73ACF4B3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97439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NECHO, spol. s r.o.</w:t>
      </w:r>
    </w:p>
    <w:p w14:paraId="043A3516" w14:textId="6F2E0340" w:rsidR="00560DD8" w:rsidRPr="009378A3" w:rsidRDefault="008E5EE2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Jan Gajdoš, jednatel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5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Štěpánka Ráczová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8E5EE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5EE2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5EE2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5EE2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8E5EE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5EE2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071CE1B" w14:textId="77777777" w:rsidR="008E5EE2" w:rsidRPr="008E5EE2" w:rsidRDefault="008E5EE2" w:rsidP="00AF39CE">
      <w:pPr>
        <w:jc w:val="both"/>
        <w:rPr>
          <w:rFonts w:ascii="Arial" w:hAnsi="Arial" w:cs="Arial"/>
          <w:sz w:val="22"/>
          <w:szCs w:val="22"/>
        </w:rPr>
      </w:pPr>
    </w:p>
    <w:p w14:paraId="2330B4A6" w14:textId="4DC9A508" w:rsidR="00AF39CE" w:rsidRDefault="00AF39CE" w:rsidP="008E5EE2">
      <w:pPr>
        <w:jc w:val="both"/>
      </w:pPr>
      <w:r w:rsidRPr="008E5EE2">
        <w:rPr>
          <w:rFonts w:ascii="Arial" w:hAnsi="Arial" w:cs="Arial"/>
          <w:sz w:val="22"/>
          <w:szCs w:val="22"/>
        </w:rPr>
        <w:t>V ……………….. dne ……………..</w:t>
      </w:r>
      <w:r w:rsidRPr="008E5EE2">
        <w:rPr>
          <w:rFonts w:ascii="Arial" w:hAnsi="Arial" w:cs="Arial"/>
          <w:sz w:val="22"/>
          <w:szCs w:val="22"/>
        </w:rPr>
        <w:tab/>
      </w:r>
      <w:r w:rsidRPr="008E5EE2">
        <w:rPr>
          <w:rFonts w:ascii="Arial" w:hAnsi="Arial" w:cs="Arial"/>
          <w:sz w:val="22"/>
          <w:szCs w:val="22"/>
        </w:rPr>
        <w:tab/>
      </w:r>
      <w:r w:rsidRPr="008E5EE2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10"/>
    </w:p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6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3A85" w14:textId="77777777" w:rsidR="00697439" w:rsidRDefault="00697439">
      <w:r>
        <w:separator/>
      </w:r>
    </w:p>
  </w:endnote>
  <w:endnote w:type="continuationSeparator" w:id="0">
    <w:p w14:paraId="4A08EE6F" w14:textId="77777777" w:rsidR="00697439" w:rsidRDefault="006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488D9841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C9791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5E1" w14:textId="77777777" w:rsidR="00697439" w:rsidRDefault="00697439">
      <w:r>
        <w:separator/>
      </w:r>
    </w:p>
  </w:footnote>
  <w:footnote w:type="continuationSeparator" w:id="0">
    <w:p w14:paraId="4FE7D99E" w14:textId="77777777" w:rsidR="00697439" w:rsidRDefault="0069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F82E" w14:textId="0E8980D7" w:rsidR="00F7255B" w:rsidRPr="00F7255B" w:rsidRDefault="00F7255B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96814">
    <w:abstractNumId w:val="14"/>
  </w:num>
  <w:num w:numId="2" w16cid:durableId="1127358751">
    <w:abstractNumId w:val="1"/>
  </w:num>
  <w:num w:numId="3" w16cid:durableId="1491945053">
    <w:abstractNumId w:val="10"/>
  </w:num>
  <w:num w:numId="4" w16cid:durableId="1948727874">
    <w:abstractNumId w:val="6"/>
  </w:num>
  <w:num w:numId="5" w16cid:durableId="45766962">
    <w:abstractNumId w:val="3"/>
  </w:num>
  <w:num w:numId="6" w16cid:durableId="1844932363">
    <w:abstractNumId w:val="8"/>
  </w:num>
  <w:num w:numId="7" w16cid:durableId="941109415">
    <w:abstractNumId w:val="9"/>
  </w:num>
  <w:num w:numId="8" w16cid:durableId="1171067073">
    <w:abstractNumId w:val="0"/>
  </w:num>
  <w:num w:numId="9" w16cid:durableId="360130290">
    <w:abstractNumId w:val="11"/>
  </w:num>
  <w:num w:numId="10" w16cid:durableId="1479495011">
    <w:abstractNumId w:val="15"/>
  </w:num>
  <w:num w:numId="11" w16cid:durableId="1199974437">
    <w:abstractNumId w:val="12"/>
  </w:num>
  <w:num w:numId="12" w16cid:durableId="1423528006">
    <w:abstractNumId w:val="7"/>
  </w:num>
  <w:num w:numId="13" w16cid:durableId="517502375">
    <w:abstractNumId w:val="4"/>
  </w:num>
  <w:num w:numId="14" w16cid:durableId="901873189">
    <w:abstractNumId w:val="2"/>
  </w:num>
  <w:num w:numId="15" w16cid:durableId="2052151551">
    <w:abstractNumId w:val="5"/>
  </w:num>
  <w:num w:numId="16" w16cid:durableId="1163355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363B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7F6D5F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E5EE2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8727B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9097D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214F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255B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3974F235-2443-4773-864F-CC86E448F64C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Ráczová Štěpánka</cp:lastModifiedBy>
  <cp:revision>3</cp:revision>
  <cp:lastPrinted>2019-10-23T07:09:00Z</cp:lastPrinted>
  <dcterms:created xsi:type="dcterms:W3CDTF">2024-07-26T10:12:00Z</dcterms:created>
  <dcterms:modified xsi:type="dcterms:W3CDTF">2024-07-26T10:12:00Z</dcterms:modified>
</cp:coreProperties>
</file>