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w:t>
            </w:r>
            <w:r w:rsidR="00C4190F">
              <w:rPr>
                <w:rFonts w:cs="Arial"/>
                <w:b/>
                <w:bCs/>
                <w:sz w:val="22"/>
                <w:szCs w:val="22"/>
              </w:rPr>
              <w:t xml:space="preserve"> škola a Mateřská škola Děčín III, Březová 369/25</w:t>
            </w:r>
            <w:r w:rsidRPr="00671AE6">
              <w:rPr>
                <w:rFonts w:cs="Arial"/>
                <w:b/>
                <w:bCs/>
                <w:sz w:val="22"/>
                <w:szCs w:val="22"/>
              </w:rPr>
              <w:t>, příspěvková organizace</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 xml:space="preserve">Sídlo:              </w:t>
            </w:r>
          </w:p>
        </w:tc>
        <w:tc>
          <w:tcPr>
            <w:tcW w:w="6379" w:type="dxa"/>
            <w:shd w:val="clear" w:color="auto" w:fill="auto"/>
          </w:tcPr>
          <w:p w:rsidR="00C4190F" w:rsidRPr="00494B60" w:rsidRDefault="00C4190F" w:rsidP="00C16846">
            <w:pPr>
              <w:jc w:val="both"/>
              <w:rPr>
                <w:rFonts w:cs="Arial"/>
                <w:szCs w:val="22"/>
              </w:rPr>
            </w:pPr>
            <w:r>
              <w:t>Děčín III, Březová 369/25, PSČ 405 02</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Statutární zástupce:</w:t>
            </w:r>
          </w:p>
        </w:tc>
        <w:tc>
          <w:tcPr>
            <w:tcW w:w="6379" w:type="dxa"/>
            <w:shd w:val="clear" w:color="auto" w:fill="auto"/>
          </w:tcPr>
          <w:p w:rsidR="00C4190F" w:rsidRPr="00494B60" w:rsidRDefault="00C4190F" w:rsidP="00C16846">
            <w:pPr>
              <w:rPr>
                <w:rFonts w:cs="Arial"/>
                <w:b/>
                <w:szCs w:val="22"/>
              </w:rPr>
            </w:pPr>
            <w:r>
              <w:rPr>
                <w:rFonts w:cs="Arial"/>
                <w:sz w:val="22"/>
                <w:szCs w:val="22"/>
              </w:rPr>
              <w:t>Mgr. Alena Čuříková – ředitelka organizace</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IČO:</w:t>
            </w:r>
          </w:p>
        </w:tc>
        <w:tc>
          <w:tcPr>
            <w:tcW w:w="6379" w:type="dxa"/>
            <w:shd w:val="clear" w:color="auto" w:fill="auto"/>
          </w:tcPr>
          <w:p w:rsidR="00C4190F" w:rsidRPr="00494B60" w:rsidRDefault="00C4190F" w:rsidP="00C16846">
            <w:pPr>
              <w:rPr>
                <w:rFonts w:cs="Arial"/>
                <w:b/>
                <w:szCs w:val="22"/>
              </w:rPr>
            </w:pPr>
            <w:r w:rsidRPr="00C60190">
              <w:rPr>
                <w:rFonts w:cs="Arial"/>
                <w:sz w:val="22"/>
                <w:szCs w:val="22"/>
              </w:rPr>
              <w:t>72744529</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Bankovní spojení:</w:t>
            </w:r>
          </w:p>
        </w:tc>
        <w:tc>
          <w:tcPr>
            <w:tcW w:w="6379" w:type="dxa"/>
            <w:shd w:val="clear" w:color="auto" w:fill="auto"/>
          </w:tcPr>
          <w:p w:rsidR="00C4190F" w:rsidRPr="00494B60" w:rsidRDefault="00C4190F" w:rsidP="00C16846">
            <w:pPr>
              <w:rPr>
                <w:rFonts w:cs="Arial"/>
                <w:b/>
                <w:szCs w:val="22"/>
              </w:rPr>
            </w:pPr>
            <w:r>
              <w:rPr>
                <w:rFonts w:cs="Arial"/>
                <w:sz w:val="22"/>
                <w:szCs w:val="22"/>
              </w:rPr>
              <w:t>Komerční banka</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Číslo účtu:</w:t>
            </w:r>
          </w:p>
        </w:tc>
        <w:tc>
          <w:tcPr>
            <w:tcW w:w="6379" w:type="dxa"/>
            <w:shd w:val="clear" w:color="auto" w:fill="auto"/>
          </w:tcPr>
          <w:p w:rsidR="00C4190F" w:rsidRPr="000A6E0D" w:rsidRDefault="00C4190F" w:rsidP="00C16846">
            <w:pPr>
              <w:rPr>
                <w:rFonts w:cs="Arial"/>
                <w:szCs w:val="22"/>
              </w:rPr>
            </w:pP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6898"/>
        <w:gridCol w:w="236"/>
      </w:tblGrid>
      <w:tr w:rsidR="00433677" w:rsidRPr="00494B60" w:rsidTr="0006511F">
        <w:tc>
          <w:tcPr>
            <w:tcW w:w="675" w:type="dxa"/>
          </w:tcPr>
          <w:p w:rsidR="00433677" w:rsidRPr="00494B60" w:rsidRDefault="00433677" w:rsidP="00FD5137">
            <w:pPr>
              <w:rPr>
                <w:rFonts w:cs="Arial"/>
                <w:b/>
                <w:sz w:val="22"/>
                <w:szCs w:val="22"/>
              </w:rPr>
            </w:pPr>
          </w:p>
        </w:tc>
        <w:tc>
          <w:tcPr>
            <w:tcW w:w="6898" w:type="dxa"/>
            <w:shd w:val="clear" w:color="auto" w:fill="auto"/>
          </w:tcPr>
          <w:p w:rsidR="00433677" w:rsidRPr="00494B60" w:rsidRDefault="00433677" w:rsidP="00FD5137">
            <w:pPr>
              <w:rPr>
                <w:rFonts w:cs="Arial"/>
                <w:sz w:val="22"/>
                <w:szCs w:val="22"/>
              </w:rPr>
            </w:pPr>
            <w:r w:rsidRPr="00494B60">
              <w:rPr>
                <w:rFonts w:cs="Arial"/>
                <w:b/>
                <w:sz w:val="22"/>
                <w:szCs w:val="22"/>
              </w:rPr>
              <w:t>Zhotovitel:</w:t>
            </w:r>
            <w:r w:rsidR="0006511F">
              <w:rPr>
                <w:rFonts w:cs="Arial"/>
                <w:b/>
                <w:sz w:val="22"/>
                <w:szCs w:val="22"/>
              </w:rPr>
              <w:t xml:space="preserve"> Děčínský stavební podnik s.r.o.</w:t>
            </w:r>
          </w:p>
        </w:tc>
        <w:tc>
          <w:tcPr>
            <w:tcW w:w="236" w:type="dxa"/>
            <w:shd w:val="clear" w:color="auto" w:fill="auto"/>
          </w:tcPr>
          <w:p w:rsidR="00433677" w:rsidRPr="00BC5B6F" w:rsidRDefault="00433677" w:rsidP="00FD5137">
            <w:pPr>
              <w:rPr>
                <w:rFonts w:cs="Arial"/>
                <w:sz w:val="22"/>
                <w:szCs w:val="22"/>
              </w:rPr>
            </w:pPr>
          </w:p>
        </w:tc>
      </w:tr>
      <w:tr w:rsidR="00433677" w:rsidRPr="00494B60" w:rsidTr="0006511F">
        <w:tc>
          <w:tcPr>
            <w:tcW w:w="675" w:type="dxa"/>
          </w:tcPr>
          <w:p w:rsidR="00433677" w:rsidRPr="00494B60" w:rsidRDefault="00433677" w:rsidP="00FD5137">
            <w:pPr>
              <w:rPr>
                <w:rFonts w:cs="Arial"/>
                <w:sz w:val="22"/>
                <w:szCs w:val="22"/>
              </w:rPr>
            </w:pPr>
          </w:p>
        </w:tc>
        <w:tc>
          <w:tcPr>
            <w:tcW w:w="6898" w:type="dxa"/>
            <w:shd w:val="clear" w:color="auto" w:fill="auto"/>
          </w:tcPr>
          <w:p w:rsidR="00433677" w:rsidRPr="00494B60" w:rsidRDefault="00433677" w:rsidP="00FD5137">
            <w:pPr>
              <w:rPr>
                <w:rFonts w:cs="Arial"/>
                <w:sz w:val="22"/>
                <w:szCs w:val="22"/>
              </w:rPr>
            </w:pPr>
            <w:r w:rsidRPr="00494B60">
              <w:rPr>
                <w:rFonts w:cs="Arial"/>
                <w:sz w:val="22"/>
                <w:szCs w:val="22"/>
              </w:rPr>
              <w:t>Sídlo:</w:t>
            </w:r>
            <w:r w:rsidR="0006511F">
              <w:rPr>
                <w:rFonts w:cs="Arial"/>
                <w:sz w:val="22"/>
                <w:szCs w:val="22"/>
              </w:rPr>
              <w:t xml:space="preserve"> </w:t>
            </w:r>
            <w:proofErr w:type="spellStart"/>
            <w:r w:rsidR="0006511F">
              <w:rPr>
                <w:rFonts w:cs="Arial"/>
                <w:sz w:val="22"/>
                <w:szCs w:val="22"/>
              </w:rPr>
              <w:t>Folknářská</w:t>
            </w:r>
            <w:proofErr w:type="spellEnd"/>
            <w:r w:rsidR="0006511F">
              <w:rPr>
                <w:rFonts w:cs="Arial"/>
                <w:sz w:val="22"/>
                <w:szCs w:val="22"/>
              </w:rPr>
              <w:t xml:space="preserve"> 1246/21, 405 02 Děčín 2</w:t>
            </w:r>
          </w:p>
        </w:tc>
        <w:tc>
          <w:tcPr>
            <w:tcW w:w="236" w:type="dxa"/>
            <w:shd w:val="clear" w:color="auto" w:fill="auto"/>
          </w:tcPr>
          <w:p w:rsidR="00433677" w:rsidRPr="00BC5B6F" w:rsidRDefault="00433677" w:rsidP="00FD5137">
            <w:pPr>
              <w:rPr>
                <w:rFonts w:cs="Arial"/>
                <w:sz w:val="22"/>
                <w:szCs w:val="22"/>
              </w:rPr>
            </w:pPr>
          </w:p>
        </w:tc>
      </w:tr>
      <w:tr w:rsidR="00433677" w:rsidRPr="00494B60" w:rsidTr="0006511F">
        <w:tc>
          <w:tcPr>
            <w:tcW w:w="675" w:type="dxa"/>
          </w:tcPr>
          <w:p w:rsidR="00433677" w:rsidRPr="00494B60" w:rsidRDefault="00433677" w:rsidP="00FD5137">
            <w:pPr>
              <w:rPr>
                <w:rFonts w:cs="Arial"/>
                <w:sz w:val="22"/>
                <w:szCs w:val="22"/>
              </w:rPr>
            </w:pPr>
          </w:p>
        </w:tc>
        <w:tc>
          <w:tcPr>
            <w:tcW w:w="6898" w:type="dxa"/>
            <w:shd w:val="clear" w:color="auto" w:fill="auto"/>
          </w:tcPr>
          <w:p w:rsidR="00433677" w:rsidRPr="00494B60" w:rsidRDefault="0006511F" w:rsidP="00FD5137">
            <w:pPr>
              <w:rPr>
                <w:rFonts w:cs="Arial"/>
                <w:sz w:val="22"/>
                <w:szCs w:val="22"/>
              </w:rPr>
            </w:pPr>
            <w:r>
              <w:rPr>
                <w:rFonts w:cs="Arial"/>
                <w:sz w:val="22"/>
                <w:szCs w:val="22"/>
              </w:rPr>
              <w:t>Zastoupen pro věci smluvní</w:t>
            </w:r>
            <w:r w:rsidR="00433677" w:rsidRPr="00494B60">
              <w:rPr>
                <w:rFonts w:cs="Arial"/>
                <w:sz w:val="22"/>
                <w:szCs w:val="22"/>
              </w:rPr>
              <w:t>:</w:t>
            </w:r>
            <w:r>
              <w:rPr>
                <w:rFonts w:cs="Arial"/>
                <w:sz w:val="22"/>
                <w:szCs w:val="22"/>
              </w:rPr>
              <w:t xml:space="preserve"> Aleš Adam - jednatel</w:t>
            </w:r>
          </w:p>
        </w:tc>
        <w:tc>
          <w:tcPr>
            <w:tcW w:w="236" w:type="dxa"/>
            <w:shd w:val="clear" w:color="auto" w:fill="auto"/>
          </w:tcPr>
          <w:p w:rsidR="00433677" w:rsidRPr="00BC5B6F" w:rsidRDefault="00433677" w:rsidP="00FD5137">
            <w:pPr>
              <w:rPr>
                <w:rFonts w:cs="Arial"/>
                <w:sz w:val="22"/>
                <w:szCs w:val="22"/>
              </w:rPr>
            </w:pPr>
          </w:p>
        </w:tc>
      </w:tr>
      <w:tr w:rsidR="00433677" w:rsidRPr="00494B60" w:rsidTr="0006511F">
        <w:tc>
          <w:tcPr>
            <w:tcW w:w="675" w:type="dxa"/>
          </w:tcPr>
          <w:p w:rsidR="00433677" w:rsidRPr="00494B60" w:rsidRDefault="00433677" w:rsidP="00FD5137">
            <w:pPr>
              <w:rPr>
                <w:rFonts w:cs="Arial"/>
                <w:sz w:val="22"/>
                <w:szCs w:val="22"/>
              </w:rPr>
            </w:pPr>
          </w:p>
        </w:tc>
        <w:tc>
          <w:tcPr>
            <w:tcW w:w="6898" w:type="dxa"/>
            <w:shd w:val="clear" w:color="auto" w:fill="auto"/>
          </w:tcPr>
          <w:p w:rsidR="00433677" w:rsidRPr="00494B60" w:rsidRDefault="00433677" w:rsidP="00FD5137">
            <w:pPr>
              <w:rPr>
                <w:rFonts w:cs="Arial"/>
                <w:sz w:val="22"/>
                <w:szCs w:val="22"/>
              </w:rPr>
            </w:pPr>
            <w:r w:rsidRPr="00494B60">
              <w:rPr>
                <w:rFonts w:cs="Arial"/>
                <w:sz w:val="22"/>
                <w:szCs w:val="22"/>
              </w:rPr>
              <w:t>IČO:</w:t>
            </w:r>
            <w:r w:rsidR="0006511F">
              <w:rPr>
                <w:rFonts w:cs="Arial"/>
                <w:sz w:val="22"/>
                <w:szCs w:val="22"/>
              </w:rPr>
              <w:t xml:space="preserve"> 47781483</w:t>
            </w:r>
          </w:p>
        </w:tc>
        <w:tc>
          <w:tcPr>
            <w:tcW w:w="236" w:type="dxa"/>
            <w:shd w:val="clear" w:color="auto" w:fill="auto"/>
          </w:tcPr>
          <w:p w:rsidR="00433677" w:rsidRPr="00BC5B6F" w:rsidRDefault="00433677" w:rsidP="00FD5137">
            <w:pPr>
              <w:rPr>
                <w:rFonts w:cs="Arial"/>
                <w:sz w:val="22"/>
                <w:szCs w:val="22"/>
              </w:rPr>
            </w:pPr>
          </w:p>
        </w:tc>
      </w:tr>
      <w:tr w:rsidR="00433677" w:rsidRPr="00494B60" w:rsidTr="0006511F">
        <w:tc>
          <w:tcPr>
            <w:tcW w:w="675" w:type="dxa"/>
          </w:tcPr>
          <w:p w:rsidR="00433677" w:rsidRPr="00494B60" w:rsidRDefault="00433677" w:rsidP="00FD5137">
            <w:pPr>
              <w:rPr>
                <w:rFonts w:cs="Arial"/>
                <w:sz w:val="22"/>
                <w:szCs w:val="22"/>
              </w:rPr>
            </w:pPr>
          </w:p>
        </w:tc>
        <w:tc>
          <w:tcPr>
            <w:tcW w:w="6898" w:type="dxa"/>
            <w:shd w:val="clear" w:color="auto" w:fill="auto"/>
          </w:tcPr>
          <w:p w:rsidR="00433677" w:rsidRPr="00494B60" w:rsidRDefault="00433677" w:rsidP="00FD5137">
            <w:pPr>
              <w:rPr>
                <w:rFonts w:cs="Arial"/>
                <w:sz w:val="22"/>
                <w:szCs w:val="22"/>
              </w:rPr>
            </w:pPr>
            <w:r w:rsidRPr="00494B60">
              <w:rPr>
                <w:rFonts w:cs="Arial"/>
                <w:sz w:val="22"/>
                <w:szCs w:val="22"/>
              </w:rPr>
              <w:t>DIČ:</w:t>
            </w:r>
            <w:r w:rsidR="0006511F">
              <w:rPr>
                <w:rFonts w:cs="Arial"/>
                <w:sz w:val="22"/>
                <w:szCs w:val="22"/>
              </w:rPr>
              <w:t xml:space="preserve"> CZ47781483</w:t>
            </w:r>
          </w:p>
        </w:tc>
        <w:tc>
          <w:tcPr>
            <w:tcW w:w="236" w:type="dxa"/>
            <w:shd w:val="clear" w:color="auto" w:fill="auto"/>
          </w:tcPr>
          <w:p w:rsidR="00433677" w:rsidRPr="00BC5B6F" w:rsidRDefault="00433677" w:rsidP="00FD5137">
            <w:pPr>
              <w:rPr>
                <w:rFonts w:cs="Arial"/>
                <w:sz w:val="22"/>
                <w:szCs w:val="22"/>
              </w:rPr>
            </w:pPr>
          </w:p>
        </w:tc>
      </w:tr>
      <w:tr w:rsidR="00433677" w:rsidRPr="00494B60" w:rsidTr="0006511F">
        <w:tc>
          <w:tcPr>
            <w:tcW w:w="675" w:type="dxa"/>
          </w:tcPr>
          <w:p w:rsidR="00433677" w:rsidRPr="00494B60" w:rsidRDefault="00433677" w:rsidP="00FD5137">
            <w:pPr>
              <w:rPr>
                <w:rFonts w:cs="Arial"/>
                <w:sz w:val="22"/>
                <w:szCs w:val="22"/>
              </w:rPr>
            </w:pPr>
          </w:p>
        </w:tc>
        <w:tc>
          <w:tcPr>
            <w:tcW w:w="6898" w:type="dxa"/>
            <w:shd w:val="clear" w:color="auto" w:fill="auto"/>
          </w:tcPr>
          <w:p w:rsidR="00433677" w:rsidRPr="00494B60" w:rsidRDefault="00433677" w:rsidP="006B0016">
            <w:pPr>
              <w:rPr>
                <w:rFonts w:cs="Arial"/>
                <w:sz w:val="22"/>
                <w:szCs w:val="22"/>
              </w:rPr>
            </w:pPr>
            <w:r w:rsidRPr="00494B60">
              <w:rPr>
                <w:rFonts w:cs="Arial"/>
                <w:sz w:val="22"/>
                <w:szCs w:val="22"/>
              </w:rPr>
              <w:t>Číslo účtu:</w:t>
            </w:r>
            <w:r w:rsidR="0006511F">
              <w:rPr>
                <w:rFonts w:cs="Arial"/>
                <w:sz w:val="22"/>
                <w:szCs w:val="22"/>
              </w:rPr>
              <w:t xml:space="preserve"> </w:t>
            </w:r>
            <w:bookmarkStart w:id="0" w:name="_GoBack"/>
            <w:bookmarkEnd w:id="0"/>
          </w:p>
        </w:tc>
        <w:tc>
          <w:tcPr>
            <w:tcW w:w="236" w:type="dxa"/>
            <w:shd w:val="clear" w:color="auto" w:fill="auto"/>
          </w:tcPr>
          <w:p w:rsidR="00433677" w:rsidRPr="00BC5B6F"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350C1B" w:rsidRPr="004675C6" w:rsidRDefault="007762CE" w:rsidP="00BE27DB">
      <w:pPr>
        <w:widowControl w:val="0"/>
        <w:autoSpaceDE w:val="0"/>
        <w:autoSpaceDN w:val="0"/>
        <w:adjustRightInd w:val="0"/>
        <w:jc w:val="both"/>
        <w:outlineLvl w:val="0"/>
        <w:rPr>
          <w:rFonts w:cs="Arial"/>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BF12AC" w:rsidRPr="00BF12AC">
        <w:rPr>
          <w:rFonts w:ascii="Calibri" w:hAnsi="Calibri"/>
          <w:b/>
          <w:szCs w:val="24"/>
          <w:lang w:eastAsia="en-US"/>
        </w:rPr>
        <w:t>Odstranění havarijního stavu dešťové kanalizace ve školním dvoře</w:t>
      </w:r>
      <w:r w:rsidR="00067CC9" w:rsidRPr="00272EF2">
        <w:rPr>
          <w:b/>
        </w:rPr>
        <w:t>“</w:t>
      </w:r>
      <w:r w:rsidR="00067CC9">
        <w:rPr>
          <w:b/>
        </w:rPr>
        <w:t>.</w:t>
      </w:r>
      <w:r w:rsidR="0095697C" w:rsidRPr="00A2058D">
        <w:rPr>
          <w:rFonts w:cs="Arial"/>
          <w:b/>
          <w:sz w:val="22"/>
          <w:szCs w:val="22"/>
        </w:rPr>
        <w:t xml:space="preserve"> </w:t>
      </w:r>
      <w:r w:rsidR="004675C6" w:rsidRPr="004675C6">
        <w:rPr>
          <w:rFonts w:cs="Arial"/>
          <w:sz w:val="22"/>
          <w:szCs w:val="22"/>
        </w:rPr>
        <w:t>Jedná se o</w:t>
      </w:r>
      <w:r w:rsidR="004675C6">
        <w:rPr>
          <w:rFonts w:cs="Arial"/>
          <w:sz w:val="22"/>
          <w:szCs w:val="22"/>
        </w:rPr>
        <w:t xml:space="preserve"> odkrytí kanalizační</w:t>
      </w:r>
      <w:r w:rsidR="009332EE">
        <w:rPr>
          <w:rFonts w:cs="Arial"/>
          <w:sz w:val="22"/>
          <w:szCs w:val="22"/>
        </w:rPr>
        <w:t>ho potrubí, zjištění příčiny prů</w:t>
      </w:r>
      <w:r w:rsidR="004675C6">
        <w:rPr>
          <w:rFonts w:cs="Arial"/>
          <w:sz w:val="22"/>
          <w:szCs w:val="22"/>
        </w:rPr>
        <w:t>saku</w:t>
      </w:r>
      <w:r w:rsidR="009332EE">
        <w:rPr>
          <w:rFonts w:cs="Arial"/>
          <w:sz w:val="22"/>
          <w:szCs w:val="22"/>
        </w:rPr>
        <w:t xml:space="preserve"> vody a výměnu poškozené části </w:t>
      </w:r>
      <w:r w:rsidR="004675C6">
        <w:rPr>
          <w:rFonts w:cs="Arial"/>
          <w:sz w:val="22"/>
          <w:szCs w:val="22"/>
        </w:rPr>
        <w:t>potrubí a kanalizační šachty, izolaci stěny nopovou fólií a další přídavné práce.</w:t>
      </w:r>
    </w:p>
    <w:p w:rsidR="0095697C" w:rsidRPr="00CE1034" w:rsidRDefault="0095697C" w:rsidP="0095697C">
      <w:pPr>
        <w:pStyle w:val="Zkladntext"/>
        <w:rPr>
          <w:rFonts w:ascii="Arial" w:hAnsi="Arial" w:cs="Arial"/>
          <w:sz w:val="22"/>
          <w:szCs w:val="22"/>
        </w:rPr>
      </w:pPr>
    </w:p>
    <w:p w:rsidR="00DC4245" w:rsidRPr="00CF691C" w:rsidRDefault="00DC4245" w:rsidP="00B81E09">
      <w:pPr>
        <w:ind w:left="360"/>
        <w:jc w:val="both"/>
        <w:rPr>
          <w:rFonts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C07C8">
      <w:pPr>
        <w:pStyle w:val="Zkladntext"/>
        <w:numPr>
          <w:ilvl w:val="0"/>
          <w:numId w:val="14"/>
        </w:numPr>
        <w:jc w:val="left"/>
        <w:rPr>
          <w:rFonts w:ascii="Arial" w:hAnsi="Arial" w:cs="Arial"/>
          <w:sz w:val="22"/>
          <w:szCs w:val="22"/>
        </w:rPr>
      </w:pPr>
      <w:r w:rsidRPr="00CF691C">
        <w:rPr>
          <w:rFonts w:ascii="Arial" w:hAnsi="Arial" w:cs="Arial"/>
          <w:sz w:val="22"/>
          <w:szCs w:val="22"/>
        </w:rPr>
        <w:lastRenderedPageBreak/>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270B5A" w:rsidRPr="00540F9F" w:rsidRDefault="00270B5A" w:rsidP="00270B5A">
      <w:pPr>
        <w:rPr>
          <w:rFonts w:cs="Arial"/>
          <w:sz w:val="22"/>
          <w:szCs w:val="22"/>
        </w:rPr>
      </w:pPr>
      <w:r w:rsidRPr="00540F9F">
        <w:rPr>
          <w:rFonts w:cs="Arial"/>
          <w:bCs/>
          <w:sz w:val="22"/>
          <w:szCs w:val="22"/>
        </w:rPr>
        <w:t>Základní škola Děčín III, Březová 369/25, příspěvková organizace – budova</w:t>
      </w:r>
      <w:r>
        <w:rPr>
          <w:rFonts w:cs="Arial"/>
          <w:bCs/>
          <w:sz w:val="22"/>
          <w:szCs w:val="22"/>
        </w:rPr>
        <w:t xml:space="preserve"> ZŠ a ŠJ</w:t>
      </w:r>
      <w:r w:rsidRPr="00540F9F">
        <w:rPr>
          <w:rFonts w:cs="Arial"/>
          <w:bCs/>
          <w:sz w:val="22"/>
          <w:szCs w:val="22"/>
        </w:rPr>
        <w:t>, vlastnické právo STATUTÁRNÍ MĚSTO DĚČÍN, Mírové nám. 1175/5, Děčín IV-Podmokly, 40502 Děčín, objekt občanské vybavenosti</w:t>
      </w:r>
      <w:r>
        <w:rPr>
          <w:rFonts w:cs="Arial"/>
          <w:bCs/>
          <w:sz w:val="22"/>
          <w:szCs w:val="22"/>
        </w:rPr>
        <w:t>.</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EB6BEB" w:rsidRPr="00270B5A" w:rsidRDefault="003C0A6B" w:rsidP="00EB6BEB">
      <w:pPr>
        <w:pStyle w:val="Odstavecseseznamem"/>
        <w:numPr>
          <w:ilvl w:val="6"/>
          <w:numId w:val="45"/>
        </w:numPr>
        <w:ind w:left="426"/>
        <w:contextualSpacing/>
        <w:jc w:val="both"/>
        <w:rPr>
          <w:color w:val="FF0000"/>
          <w:sz w:val="22"/>
          <w:szCs w:val="22"/>
        </w:rPr>
      </w:pPr>
      <w:bookmarkStart w:id="1" w:name="cl_3_odst_1"/>
      <w:r w:rsidRPr="00270B5A">
        <w:rPr>
          <w:sz w:val="22"/>
          <w:szCs w:val="22"/>
        </w:rPr>
        <w:t xml:space="preserve">Zhotovitel se zavazuje provést dílo, tj. </w:t>
      </w:r>
      <w:r w:rsidR="0010534C" w:rsidRPr="00270B5A">
        <w:rPr>
          <w:sz w:val="22"/>
          <w:szCs w:val="22"/>
        </w:rPr>
        <w:t xml:space="preserve">dokončené dílo bez </w:t>
      </w:r>
      <w:r w:rsidRPr="00270B5A">
        <w:rPr>
          <w:sz w:val="22"/>
          <w:szCs w:val="22"/>
        </w:rPr>
        <w:t xml:space="preserve">jakýchkoli </w:t>
      </w:r>
      <w:r w:rsidR="0010534C" w:rsidRPr="00270B5A">
        <w:rPr>
          <w:sz w:val="22"/>
          <w:szCs w:val="22"/>
        </w:rPr>
        <w:t>vad a nedodělků předa</w:t>
      </w:r>
      <w:r w:rsidRPr="00270B5A">
        <w:rPr>
          <w:sz w:val="22"/>
          <w:szCs w:val="22"/>
        </w:rPr>
        <w:t>t</w:t>
      </w:r>
      <w:r w:rsidR="0010534C" w:rsidRPr="00270B5A">
        <w:rPr>
          <w:sz w:val="22"/>
          <w:szCs w:val="22"/>
        </w:rPr>
        <w:t xml:space="preserve"> písemně protokolárně obj</w:t>
      </w:r>
      <w:bookmarkEnd w:id="1"/>
      <w:r w:rsidR="0010534C" w:rsidRPr="00270B5A">
        <w:rPr>
          <w:sz w:val="22"/>
          <w:szCs w:val="22"/>
        </w:rPr>
        <w:t xml:space="preserve">ednateli </w:t>
      </w:r>
      <w:r w:rsidRPr="00270B5A">
        <w:rPr>
          <w:sz w:val="22"/>
          <w:szCs w:val="22"/>
        </w:rPr>
        <w:t>do</w:t>
      </w:r>
      <w:r w:rsidR="0010534C" w:rsidRPr="00270B5A">
        <w:rPr>
          <w:sz w:val="22"/>
          <w:szCs w:val="22"/>
        </w:rPr>
        <w:t xml:space="preserve"> </w:t>
      </w:r>
      <w:r w:rsidR="0006511F">
        <w:rPr>
          <w:b/>
          <w:sz w:val="22"/>
          <w:szCs w:val="22"/>
        </w:rPr>
        <w:t>30</w:t>
      </w:r>
      <w:r w:rsidR="00270B5A" w:rsidRPr="00270B5A">
        <w:rPr>
          <w:b/>
          <w:sz w:val="22"/>
          <w:szCs w:val="22"/>
        </w:rPr>
        <w:t>.</w:t>
      </w:r>
      <w:r w:rsidR="00D06146">
        <w:rPr>
          <w:b/>
          <w:sz w:val="22"/>
          <w:szCs w:val="22"/>
        </w:rPr>
        <w:t xml:space="preserve"> </w:t>
      </w:r>
      <w:r w:rsidR="0006511F">
        <w:rPr>
          <w:b/>
          <w:sz w:val="22"/>
          <w:szCs w:val="22"/>
        </w:rPr>
        <w:t>6</w:t>
      </w:r>
      <w:r w:rsidR="00397A33" w:rsidRPr="00270B5A">
        <w:rPr>
          <w:b/>
          <w:sz w:val="22"/>
          <w:szCs w:val="22"/>
        </w:rPr>
        <w:t>.</w:t>
      </w:r>
      <w:r w:rsidR="00D06146">
        <w:rPr>
          <w:b/>
          <w:sz w:val="22"/>
          <w:szCs w:val="22"/>
        </w:rPr>
        <w:t xml:space="preserve"> </w:t>
      </w:r>
      <w:r w:rsidR="00397A33" w:rsidRPr="00270B5A">
        <w:rPr>
          <w:b/>
          <w:sz w:val="22"/>
          <w:szCs w:val="22"/>
        </w:rPr>
        <w:t>201</w:t>
      </w:r>
      <w:r w:rsidR="002C07C8" w:rsidRPr="00270B5A">
        <w:rPr>
          <w:b/>
          <w:sz w:val="22"/>
          <w:szCs w:val="22"/>
        </w:rPr>
        <w:t>7</w:t>
      </w:r>
      <w:r w:rsidR="00397A33" w:rsidRPr="00270B5A">
        <w:rPr>
          <w:sz w:val="22"/>
          <w:szCs w:val="22"/>
        </w:rPr>
        <w:t>.</w:t>
      </w: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w:t>
      </w:r>
      <w:r w:rsidR="002C07C8">
        <w:rPr>
          <w:rFonts w:cs="Arial"/>
          <w:sz w:val="22"/>
          <w:szCs w:val="22"/>
        </w:rPr>
        <w:t xml:space="preserve"> </w:t>
      </w:r>
      <w:r w:rsidR="0047619B" w:rsidRPr="0047619B">
        <w:rPr>
          <w:rFonts w:cs="Arial"/>
          <w:sz w:val="22"/>
          <w:szCs w:val="22"/>
        </w:rPr>
        <w:t xml:space="preserve">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lastRenderedPageBreak/>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BF12AC" w:rsidP="00962A4A">
      <w:pPr>
        <w:pStyle w:val="Zkladntext"/>
        <w:jc w:val="center"/>
        <w:rPr>
          <w:rFonts w:ascii="Arial" w:hAnsi="Arial" w:cs="Arial"/>
          <w:b/>
          <w:sz w:val="22"/>
          <w:szCs w:val="22"/>
        </w:rPr>
      </w:pPr>
      <w:r>
        <w:rPr>
          <w:rFonts w:ascii="Arial" w:hAnsi="Arial" w:cs="Arial"/>
          <w:b/>
          <w:sz w:val="22"/>
          <w:szCs w:val="22"/>
        </w:rPr>
        <w:t>148 314</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w:t>
      </w:r>
      <w:r>
        <w:rPr>
          <w:rFonts w:ascii="Arial" w:hAnsi="Arial" w:cs="Arial"/>
          <w:b/>
          <w:sz w:val="22"/>
          <w:szCs w:val="22"/>
        </w:rPr>
        <w:t>bez DPH, 179 460</w:t>
      </w:r>
      <w:r w:rsidR="002C07C8">
        <w:rPr>
          <w:rFonts w:ascii="Arial" w:hAnsi="Arial" w:cs="Arial"/>
          <w:b/>
          <w:sz w:val="22"/>
          <w:szCs w:val="22"/>
        </w:rPr>
        <w:t xml:space="preserve"> Kč s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spellStart"/>
      <w:r w:rsidR="00BF12AC">
        <w:rPr>
          <w:rFonts w:ascii="Arial" w:hAnsi="Arial" w:cs="Arial"/>
          <w:b/>
          <w:sz w:val="22"/>
          <w:szCs w:val="22"/>
        </w:rPr>
        <w:t>jednostosedmdesátdevěttisícčtyřistašedesát</w:t>
      </w:r>
      <w:proofErr w:type="spellEnd"/>
      <w:r w:rsidR="002C07C8">
        <w:rPr>
          <w:rFonts w:ascii="Arial" w:hAnsi="Arial" w:cs="Arial"/>
          <w:b/>
          <w:sz w:val="22"/>
          <w:szCs w:val="22"/>
        </w:rPr>
        <w:t xml:space="preserve">  </w:t>
      </w:r>
      <w:r w:rsidR="00ED177A">
        <w:rPr>
          <w:rFonts w:ascii="Arial" w:hAnsi="Arial" w:cs="Arial"/>
          <w:b/>
          <w:sz w:val="22"/>
          <w:szCs w:val="22"/>
        </w:rPr>
        <w:t>korun</w:t>
      </w:r>
      <w:r w:rsidRPr="00CF691C">
        <w:rPr>
          <w:rFonts w:ascii="Arial" w:hAnsi="Arial" w:cs="Arial"/>
          <w:b/>
          <w:sz w:val="22"/>
          <w:szCs w:val="22"/>
        </w:rPr>
        <w:t xml:space="preserve"> českých</w:t>
      </w:r>
      <w:r w:rsidR="00BC5B6F">
        <w:rPr>
          <w:rFonts w:ascii="Arial" w:hAnsi="Arial" w:cs="Arial"/>
          <w:b/>
          <w:sz w:val="22"/>
          <w:szCs w:val="22"/>
        </w:rPr>
        <w:t xml:space="preserve"> </w:t>
      </w:r>
      <w:r w:rsidR="002C07C8">
        <w:rPr>
          <w:rFonts w:ascii="Arial" w:hAnsi="Arial" w:cs="Arial"/>
          <w:b/>
          <w:sz w:val="22"/>
          <w:szCs w:val="22"/>
        </w:rPr>
        <w:t>s</w:t>
      </w:r>
      <w:r w:rsidR="00BC5B6F">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0006511F">
        <w:rPr>
          <w:rFonts w:ascii="Arial" w:hAnsi="Arial" w:cs="Arial"/>
          <w:iCs/>
          <w:sz w:val="22"/>
          <w:szCs w:val="22"/>
        </w:rPr>
        <w:t xml:space="preserve"> technickou specifikaci </w:t>
      </w:r>
      <w:r w:rsidRPr="00164443">
        <w:rPr>
          <w:rFonts w:ascii="Arial" w:hAnsi="Arial" w:cs="Arial"/>
          <w:iCs/>
          <w:sz w:val="22"/>
          <w:szCs w:val="22"/>
        </w:rPr>
        <w:t xml:space="preserve">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BF12AC" w:rsidRDefault="00BF12AC" w:rsidP="00397A33">
      <w:pPr>
        <w:pStyle w:val="Zkladntextodsazen"/>
        <w:ind w:left="0" w:firstLine="0"/>
        <w:jc w:val="center"/>
        <w:rPr>
          <w:rFonts w:cs="Arial"/>
          <w:b/>
          <w:sz w:val="22"/>
          <w:szCs w:val="22"/>
        </w:rPr>
      </w:pPr>
    </w:p>
    <w:p w:rsidR="00BF12AC" w:rsidRDefault="00BF12AC" w:rsidP="00397A33">
      <w:pPr>
        <w:pStyle w:val="Zkladntextodsazen"/>
        <w:ind w:left="0" w:firstLine="0"/>
        <w:jc w:val="center"/>
        <w:rPr>
          <w:rFonts w:cs="Arial"/>
          <w:b/>
          <w:sz w:val="22"/>
          <w:szCs w:val="22"/>
        </w:rPr>
      </w:pPr>
    </w:p>
    <w:p w:rsidR="00BF12AC" w:rsidRDefault="00BF12AC" w:rsidP="00397A33">
      <w:pPr>
        <w:pStyle w:val="Zkladntextodsazen"/>
        <w:ind w:left="0" w:firstLine="0"/>
        <w:jc w:val="center"/>
        <w:rPr>
          <w:rFonts w:cs="Arial"/>
          <w:b/>
          <w:sz w:val="22"/>
          <w:szCs w:val="22"/>
        </w:rPr>
      </w:pPr>
    </w:p>
    <w:p w:rsidR="00BF12AC" w:rsidRDefault="00BF12AC" w:rsidP="00397A33">
      <w:pPr>
        <w:pStyle w:val="Zkladntextodsazen"/>
        <w:ind w:left="0" w:firstLine="0"/>
        <w:jc w:val="center"/>
        <w:rPr>
          <w:rFonts w:cs="Arial"/>
          <w:b/>
          <w:sz w:val="22"/>
          <w:szCs w:val="22"/>
        </w:rPr>
      </w:pPr>
    </w:p>
    <w:p w:rsidR="00962A4A" w:rsidRPr="00A64E76" w:rsidRDefault="00962A4A" w:rsidP="00397A33">
      <w:pPr>
        <w:pStyle w:val="Zkladntextodsazen"/>
        <w:ind w:left="0" w:firstLine="0"/>
        <w:jc w:val="center"/>
        <w:rPr>
          <w:rFonts w:cs="Arial"/>
          <w:b/>
          <w:sz w:val="22"/>
          <w:szCs w:val="22"/>
        </w:rPr>
      </w:pPr>
      <w:r w:rsidRPr="00A64E76">
        <w:rPr>
          <w:rFonts w:cs="Arial"/>
          <w:b/>
          <w:sz w:val="22"/>
          <w:szCs w:val="22"/>
        </w:rPr>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lastRenderedPageBreak/>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Default="00F4102C" w:rsidP="00F4102C">
      <w:pPr>
        <w:jc w:val="both"/>
        <w:rPr>
          <w:rFonts w:cs="Arial"/>
          <w:sz w:val="22"/>
          <w:szCs w:val="22"/>
        </w:rPr>
      </w:pPr>
    </w:p>
    <w:p w:rsidR="00BF12AC" w:rsidRPr="00CF691C" w:rsidRDefault="00BF12A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 xml:space="preserve">Práce bude realizována dle konkrétních potřeb zadavatele v rozsahu přílohy č. 2) specifikace VZ. </w:t>
      </w:r>
      <w:r>
        <w:rPr>
          <w:rFonts w:ascii="Arial" w:hAnsi="Arial" w:cs="Arial"/>
          <w:sz w:val="22"/>
          <w:szCs w:val="22"/>
        </w:rPr>
        <w:t>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BF12AC" w:rsidRPr="00BF12AC" w:rsidRDefault="00962A4A" w:rsidP="00BF12AC">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w:t>
      </w:r>
      <w:r w:rsidRPr="00CF691C">
        <w:rPr>
          <w:rFonts w:cs="Arial"/>
          <w:sz w:val="22"/>
          <w:szCs w:val="22"/>
        </w:rPr>
        <w:lastRenderedPageBreak/>
        <w:t xml:space="preserve">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7609A3">
        <w:rPr>
          <w:rFonts w:cs="Arial"/>
          <w:b/>
          <w:sz w:val="22"/>
          <w:szCs w:val="22"/>
        </w:rPr>
        <w:t>24</w:t>
      </w:r>
      <w:r w:rsidR="00F42E0D" w:rsidRPr="00CF691C">
        <w:rPr>
          <w:rFonts w:cs="Arial"/>
          <w:sz w:val="22"/>
          <w:szCs w:val="22"/>
        </w:rPr>
        <w:t xml:space="preserve"> </w:t>
      </w:r>
      <w:r w:rsidRPr="00CF691C">
        <w:rPr>
          <w:rFonts w:cs="Arial"/>
          <w:sz w:val="22"/>
          <w:szCs w:val="22"/>
        </w:rPr>
        <w:t>měsíců</w:t>
      </w:r>
      <w:r w:rsidR="007609A3">
        <w:rPr>
          <w:rFonts w:cs="Arial"/>
          <w:sz w:val="22"/>
          <w:szCs w:val="22"/>
        </w:rPr>
        <w:t xml:space="preserve"> </w:t>
      </w:r>
      <w:r w:rsidRPr="00CF691C">
        <w:rPr>
          <w:rFonts w:cs="Arial"/>
          <w:sz w:val="22"/>
          <w:szCs w:val="22"/>
        </w:rPr>
        <w:t>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w:t>
      </w:r>
      <w:proofErr w:type="gramStart"/>
      <w:r w:rsidRPr="00CF691C">
        <w:rPr>
          <w:rFonts w:ascii="Arial" w:hAnsi="Arial" w:cs="Arial"/>
          <w:sz w:val="22"/>
          <w:szCs w:val="22"/>
        </w:rPr>
        <w:t>do 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w:t>
      </w:r>
      <w:r w:rsidR="00BB37BE">
        <w:rPr>
          <w:rFonts w:ascii="Arial" w:hAnsi="Arial" w:cs="Arial"/>
          <w:sz w:val="22"/>
          <w:szCs w:val="22"/>
        </w:rPr>
        <w:t xml:space="preserve"> ohrožujících užívání díla do 48</w:t>
      </w:r>
      <w:r w:rsidRPr="00CF691C">
        <w:rPr>
          <w:rFonts w:ascii="Arial" w:hAnsi="Arial" w:cs="Arial"/>
          <w:sz w:val="22"/>
          <w:szCs w:val="22"/>
        </w:rPr>
        <w:t xml:space="preserve">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w:t>
      </w:r>
      <w:r w:rsidRPr="00CF691C">
        <w:rPr>
          <w:rFonts w:cs="Arial"/>
          <w:sz w:val="22"/>
          <w:szCs w:val="22"/>
        </w:rPr>
        <w:lastRenderedPageBreak/>
        <w:t>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w:t>
      </w:r>
      <w:r w:rsidR="00BB37BE">
        <w:rPr>
          <w:rFonts w:cs="Arial"/>
          <w:sz w:val="22"/>
          <w:szCs w:val="22"/>
        </w:rPr>
        <w:t>í jeho užívání, nejpozději do 48</w:t>
      </w:r>
      <w:r w:rsidRPr="00CF691C">
        <w:rPr>
          <w:rFonts w:cs="Arial"/>
          <w:sz w:val="22"/>
          <w:szCs w:val="22"/>
        </w:rPr>
        <w:t xml:space="preserve">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445344" w:rsidP="000A2319">
      <w:pPr>
        <w:spacing w:before="120"/>
        <w:ind w:left="360"/>
        <w:jc w:val="center"/>
        <w:rPr>
          <w:rFonts w:cs="Arial"/>
          <w:b/>
          <w:sz w:val="22"/>
          <w:szCs w:val="22"/>
        </w:rPr>
      </w:pPr>
      <w:r>
        <w:rPr>
          <w:rFonts w:cs="Arial"/>
          <w:b/>
          <w:sz w:val="22"/>
          <w:szCs w:val="22"/>
        </w:rPr>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w:t>
      </w:r>
      <w:proofErr w:type="spellStart"/>
      <w:proofErr w:type="gramStart"/>
      <w:r w:rsidRPr="00195236">
        <w:rPr>
          <w:rFonts w:cs="Arial"/>
          <w:sz w:val="22"/>
          <w:szCs w:val="22"/>
        </w:rPr>
        <w:t>p.a</w:t>
      </w:r>
      <w:proofErr w:type="spellEnd"/>
      <w:r w:rsidRPr="00195236">
        <w:rPr>
          <w:rFonts w:cs="Arial"/>
          <w:sz w:val="22"/>
          <w:szCs w:val="22"/>
        </w:rPr>
        <w:t>.</w:t>
      </w:r>
      <w:proofErr w:type="gram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lastRenderedPageBreak/>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Pr="00270B5A" w:rsidRDefault="00A2058D" w:rsidP="007E4854">
      <w:pPr>
        <w:pStyle w:val="Zkladntext"/>
        <w:numPr>
          <w:ilvl w:val="0"/>
          <w:numId w:val="11"/>
        </w:numPr>
        <w:spacing w:before="120" w:after="120"/>
        <w:ind w:left="426" w:hanging="426"/>
        <w:rPr>
          <w:rFonts w:ascii="Arial" w:hAnsi="Arial" w:cs="Arial"/>
          <w:color w:val="000000"/>
          <w:sz w:val="22"/>
          <w:szCs w:val="22"/>
          <w:lang w:val="x-none"/>
        </w:rPr>
      </w:pPr>
      <w:r w:rsidRPr="00270B5A">
        <w:rPr>
          <w:rFonts w:ascii="Arial" w:hAnsi="Arial" w:cs="Arial"/>
          <w:color w:val="000000"/>
          <w:sz w:val="22"/>
          <w:szCs w:val="22"/>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494B60">
            <w:pPr>
              <w:jc w:val="both"/>
              <w:rPr>
                <w:rFonts w:cs="Arial"/>
                <w:sz w:val="22"/>
                <w:szCs w:val="22"/>
              </w:rPr>
            </w:pPr>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D06146" w:rsidP="00155D38">
            <w:pPr>
              <w:jc w:val="both"/>
              <w:rPr>
                <w:rFonts w:cs="Arial"/>
                <w:sz w:val="22"/>
                <w:szCs w:val="22"/>
              </w:rPr>
            </w:pPr>
            <w:r>
              <w:rPr>
                <w:rFonts w:cs="Arial"/>
                <w:sz w:val="22"/>
                <w:szCs w:val="22"/>
              </w:rPr>
              <w:t>Mgr. Alena Č</w:t>
            </w:r>
            <w:r w:rsidR="00270B5A" w:rsidRPr="00270B5A">
              <w:rPr>
                <w:rFonts w:cs="Arial"/>
                <w:sz w:val="22"/>
                <w:szCs w:val="22"/>
              </w:rPr>
              <w:t>uříková, ředitelka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270B5A">
            <w:pPr>
              <w:ind w:left="426" w:hanging="426"/>
              <w:jc w:val="both"/>
              <w:rPr>
                <w:rFonts w:cs="Arial"/>
                <w:sz w:val="22"/>
                <w:szCs w:val="22"/>
              </w:rPr>
            </w:pPr>
            <w:r w:rsidRPr="00494B60">
              <w:rPr>
                <w:rFonts w:cs="Arial"/>
                <w:sz w:val="22"/>
                <w:szCs w:val="22"/>
              </w:rPr>
              <w:t xml:space="preserve">bude upřesněno </w:t>
            </w: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270B5A">
            <w:pPr>
              <w:ind w:left="426" w:hanging="426"/>
              <w:jc w:val="both"/>
              <w:rPr>
                <w:rFonts w:cs="Arial"/>
                <w:sz w:val="22"/>
                <w:szCs w:val="22"/>
              </w:rPr>
            </w:pPr>
            <w:r w:rsidRPr="00494B60">
              <w:rPr>
                <w:rFonts w:cs="Arial"/>
                <w:sz w:val="22"/>
                <w:szCs w:val="22"/>
              </w:rPr>
              <w:t xml:space="preserve">bude upřesněno </w:t>
            </w: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w:t>
      </w:r>
      <w:r w:rsidR="00C552CC">
        <w:rPr>
          <w:rFonts w:cs="Arial"/>
          <w:b w:val="0"/>
          <w:i w:val="0"/>
          <w:sz w:val="22"/>
          <w:szCs w:val="22"/>
        </w:rPr>
        <w:t>dle</w:t>
      </w:r>
      <w:r w:rsidRPr="00F37746">
        <w:rPr>
          <w:rFonts w:cs="Arial"/>
          <w:b w:val="0"/>
          <w:i w:val="0"/>
          <w:sz w:val="22"/>
          <w:szCs w:val="22"/>
        </w:rPr>
        <w:t xml:space="preserve"> zákona č. 13</w:t>
      </w:r>
      <w:r w:rsidR="00C552CC">
        <w:rPr>
          <w:rFonts w:cs="Arial"/>
          <w:b w:val="0"/>
          <w:i w:val="0"/>
          <w:sz w:val="22"/>
          <w:szCs w:val="22"/>
        </w:rPr>
        <w:t>4/2016</w:t>
      </w:r>
      <w:r w:rsidRPr="00F37746">
        <w:rPr>
          <w:rFonts w:cs="Arial"/>
          <w:b w:val="0"/>
          <w:i w:val="0"/>
          <w:sz w:val="22"/>
          <w:szCs w:val="22"/>
        </w:rPr>
        <w:t xml:space="preserve">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962A4A" w:rsidP="00962A4A">
      <w:pPr>
        <w:jc w:val="center"/>
        <w:rPr>
          <w:rFonts w:cs="Arial"/>
          <w:b/>
          <w:sz w:val="22"/>
          <w:szCs w:val="22"/>
        </w:rPr>
      </w:pPr>
      <w:r w:rsidRPr="00CF691C">
        <w:rPr>
          <w:rFonts w:cs="Arial"/>
          <w:b/>
          <w:sz w:val="22"/>
          <w:szCs w:val="22"/>
        </w:rPr>
        <w:t>XI</w:t>
      </w:r>
      <w:r w:rsidR="00445344">
        <w:rPr>
          <w:rFonts w:cs="Arial"/>
          <w:b/>
          <w:sz w:val="22"/>
          <w:szCs w:val="22"/>
        </w:rPr>
        <w:t>II</w:t>
      </w:r>
      <w:r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C433CC" w:rsidRPr="004675C6" w:rsidRDefault="00962A4A" w:rsidP="004675C6">
      <w:pPr>
        <w:jc w:val="both"/>
        <w:rPr>
          <w:rFonts w:cs="Arial"/>
          <w:sz w:val="22"/>
          <w:szCs w:val="22"/>
        </w:rPr>
      </w:pPr>
      <w:r w:rsidRPr="00CF691C">
        <w:rPr>
          <w:rFonts w:cs="Arial"/>
          <w:sz w:val="22"/>
          <w:szCs w:val="22"/>
        </w:rPr>
        <w:t>V</w:t>
      </w:r>
      <w:r w:rsidR="00D3726F" w:rsidRPr="00CF691C">
        <w:rPr>
          <w:rFonts w:cs="Arial"/>
          <w:sz w:val="22"/>
          <w:szCs w:val="22"/>
        </w:rPr>
        <w:t> Děčíně dne</w:t>
      </w:r>
      <w:r w:rsidR="00A24514">
        <w:rPr>
          <w:rFonts w:cs="Arial"/>
          <w:sz w:val="22"/>
          <w:szCs w:val="22"/>
        </w:rPr>
        <w:t xml:space="preserve"> </w:t>
      </w:r>
      <w:proofErr w:type="gramStart"/>
      <w:r w:rsidR="004675C6">
        <w:rPr>
          <w:rFonts w:cs="Arial"/>
          <w:sz w:val="22"/>
          <w:szCs w:val="22"/>
        </w:rPr>
        <w:t xml:space="preserve">23. 6. </w:t>
      </w:r>
      <w:r w:rsidR="002673F6">
        <w:rPr>
          <w:rFonts w:cs="Arial"/>
          <w:sz w:val="22"/>
          <w:szCs w:val="22"/>
        </w:rPr>
        <w:t>.2017</w:t>
      </w:r>
      <w:proofErr w:type="gramEnd"/>
      <w:r w:rsidR="00270B5A">
        <w:rPr>
          <w:rFonts w:cs="Arial"/>
          <w:sz w:val="22"/>
          <w:szCs w:val="22"/>
        </w:rPr>
        <w:t xml:space="preserve">                                            V </w:t>
      </w:r>
      <w:r w:rsidR="004675C6">
        <w:rPr>
          <w:rFonts w:cs="Arial"/>
          <w:sz w:val="22"/>
          <w:szCs w:val="22"/>
        </w:rPr>
        <w:t>Děčíně</w:t>
      </w:r>
      <w:r w:rsidR="00270B5A">
        <w:rPr>
          <w:rFonts w:cs="Arial"/>
          <w:sz w:val="22"/>
          <w:szCs w:val="22"/>
        </w:rPr>
        <w:t xml:space="preserve"> dne </w:t>
      </w:r>
      <w:r w:rsidR="004675C6">
        <w:rPr>
          <w:rFonts w:cs="Arial"/>
          <w:sz w:val="22"/>
          <w:szCs w:val="22"/>
        </w:rPr>
        <w:t>23. 6. 2017</w:t>
      </w: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Pr="00CF691C"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 xml:space="preserve">Mgr. </w:t>
      </w:r>
      <w:r w:rsidR="00270B5A">
        <w:rPr>
          <w:rFonts w:cs="Arial"/>
          <w:sz w:val="22"/>
          <w:szCs w:val="22"/>
        </w:rPr>
        <w:t>Alena Čuříková</w:t>
      </w:r>
      <w:r>
        <w:rPr>
          <w:rFonts w:cs="Arial"/>
          <w:sz w:val="22"/>
          <w:szCs w:val="22"/>
        </w:rPr>
        <w:t xml:space="preserve"> – ředitel</w:t>
      </w:r>
      <w:r w:rsidR="00270B5A">
        <w:rPr>
          <w:rFonts w:cs="Arial"/>
          <w:sz w:val="22"/>
          <w:szCs w:val="22"/>
        </w:rPr>
        <w:t>ka</w:t>
      </w:r>
      <w:r>
        <w:rPr>
          <w:rFonts w:cs="Arial"/>
          <w:sz w:val="22"/>
          <w:szCs w:val="22"/>
        </w:rPr>
        <w:t xml:space="preserve"> organizace</w:t>
      </w:r>
    </w:p>
    <w:sectPr w:rsidR="003C0BA4" w:rsidSect="009A7C9B">
      <w:headerReference w:type="default" r:id="rId9"/>
      <w:footerReference w:type="even" r:id="rId10"/>
      <w:footerReference w:type="default" r:id="rId11"/>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13" w:rsidRDefault="00C06013">
      <w:r>
        <w:separator/>
      </w:r>
    </w:p>
  </w:endnote>
  <w:endnote w:type="continuationSeparator" w:id="0">
    <w:p w:rsidR="00C06013" w:rsidRDefault="00C0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6B0016">
      <w:rPr>
        <w:noProof/>
        <w:sz w:val="18"/>
      </w:rPr>
      <w:t>8</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6B0016">
      <w:rPr>
        <w:noProof/>
        <w:sz w:val="18"/>
      </w:rPr>
      <w:t>8</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13" w:rsidRDefault="00C06013">
      <w:r>
        <w:separator/>
      </w:r>
    </w:p>
  </w:footnote>
  <w:footnote w:type="continuationSeparator" w:id="0">
    <w:p w:rsidR="00C06013" w:rsidRDefault="00C0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11" w:rsidRPr="00F84311" w:rsidRDefault="00BF12AC" w:rsidP="00F84311">
    <w:pPr>
      <w:tabs>
        <w:tab w:val="center" w:pos="4536"/>
        <w:tab w:val="right" w:pos="9072"/>
      </w:tabs>
      <w:jc w:val="center"/>
      <w:rPr>
        <w:rFonts w:ascii="Calibri" w:hAnsi="Calibri"/>
        <w:sz w:val="20"/>
        <w:szCs w:val="18"/>
        <w:lang w:eastAsia="en-US"/>
      </w:rPr>
    </w:pPr>
    <w:r>
      <w:rPr>
        <w:rFonts w:ascii="Calibri" w:hAnsi="Calibri"/>
        <w:sz w:val="20"/>
        <w:szCs w:val="18"/>
        <w:lang w:eastAsia="en-US"/>
      </w:rPr>
      <w:t>Odstranění havarijního stavu dešťové kanalizace ve školním dvoře</w:t>
    </w:r>
  </w:p>
  <w:p w:rsidR="00F84311" w:rsidRDefault="00F843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6C58E9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511F"/>
    <w:rsid w:val="00066D15"/>
    <w:rsid w:val="00067CC9"/>
    <w:rsid w:val="00072770"/>
    <w:rsid w:val="00074F13"/>
    <w:rsid w:val="000777D0"/>
    <w:rsid w:val="00083791"/>
    <w:rsid w:val="00085195"/>
    <w:rsid w:val="0008587D"/>
    <w:rsid w:val="00087F95"/>
    <w:rsid w:val="00092158"/>
    <w:rsid w:val="000A0435"/>
    <w:rsid w:val="000A2319"/>
    <w:rsid w:val="000C1DEA"/>
    <w:rsid w:val="000C2626"/>
    <w:rsid w:val="000C4E96"/>
    <w:rsid w:val="000C7BA3"/>
    <w:rsid w:val="000F0C73"/>
    <w:rsid w:val="001006E4"/>
    <w:rsid w:val="00103CB2"/>
    <w:rsid w:val="00103D43"/>
    <w:rsid w:val="00104946"/>
    <w:rsid w:val="0010534C"/>
    <w:rsid w:val="00115D0E"/>
    <w:rsid w:val="00115D16"/>
    <w:rsid w:val="00117130"/>
    <w:rsid w:val="00117AF2"/>
    <w:rsid w:val="00121F79"/>
    <w:rsid w:val="00125E00"/>
    <w:rsid w:val="001264A8"/>
    <w:rsid w:val="00132E09"/>
    <w:rsid w:val="00151640"/>
    <w:rsid w:val="00155D38"/>
    <w:rsid w:val="00156EB5"/>
    <w:rsid w:val="00157FCD"/>
    <w:rsid w:val="00164443"/>
    <w:rsid w:val="00166F0C"/>
    <w:rsid w:val="001807C2"/>
    <w:rsid w:val="001903E0"/>
    <w:rsid w:val="00195236"/>
    <w:rsid w:val="0019794A"/>
    <w:rsid w:val="001A0245"/>
    <w:rsid w:val="001A4178"/>
    <w:rsid w:val="001A5483"/>
    <w:rsid w:val="001A6A0A"/>
    <w:rsid w:val="001D0485"/>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6BE1"/>
    <w:rsid w:val="00216D2B"/>
    <w:rsid w:val="00217B1A"/>
    <w:rsid w:val="00221910"/>
    <w:rsid w:val="002225FD"/>
    <w:rsid w:val="00226B70"/>
    <w:rsid w:val="00233633"/>
    <w:rsid w:val="00243593"/>
    <w:rsid w:val="002447BC"/>
    <w:rsid w:val="00257AB1"/>
    <w:rsid w:val="002673F6"/>
    <w:rsid w:val="00270B5A"/>
    <w:rsid w:val="00271676"/>
    <w:rsid w:val="0027679D"/>
    <w:rsid w:val="00281523"/>
    <w:rsid w:val="002818DA"/>
    <w:rsid w:val="00282713"/>
    <w:rsid w:val="00283084"/>
    <w:rsid w:val="002927F7"/>
    <w:rsid w:val="00293F2D"/>
    <w:rsid w:val="002B3B73"/>
    <w:rsid w:val="002B4134"/>
    <w:rsid w:val="002B7B84"/>
    <w:rsid w:val="002C07C8"/>
    <w:rsid w:val="002C3A43"/>
    <w:rsid w:val="002C713A"/>
    <w:rsid w:val="002C7C3F"/>
    <w:rsid w:val="002D17A6"/>
    <w:rsid w:val="002D2402"/>
    <w:rsid w:val="002D3A15"/>
    <w:rsid w:val="002D54F7"/>
    <w:rsid w:val="002D67F6"/>
    <w:rsid w:val="002E48D0"/>
    <w:rsid w:val="00302D6D"/>
    <w:rsid w:val="00304F70"/>
    <w:rsid w:val="003076DC"/>
    <w:rsid w:val="00312792"/>
    <w:rsid w:val="00313926"/>
    <w:rsid w:val="00316DF1"/>
    <w:rsid w:val="00317CDE"/>
    <w:rsid w:val="003237E1"/>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B7DFF"/>
    <w:rsid w:val="003C0A6B"/>
    <w:rsid w:val="003C0BA4"/>
    <w:rsid w:val="003C2741"/>
    <w:rsid w:val="003C5036"/>
    <w:rsid w:val="003D1742"/>
    <w:rsid w:val="003D57F6"/>
    <w:rsid w:val="003D605F"/>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675C6"/>
    <w:rsid w:val="0047619B"/>
    <w:rsid w:val="004809F1"/>
    <w:rsid w:val="004836E8"/>
    <w:rsid w:val="00487C24"/>
    <w:rsid w:val="00494B60"/>
    <w:rsid w:val="004A0C97"/>
    <w:rsid w:val="004A7E38"/>
    <w:rsid w:val="004B2E71"/>
    <w:rsid w:val="004C6E09"/>
    <w:rsid w:val="004C76F3"/>
    <w:rsid w:val="004D10B3"/>
    <w:rsid w:val="004D3730"/>
    <w:rsid w:val="004D5875"/>
    <w:rsid w:val="004E4F6E"/>
    <w:rsid w:val="004E5522"/>
    <w:rsid w:val="004F0D0D"/>
    <w:rsid w:val="00501A13"/>
    <w:rsid w:val="005069DC"/>
    <w:rsid w:val="00506CD4"/>
    <w:rsid w:val="005107B2"/>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431"/>
    <w:rsid w:val="00544711"/>
    <w:rsid w:val="0055634C"/>
    <w:rsid w:val="00556C51"/>
    <w:rsid w:val="0055795D"/>
    <w:rsid w:val="00560F58"/>
    <w:rsid w:val="00570051"/>
    <w:rsid w:val="0057262F"/>
    <w:rsid w:val="00573840"/>
    <w:rsid w:val="0058094E"/>
    <w:rsid w:val="00591142"/>
    <w:rsid w:val="005954A2"/>
    <w:rsid w:val="00596471"/>
    <w:rsid w:val="005A01F0"/>
    <w:rsid w:val="005A26B6"/>
    <w:rsid w:val="005A43FA"/>
    <w:rsid w:val="005A635A"/>
    <w:rsid w:val="005A773C"/>
    <w:rsid w:val="005A7A98"/>
    <w:rsid w:val="005B101B"/>
    <w:rsid w:val="005C1BA2"/>
    <w:rsid w:val="005D311C"/>
    <w:rsid w:val="005D3D94"/>
    <w:rsid w:val="005D6724"/>
    <w:rsid w:val="005E1313"/>
    <w:rsid w:val="005F159D"/>
    <w:rsid w:val="005F715B"/>
    <w:rsid w:val="005F7E63"/>
    <w:rsid w:val="00603875"/>
    <w:rsid w:val="00604708"/>
    <w:rsid w:val="00615878"/>
    <w:rsid w:val="006164D1"/>
    <w:rsid w:val="00622C6C"/>
    <w:rsid w:val="00623CC1"/>
    <w:rsid w:val="00631F04"/>
    <w:rsid w:val="006326D9"/>
    <w:rsid w:val="0063705F"/>
    <w:rsid w:val="00642ED8"/>
    <w:rsid w:val="0065529B"/>
    <w:rsid w:val="00655965"/>
    <w:rsid w:val="006637D0"/>
    <w:rsid w:val="00671465"/>
    <w:rsid w:val="00671AE6"/>
    <w:rsid w:val="00672568"/>
    <w:rsid w:val="0067402B"/>
    <w:rsid w:val="0068169B"/>
    <w:rsid w:val="00683F0E"/>
    <w:rsid w:val="006859FD"/>
    <w:rsid w:val="006A08AF"/>
    <w:rsid w:val="006B0016"/>
    <w:rsid w:val="006B1A77"/>
    <w:rsid w:val="006B37C0"/>
    <w:rsid w:val="006D053D"/>
    <w:rsid w:val="006D067E"/>
    <w:rsid w:val="006E0F00"/>
    <w:rsid w:val="006E2AD2"/>
    <w:rsid w:val="006E66CA"/>
    <w:rsid w:val="006F015D"/>
    <w:rsid w:val="006F5AEB"/>
    <w:rsid w:val="006F67A5"/>
    <w:rsid w:val="007047DF"/>
    <w:rsid w:val="00704865"/>
    <w:rsid w:val="00710595"/>
    <w:rsid w:val="007147B0"/>
    <w:rsid w:val="0072484D"/>
    <w:rsid w:val="00731266"/>
    <w:rsid w:val="0074699B"/>
    <w:rsid w:val="00752910"/>
    <w:rsid w:val="00754074"/>
    <w:rsid w:val="007609A3"/>
    <w:rsid w:val="007653C3"/>
    <w:rsid w:val="00765ECC"/>
    <w:rsid w:val="00767C18"/>
    <w:rsid w:val="00771CC4"/>
    <w:rsid w:val="00772262"/>
    <w:rsid w:val="007723AD"/>
    <w:rsid w:val="007762CE"/>
    <w:rsid w:val="007878E7"/>
    <w:rsid w:val="007959E4"/>
    <w:rsid w:val="00796FA6"/>
    <w:rsid w:val="00797AC5"/>
    <w:rsid w:val="007A0726"/>
    <w:rsid w:val="007A16D4"/>
    <w:rsid w:val="007A2A12"/>
    <w:rsid w:val="007A57AB"/>
    <w:rsid w:val="007A6692"/>
    <w:rsid w:val="007A6CE0"/>
    <w:rsid w:val="007B107C"/>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22860"/>
    <w:rsid w:val="00826A07"/>
    <w:rsid w:val="008367B8"/>
    <w:rsid w:val="00844BF4"/>
    <w:rsid w:val="00853E2B"/>
    <w:rsid w:val="00857DE1"/>
    <w:rsid w:val="008610FA"/>
    <w:rsid w:val="0086183B"/>
    <w:rsid w:val="00863CEB"/>
    <w:rsid w:val="008645E3"/>
    <w:rsid w:val="00864B83"/>
    <w:rsid w:val="00867785"/>
    <w:rsid w:val="008752F8"/>
    <w:rsid w:val="0087625E"/>
    <w:rsid w:val="0088736B"/>
    <w:rsid w:val="00890AD9"/>
    <w:rsid w:val="00890BFA"/>
    <w:rsid w:val="00890C98"/>
    <w:rsid w:val="00891A1B"/>
    <w:rsid w:val="008926C8"/>
    <w:rsid w:val="00892C9F"/>
    <w:rsid w:val="008949CE"/>
    <w:rsid w:val="00897349"/>
    <w:rsid w:val="008A2DC7"/>
    <w:rsid w:val="008B2492"/>
    <w:rsid w:val="008B2A3C"/>
    <w:rsid w:val="008B4C65"/>
    <w:rsid w:val="008B6E8A"/>
    <w:rsid w:val="008C2188"/>
    <w:rsid w:val="008C6D64"/>
    <w:rsid w:val="008E012E"/>
    <w:rsid w:val="008E0424"/>
    <w:rsid w:val="008E376A"/>
    <w:rsid w:val="008E4863"/>
    <w:rsid w:val="008F0138"/>
    <w:rsid w:val="008F3B6D"/>
    <w:rsid w:val="0090630B"/>
    <w:rsid w:val="009105F3"/>
    <w:rsid w:val="00913CBC"/>
    <w:rsid w:val="00915430"/>
    <w:rsid w:val="009158F4"/>
    <w:rsid w:val="00924580"/>
    <w:rsid w:val="00925403"/>
    <w:rsid w:val="00927EC4"/>
    <w:rsid w:val="009332EE"/>
    <w:rsid w:val="00936169"/>
    <w:rsid w:val="00953B69"/>
    <w:rsid w:val="009560DC"/>
    <w:rsid w:val="0095697C"/>
    <w:rsid w:val="00957F92"/>
    <w:rsid w:val="00960E5D"/>
    <w:rsid w:val="00961349"/>
    <w:rsid w:val="00962A4A"/>
    <w:rsid w:val="009648F9"/>
    <w:rsid w:val="00967503"/>
    <w:rsid w:val="0097090C"/>
    <w:rsid w:val="00973E71"/>
    <w:rsid w:val="00975DCA"/>
    <w:rsid w:val="009809F8"/>
    <w:rsid w:val="0098446D"/>
    <w:rsid w:val="00984A68"/>
    <w:rsid w:val="00987B1F"/>
    <w:rsid w:val="009A23E7"/>
    <w:rsid w:val="009A3A25"/>
    <w:rsid w:val="009A50E4"/>
    <w:rsid w:val="009A5C2B"/>
    <w:rsid w:val="009A6EF1"/>
    <w:rsid w:val="009A7C9B"/>
    <w:rsid w:val="009B1C1D"/>
    <w:rsid w:val="009B5D92"/>
    <w:rsid w:val="009C2ECB"/>
    <w:rsid w:val="009C3931"/>
    <w:rsid w:val="009C4E7C"/>
    <w:rsid w:val="009C6C2C"/>
    <w:rsid w:val="009C7312"/>
    <w:rsid w:val="009D2D53"/>
    <w:rsid w:val="009D3264"/>
    <w:rsid w:val="009D3E05"/>
    <w:rsid w:val="009D79C1"/>
    <w:rsid w:val="009D7CDC"/>
    <w:rsid w:val="009E6968"/>
    <w:rsid w:val="009F0B69"/>
    <w:rsid w:val="00A02C2B"/>
    <w:rsid w:val="00A042A3"/>
    <w:rsid w:val="00A07077"/>
    <w:rsid w:val="00A16357"/>
    <w:rsid w:val="00A163EE"/>
    <w:rsid w:val="00A169D1"/>
    <w:rsid w:val="00A200E3"/>
    <w:rsid w:val="00A2058D"/>
    <w:rsid w:val="00A24514"/>
    <w:rsid w:val="00A27ED2"/>
    <w:rsid w:val="00A27F7B"/>
    <w:rsid w:val="00A30961"/>
    <w:rsid w:val="00A310E1"/>
    <w:rsid w:val="00A414F2"/>
    <w:rsid w:val="00A4215D"/>
    <w:rsid w:val="00A51FC0"/>
    <w:rsid w:val="00A5669A"/>
    <w:rsid w:val="00A57012"/>
    <w:rsid w:val="00A628BF"/>
    <w:rsid w:val="00A64E76"/>
    <w:rsid w:val="00A67CCE"/>
    <w:rsid w:val="00A919E9"/>
    <w:rsid w:val="00A93716"/>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81E09"/>
    <w:rsid w:val="00B8720B"/>
    <w:rsid w:val="00B95036"/>
    <w:rsid w:val="00B962BA"/>
    <w:rsid w:val="00BA0687"/>
    <w:rsid w:val="00BA2320"/>
    <w:rsid w:val="00BA2CB1"/>
    <w:rsid w:val="00BA398A"/>
    <w:rsid w:val="00BB1DFF"/>
    <w:rsid w:val="00BB2CB3"/>
    <w:rsid w:val="00BB37BE"/>
    <w:rsid w:val="00BB479F"/>
    <w:rsid w:val="00BB5FFE"/>
    <w:rsid w:val="00BB6112"/>
    <w:rsid w:val="00BC1B4B"/>
    <w:rsid w:val="00BC5B6F"/>
    <w:rsid w:val="00BC68DE"/>
    <w:rsid w:val="00BD0229"/>
    <w:rsid w:val="00BD0CBE"/>
    <w:rsid w:val="00BD17BC"/>
    <w:rsid w:val="00BD2744"/>
    <w:rsid w:val="00BE27DB"/>
    <w:rsid w:val="00BE29B4"/>
    <w:rsid w:val="00BF0BF1"/>
    <w:rsid w:val="00BF12AC"/>
    <w:rsid w:val="00BF7605"/>
    <w:rsid w:val="00C06013"/>
    <w:rsid w:val="00C13C32"/>
    <w:rsid w:val="00C178E7"/>
    <w:rsid w:val="00C23F20"/>
    <w:rsid w:val="00C257D2"/>
    <w:rsid w:val="00C34A84"/>
    <w:rsid w:val="00C3636A"/>
    <w:rsid w:val="00C4190F"/>
    <w:rsid w:val="00C433CC"/>
    <w:rsid w:val="00C43A13"/>
    <w:rsid w:val="00C47BBF"/>
    <w:rsid w:val="00C50B8D"/>
    <w:rsid w:val="00C552CC"/>
    <w:rsid w:val="00C62976"/>
    <w:rsid w:val="00C65F7A"/>
    <w:rsid w:val="00C6665E"/>
    <w:rsid w:val="00C77FA1"/>
    <w:rsid w:val="00C80DAD"/>
    <w:rsid w:val="00C841BB"/>
    <w:rsid w:val="00C85B06"/>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06146"/>
    <w:rsid w:val="00D1026E"/>
    <w:rsid w:val="00D1076D"/>
    <w:rsid w:val="00D12238"/>
    <w:rsid w:val="00D13850"/>
    <w:rsid w:val="00D14E4B"/>
    <w:rsid w:val="00D27212"/>
    <w:rsid w:val="00D33219"/>
    <w:rsid w:val="00D34B9B"/>
    <w:rsid w:val="00D35FDE"/>
    <w:rsid w:val="00D36F64"/>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B16B6"/>
    <w:rsid w:val="00DB59F8"/>
    <w:rsid w:val="00DC0A1A"/>
    <w:rsid w:val="00DC12A7"/>
    <w:rsid w:val="00DC1E5E"/>
    <w:rsid w:val="00DC1FBD"/>
    <w:rsid w:val="00DC4245"/>
    <w:rsid w:val="00DD1943"/>
    <w:rsid w:val="00DD3F51"/>
    <w:rsid w:val="00DE2C0E"/>
    <w:rsid w:val="00DE4264"/>
    <w:rsid w:val="00DE775B"/>
    <w:rsid w:val="00DF0C08"/>
    <w:rsid w:val="00E00825"/>
    <w:rsid w:val="00E0651A"/>
    <w:rsid w:val="00E128CD"/>
    <w:rsid w:val="00E20F3C"/>
    <w:rsid w:val="00E2305B"/>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7FA8"/>
    <w:rsid w:val="00E93246"/>
    <w:rsid w:val="00E95993"/>
    <w:rsid w:val="00E97579"/>
    <w:rsid w:val="00EA1600"/>
    <w:rsid w:val="00EA5A30"/>
    <w:rsid w:val="00EB6BEB"/>
    <w:rsid w:val="00EB7818"/>
    <w:rsid w:val="00EC2A16"/>
    <w:rsid w:val="00EC7F70"/>
    <w:rsid w:val="00ED0A88"/>
    <w:rsid w:val="00ED177A"/>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7612"/>
    <w:rsid w:val="00F31E37"/>
    <w:rsid w:val="00F32AA8"/>
    <w:rsid w:val="00F33542"/>
    <w:rsid w:val="00F33D56"/>
    <w:rsid w:val="00F36C7E"/>
    <w:rsid w:val="00F37746"/>
    <w:rsid w:val="00F4102C"/>
    <w:rsid w:val="00F42629"/>
    <w:rsid w:val="00F42E0D"/>
    <w:rsid w:val="00F455FD"/>
    <w:rsid w:val="00F506BC"/>
    <w:rsid w:val="00F517F1"/>
    <w:rsid w:val="00F549D1"/>
    <w:rsid w:val="00F56FCD"/>
    <w:rsid w:val="00F57139"/>
    <w:rsid w:val="00F72279"/>
    <w:rsid w:val="00F733EA"/>
    <w:rsid w:val="00F73657"/>
    <w:rsid w:val="00F74C5B"/>
    <w:rsid w:val="00F76B5E"/>
    <w:rsid w:val="00F77946"/>
    <w:rsid w:val="00F84311"/>
    <w:rsid w:val="00F9061E"/>
    <w:rsid w:val="00F9090F"/>
    <w:rsid w:val="00F93316"/>
    <w:rsid w:val="00FA36B7"/>
    <w:rsid w:val="00FA48EF"/>
    <w:rsid w:val="00FA4F1A"/>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DDABC-441B-4357-A744-2FE5F572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3019</Words>
  <Characters>17817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Curikova</dc:creator>
  <cp:lastModifiedBy>Aja</cp:lastModifiedBy>
  <cp:revision>4</cp:revision>
  <cp:lastPrinted>2016-12-13T20:33:00Z</cp:lastPrinted>
  <dcterms:created xsi:type="dcterms:W3CDTF">2017-07-10T08:06:00Z</dcterms:created>
  <dcterms:modified xsi:type="dcterms:W3CDTF">2017-07-14T20:25:00Z</dcterms:modified>
</cp:coreProperties>
</file>