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5AA8A238" w:rsidR="00D859C2" w:rsidRPr="00726B26" w:rsidRDefault="007A58CB" w:rsidP="00D859C2">
      <w:pPr>
        <w:rPr>
          <w:b/>
        </w:rPr>
      </w:pPr>
      <w:proofErr w:type="spellStart"/>
      <w:r>
        <w:rPr>
          <w:b/>
        </w:rPr>
        <w:t>Medsol</w:t>
      </w:r>
      <w:proofErr w:type="spellEnd"/>
      <w:r>
        <w:rPr>
          <w:b/>
        </w:rPr>
        <w:t xml:space="preserve"> s.r.o.</w:t>
      </w:r>
    </w:p>
    <w:p w14:paraId="3DADA2B1" w14:textId="11935916" w:rsidR="00D859C2" w:rsidRDefault="00D859C2" w:rsidP="00D859C2">
      <w:r>
        <w:t xml:space="preserve">IČ: </w:t>
      </w:r>
      <w:r w:rsidR="007A58CB" w:rsidRPr="00F83239">
        <w:rPr>
          <w:rFonts w:eastAsia="Arial Unicode MS"/>
        </w:rPr>
        <w:t>24201596</w:t>
      </w:r>
    </w:p>
    <w:p w14:paraId="494735B8" w14:textId="4B8C12EA" w:rsidR="00D859C2" w:rsidRPr="00512AB9" w:rsidRDefault="00D859C2" w:rsidP="00D859C2">
      <w:r>
        <w:t xml:space="preserve">DIČ: </w:t>
      </w:r>
      <w:r w:rsidR="00C55C7C">
        <w:t>CZ</w:t>
      </w:r>
      <w:r w:rsidR="00C55C7C" w:rsidRPr="00F83239">
        <w:rPr>
          <w:rFonts w:eastAsia="Arial Unicode MS"/>
        </w:rPr>
        <w:t>24201596</w:t>
      </w:r>
    </w:p>
    <w:p w14:paraId="4BE4B061" w14:textId="77635470" w:rsidR="00D859C2" w:rsidRPr="00512AB9" w:rsidRDefault="00D859C2" w:rsidP="00D859C2">
      <w:r>
        <w:t>se sídlem</w:t>
      </w:r>
      <w:r w:rsidRPr="00512AB9">
        <w:t xml:space="preserve">:  </w:t>
      </w:r>
      <w:r w:rsidR="00C55C7C" w:rsidRPr="00F83239">
        <w:rPr>
          <w:rFonts w:eastAsia="Arial Unicode MS"/>
        </w:rPr>
        <w:t>Lužná 591/4, 160 00 Praha 6 - Vokovice</w:t>
      </w:r>
    </w:p>
    <w:p w14:paraId="1F4F5F98" w14:textId="0EB110DA" w:rsidR="00D859C2" w:rsidRPr="00512AB9" w:rsidRDefault="00D859C2" w:rsidP="00D859C2">
      <w:r>
        <w:t>zastoupena</w:t>
      </w:r>
      <w:r w:rsidRPr="00512AB9">
        <w:t xml:space="preserve">: </w:t>
      </w:r>
      <w:r w:rsidR="00C55C7C" w:rsidRPr="00F83239">
        <w:rPr>
          <w:rFonts w:eastAsia="Arial Unicode MS"/>
        </w:rPr>
        <w:t>Mgr. Michal Baroš, MBA</w:t>
      </w:r>
    </w:p>
    <w:p w14:paraId="43130257" w14:textId="35D36AE2" w:rsidR="00D859C2" w:rsidRPr="00512AB9" w:rsidRDefault="00D859C2" w:rsidP="00D859C2">
      <w:r w:rsidRPr="00512AB9">
        <w:t xml:space="preserve">bankovní spojení: </w:t>
      </w:r>
      <w:r w:rsidR="00C55C7C">
        <w:rPr>
          <w:rFonts w:eastAsia="Arial Unicode MS"/>
        </w:rPr>
        <w:t>ČSOB</w:t>
      </w:r>
    </w:p>
    <w:p w14:paraId="4B4D9F51" w14:textId="3275FF17" w:rsidR="00D859C2" w:rsidRPr="00512AB9" w:rsidRDefault="00D859C2" w:rsidP="00D859C2">
      <w:r w:rsidRPr="00512AB9">
        <w:t xml:space="preserve">číslo účtu: </w:t>
      </w:r>
      <w:r w:rsidR="00C55C7C" w:rsidRPr="00F83239">
        <w:rPr>
          <w:rFonts w:eastAsia="Arial Unicode MS"/>
        </w:rPr>
        <w:t>260001288/0300</w:t>
      </w:r>
    </w:p>
    <w:p w14:paraId="7BE5CCD9" w14:textId="7A7EF10A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proofErr w:type="gramStart"/>
      <w:r w:rsidR="00B40D75" w:rsidRPr="00F83239">
        <w:t xml:space="preserve">Městským </w:t>
      </w:r>
      <w:r>
        <w:t xml:space="preserve"> </w:t>
      </w:r>
      <w:r w:rsidRPr="00652864">
        <w:t>soudem</w:t>
      </w:r>
      <w:proofErr w:type="gramEnd"/>
      <w:r w:rsidRPr="00652864">
        <w:t xml:space="preserve"> v </w:t>
      </w:r>
      <w:r w:rsidR="00B40D75" w:rsidRPr="00F83239">
        <w:t>Praze</w:t>
      </w:r>
      <w:r w:rsidRPr="00652864">
        <w:t xml:space="preserve">, oddíl </w:t>
      </w:r>
      <w:r w:rsidR="00B40D75">
        <w:t>C</w:t>
      </w:r>
      <w:r w:rsidRPr="00652864">
        <w:t xml:space="preserve">, vložka </w:t>
      </w:r>
      <w:r w:rsidR="00B40D75" w:rsidRPr="00F83239">
        <w:rPr>
          <w:rFonts w:eastAsia="Arial Unicode MS"/>
        </w:rPr>
        <w:t>188143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539E3D4A" w:rsidR="00095C75" w:rsidRPr="00CF0C56" w:rsidRDefault="00095C75" w:rsidP="00A05D45">
      <w:pPr>
        <w:pStyle w:val="Odstavecsmlouvy"/>
        <w:numPr>
          <w:ilvl w:val="1"/>
          <w:numId w:val="3"/>
        </w:numPr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</w:t>
      </w:r>
      <w:r w:rsidR="00AF5295">
        <w:rPr>
          <w:rFonts w:eastAsia="Arial"/>
        </w:rPr>
        <w:t>„Monitor transportní</w:t>
      </w:r>
      <w:r w:rsidR="719E714E" w:rsidRPr="38690F1A">
        <w:rPr>
          <w:rFonts w:eastAsia="Arial"/>
        </w:rPr>
        <w:t>“</w:t>
      </w:r>
      <w:r>
        <w:t xml:space="preserve">, část </w:t>
      </w:r>
      <w:r w:rsidR="00FE7A44" w:rsidRPr="00FE7A44">
        <w:t>3 - Monitor transportní pro NCHK</w:t>
      </w:r>
      <w:r w:rsidR="00FE7A44">
        <w:t xml:space="preserve"> </w:t>
      </w:r>
      <w:r>
        <w:t>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1196BDEB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527EBA50" w:rsidR="00C45456" w:rsidRDefault="00C45456" w:rsidP="00C45456">
      <w:pPr>
        <w:pStyle w:val="Odstavecsmlouvy"/>
        <w:numPr>
          <w:ilvl w:val="1"/>
          <w:numId w:val="3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200240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0719D17C" w14:textId="45D7AB98" w:rsidR="00BA5EEC" w:rsidRDefault="00BA5EEC" w:rsidP="00BA5EEC">
      <w:pPr>
        <w:pStyle w:val="Odstavecsmlouvy"/>
        <w:numPr>
          <w:ilvl w:val="1"/>
          <w:numId w:val="3"/>
        </w:numPr>
      </w:pPr>
      <w:r w:rsidRPr="00D231CC">
        <w:t>Prodávající je povinen do 2 týdnů od převzetí Zboží Kupujícím provést zaškolení</w:t>
      </w:r>
      <w:r>
        <w:t>, tj.</w:t>
      </w:r>
      <w:r w:rsidRPr="00D231CC">
        <w:t xml:space="preserve"> instruktáž uživatele </w:t>
      </w:r>
      <w:r w:rsidR="00994805">
        <w:t xml:space="preserve">dle § 41 </w:t>
      </w:r>
      <w:r w:rsidR="001E2240" w:rsidRPr="00D859C2">
        <w:t xml:space="preserve">zákona č. </w:t>
      </w:r>
      <w:r w:rsidR="001E2240">
        <w:t>375</w:t>
      </w:r>
      <w:r w:rsidR="001E2240" w:rsidRPr="00D859C2">
        <w:t>/</w:t>
      </w:r>
      <w:r w:rsidR="001E2240">
        <w:t>2022</w:t>
      </w:r>
      <w:r w:rsidR="001E2240" w:rsidRPr="00D859C2">
        <w:t xml:space="preserve"> Sb., </w:t>
      </w:r>
      <w:r w:rsidR="001E2240" w:rsidRPr="004820A4">
        <w:t xml:space="preserve">o zdravotnických prostředcích a </w:t>
      </w:r>
      <w:r w:rsidR="001E2240">
        <w:t>diagnostických zdravotnických prostředcích in vitro</w:t>
      </w:r>
      <w:r w:rsidR="001E2240" w:rsidRPr="004820A4">
        <w:t>, ve znění pozdějších předpisů</w:t>
      </w:r>
      <w:r w:rsidR="001E2240">
        <w:t xml:space="preserve"> (dále jen „</w:t>
      </w:r>
      <w:proofErr w:type="spellStart"/>
      <w:r w:rsidR="001E2240" w:rsidRPr="00D859C2">
        <w:rPr>
          <w:b/>
        </w:rPr>
        <w:t>ZoZP</w:t>
      </w:r>
      <w:proofErr w:type="spellEnd"/>
      <w:r w:rsidR="001E2240">
        <w:t>“),</w:t>
      </w:r>
      <w:r w:rsidR="00994805">
        <w:t xml:space="preserve"> </w:t>
      </w:r>
      <w:r w:rsidRPr="00D231CC">
        <w:t xml:space="preserve">na pracovišti </w:t>
      </w:r>
      <w:r>
        <w:t xml:space="preserve">Kupujícího </w:t>
      </w:r>
      <w:r w:rsidRPr="00D231CC">
        <w:t xml:space="preserve">k obsluze </w:t>
      </w:r>
      <w:r>
        <w:t xml:space="preserve">Zboží </w:t>
      </w:r>
      <w:r w:rsidRPr="00D231CC">
        <w:t xml:space="preserve">dle </w:t>
      </w:r>
      <w:r w:rsidR="009A7E08">
        <w:t>platných právních předpisů</w:t>
      </w:r>
      <w:r w:rsidRPr="00D231CC">
        <w:t xml:space="preserve">, včetně doložení pověření školitele výrobcem nebo zplnomocněným zástupcem, a to </w:t>
      </w:r>
      <w:r>
        <w:t xml:space="preserve">alespoň </w:t>
      </w:r>
      <w:r w:rsidRPr="00D231CC">
        <w:t xml:space="preserve">v rozsahu nezbytném pro řádnou obsluhu Zboží (dále </w:t>
      </w:r>
      <w:r>
        <w:t xml:space="preserve">též </w:t>
      </w:r>
      <w:r w:rsidRPr="00D231CC">
        <w:t>jen „</w:t>
      </w:r>
      <w:r w:rsidRPr="00D231CC">
        <w:rPr>
          <w:b/>
        </w:rPr>
        <w:t>Instruktáž</w:t>
      </w:r>
      <w:r w:rsidRPr="00D231CC">
        <w:t xml:space="preserve">“). Plnění podle tohoto odstavce smlouvy je Prodávající povinen poskytnout </w:t>
      </w:r>
      <w:r w:rsidRPr="00617BD1">
        <w:rPr>
          <w:b/>
          <w:u w:val="single"/>
        </w:rPr>
        <w:t>bezplatně</w:t>
      </w:r>
      <w:r w:rsidRPr="00D231CC">
        <w:t>, a to včetně případného opakování po dobu životnosti Zboží.</w:t>
      </w:r>
    </w:p>
    <w:p w14:paraId="12D5CBFC" w14:textId="77777777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2DEA7AC8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8D6F5D">
        <w:t>1</w:t>
      </w:r>
      <w:r w:rsidR="002F4F30" w:rsidRPr="00D859C2">
        <w:t xml:space="preserve"> ks </w:t>
      </w:r>
      <w:r w:rsidR="008D6F5D">
        <w:t>transportní monitor</w:t>
      </w:r>
      <w:r w:rsidR="008645D8" w:rsidRPr="00D859C2">
        <w:rPr>
          <w:b/>
        </w:rPr>
        <w:t xml:space="preserve">, typ: </w:t>
      </w:r>
      <w:proofErr w:type="spellStart"/>
      <w:r w:rsidR="008D6F5D">
        <w:rPr>
          <w:b/>
        </w:rPr>
        <w:t>QubeMini</w:t>
      </w:r>
      <w:proofErr w:type="spellEnd"/>
      <w:r w:rsidR="004453FF" w:rsidRPr="00D859C2">
        <w:rPr>
          <w:b/>
        </w:rPr>
        <w:t xml:space="preserve">, výrobce </w:t>
      </w:r>
      <w:proofErr w:type="spellStart"/>
      <w:r w:rsidR="008D6F5D">
        <w:rPr>
          <w:b/>
        </w:rPr>
        <w:t>Spacelabs</w:t>
      </w:r>
      <w:proofErr w:type="spellEnd"/>
      <w:r w:rsidR="008D6F5D">
        <w:rPr>
          <w:b/>
        </w:rPr>
        <w:t xml:space="preserve"> </w:t>
      </w:r>
      <w:proofErr w:type="spellStart"/>
      <w:r w:rsidR="008D6F5D">
        <w:rPr>
          <w:b/>
        </w:rPr>
        <w:t>Healthcare</w:t>
      </w:r>
      <w:proofErr w:type="spellEnd"/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lastRenderedPageBreak/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 xml:space="preserve">v elektronické podobě na CD/DVD/USB </w:t>
      </w:r>
      <w:proofErr w:type="spellStart"/>
      <w:r w:rsidRPr="00D231CC">
        <w:t>flash</w:t>
      </w:r>
      <w:proofErr w:type="spellEnd"/>
      <w:r w:rsidRPr="00D231CC">
        <w:t xml:space="preserve">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proofErr w:type="spellStart"/>
      <w:r w:rsidR="00994805" w:rsidRPr="00994805">
        <w:rPr>
          <w:b/>
        </w:rPr>
        <w:t>ZoTPV</w:t>
      </w:r>
      <w:proofErr w:type="spellEnd"/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proofErr w:type="spellStart"/>
      <w:r w:rsidR="00994805">
        <w:t>ZoZP</w:t>
      </w:r>
      <w:proofErr w:type="spellEnd"/>
      <w:r w:rsidR="00994805">
        <w:t xml:space="preserve">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B" w14:textId="5076E35B" w:rsidR="003F7B02" w:rsidRDefault="003A1056" w:rsidP="0020021E">
      <w:pPr>
        <w:pStyle w:val="Odstavecsmlouvy"/>
        <w:tabs>
          <w:tab w:val="left" w:pos="709"/>
        </w:tabs>
        <w:ind w:left="709" w:hanging="709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 </w:t>
      </w:r>
      <w:r w:rsidR="004D292F" w:rsidRPr="004A36D2">
        <w:rPr>
          <w:rFonts w:eastAsia="Arial"/>
          <w:b/>
          <w:bCs/>
        </w:rPr>
        <w:t>8</w:t>
      </w:r>
      <w:r w:rsidR="00AF5295" w:rsidRPr="004A36D2">
        <w:rPr>
          <w:rFonts w:eastAsia="Arial"/>
          <w:b/>
          <w:bCs/>
        </w:rPr>
        <w:t xml:space="preserve"> týdnů</w:t>
      </w:r>
      <w:r>
        <w:t xml:space="preserve">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>smlouvy a Kupující se zavazuje dodané Zboží převzít.</w:t>
      </w:r>
      <w:r w:rsidR="19907203">
        <w:t xml:space="preserve"> </w:t>
      </w:r>
    </w:p>
    <w:p w14:paraId="7BFCEA9A" w14:textId="77777777" w:rsidR="004A36D2" w:rsidRPr="004A36D2" w:rsidRDefault="004A36D2" w:rsidP="004A36D2">
      <w:pPr>
        <w:pStyle w:val="Odstavecsmlouvy"/>
        <w:numPr>
          <w:ilvl w:val="0"/>
          <w:numId w:val="0"/>
        </w:numPr>
        <w:tabs>
          <w:tab w:val="left" w:pos="709"/>
        </w:tabs>
        <w:ind w:left="709"/>
      </w:pPr>
    </w:p>
    <w:p w14:paraId="0CC793A3" w14:textId="77777777" w:rsidR="00AF5295" w:rsidRDefault="00AF5295" w:rsidP="00AF5295">
      <w:pPr>
        <w:pStyle w:val="Odstavecsmlouvy"/>
        <w:numPr>
          <w:ilvl w:val="1"/>
          <w:numId w:val="3"/>
        </w:numPr>
      </w:pPr>
      <w:r w:rsidRPr="00D859C2">
        <w:t>Místem dodání Zboží je</w:t>
      </w:r>
      <w:r>
        <w:t>:</w:t>
      </w:r>
    </w:p>
    <w:p w14:paraId="0254A7DC" w14:textId="77777777" w:rsidR="00AF5295" w:rsidRPr="00D859C2" w:rsidRDefault="00AF5295" w:rsidP="00AF5295">
      <w:pPr>
        <w:pStyle w:val="Odstavecsmlouvy"/>
        <w:numPr>
          <w:ilvl w:val="0"/>
          <w:numId w:val="17"/>
        </w:numPr>
        <w:ind w:left="993"/>
      </w:pPr>
      <w:r>
        <w:t xml:space="preserve">pro část č. 3 – Neurochirurgická klinika, pracoviště Nemocnice Bohunice a porodnice, FN Brno, Jihlavská 20, 625 00 Brno. 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17568225" w:rsidR="00D82704" w:rsidRPr="00D859C2" w:rsidRDefault="009A3D16" w:rsidP="49ED3F43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AF5295">
        <w:t xml:space="preserve">   </w:t>
      </w:r>
      <w:r w:rsidR="00B41494">
        <w:t>paní</w:t>
      </w:r>
      <w:r w:rsidR="00EC5CF6">
        <w:t xml:space="preserve"> </w:t>
      </w:r>
      <w:proofErr w:type="spellStart"/>
      <w:r w:rsidR="00EC5CF6">
        <w:t>xxx</w:t>
      </w:r>
      <w:proofErr w:type="spellEnd"/>
      <w:r w:rsidR="00AF5295" w:rsidRPr="00D859C2">
        <w:t xml:space="preserve">, tel.: </w:t>
      </w:r>
      <w:proofErr w:type="spellStart"/>
      <w:r w:rsidR="00EC5CF6">
        <w:t>xxx</w:t>
      </w:r>
      <w:proofErr w:type="spellEnd"/>
      <w:r w:rsidR="00EC5CF6">
        <w:t xml:space="preserve"> </w:t>
      </w:r>
      <w:r w:rsidR="00AF5295" w:rsidRPr="00D859C2">
        <w:t>a písemně na e-mail</w:t>
      </w:r>
      <w:r w:rsidR="00AF5295">
        <w:t>:</w:t>
      </w:r>
      <w:r w:rsidR="00EC5CF6">
        <w:t xml:space="preserve"> </w:t>
      </w:r>
      <w:proofErr w:type="spellStart"/>
      <w:r w:rsidR="00EC5CF6">
        <w:t>xxx</w:t>
      </w:r>
      <w:proofErr w:type="spellEnd"/>
      <w:r>
        <w:t>. Bez tohoto oznámení není Kupující povinen Zboží převzít.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</w:t>
      </w:r>
      <w:proofErr w:type="spellStart"/>
      <w:r>
        <w:t>workflow</w:t>
      </w:r>
      <w:proofErr w:type="spellEnd"/>
      <w:r>
        <w:t>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</w:t>
      </w:r>
      <w:proofErr w:type="spellStart"/>
      <w:r w:rsidR="00EE155A">
        <w:t>ZoZP</w:t>
      </w:r>
      <w:proofErr w:type="spellEnd"/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DD73379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>“). Prodávající i Kupující jsou oprávněni v předávacím protokolu uvést jakékoliv záznamy, vady, nedodělky, připomínky či výhrady; tyto se však nepovažují za změnu této smlouvy či dodatek k této smlouvě. Kupující je v předávacím protokolu oprávněn stanovit přiměřenou lhůtu pro odstranění vad a nedodělků, které do předávacího protokolu uvedl. Neuvedení jakýchkoliv (i zjevných) vad či nedodělků do předávacího protokolu neomezuje Kupujícího v právu oznamovat zjištěné vady a nedodělky Prodávajícímu i po dodání Zboží v průběhu záruční doby, resp. po provedení Montáže.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proofErr w:type="spellStart"/>
      <w:r w:rsidR="00094B12">
        <w:t>ZoZP</w:t>
      </w:r>
      <w:proofErr w:type="spellEnd"/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77777777" w:rsidR="00AF2763" w:rsidRPr="00D859C2" w:rsidRDefault="009547FF" w:rsidP="00AF5295">
      <w:pPr>
        <w:pStyle w:val="Odstavecsmlouvy"/>
        <w:spacing w:after="120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>a činí:</w:t>
      </w:r>
    </w:p>
    <w:p w14:paraId="2E844ACE" w14:textId="26378888" w:rsidR="00AF5295" w:rsidRPr="00AF5295" w:rsidRDefault="00AF5295" w:rsidP="00AF5295">
      <w:pPr>
        <w:rPr>
          <w:u w:val="single"/>
        </w:rPr>
      </w:pPr>
      <w:r w:rsidRPr="00AF5295">
        <w:rPr>
          <w:u w:val="single"/>
        </w:rPr>
        <w:t>Část č. 3 – Monitor transportní pro NCHK: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AF5295" w:rsidRPr="005B49AA" w14:paraId="6B41DD01" w14:textId="77777777" w:rsidTr="00E768AE">
        <w:tc>
          <w:tcPr>
            <w:tcW w:w="4575" w:type="dxa"/>
            <w:shd w:val="clear" w:color="auto" w:fill="auto"/>
          </w:tcPr>
          <w:p w14:paraId="24368699" w14:textId="77777777" w:rsidR="00AF5295" w:rsidRPr="005B49AA" w:rsidRDefault="00AF5295" w:rsidP="00E768A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3788" w:type="dxa"/>
            <w:shd w:val="clear" w:color="auto" w:fill="auto"/>
          </w:tcPr>
          <w:p w14:paraId="5AD6532D" w14:textId="29F5932C" w:rsidR="00AF5295" w:rsidRPr="005B49AA" w:rsidRDefault="004B5014" w:rsidP="00E768A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177.000,-</w:t>
            </w:r>
            <w:r w:rsidR="00AF5295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AF5295" w:rsidRPr="005B49AA" w14:paraId="4108283D" w14:textId="77777777" w:rsidTr="00E768AE">
        <w:tc>
          <w:tcPr>
            <w:tcW w:w="4575" w:type="dxa"/>
            <w:shd w:val="clear" w:color="auto" w:fill="auto"/>
          </w:tcPr>
          <w:p w14:paraId="58C872A3" w14:textId="5E6FB480" w:rsidR="00AF5295" w:rsidRPr="005B49AA" w:rsidRDefault="00AF5295" w:rsidP="00E768A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="004B5014">
              <w:rPr>
                <w:b/>
                <w:sz w:val="22"/>
                <w:szCs w:val="22"/>
              </w:rPr>
              <w:t>21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3788" w:type="dxa"/>
            <w:shd w:val="clear" w:color="auto" w:fill="auto"/>
          </w:tcPr>
          <w:p w14:paraId="1CE2BA0C" w14:textId="0A329B04" w:rsidR="00AF5295" w:rsidRPr="005B49AA" w:rsidRDefault="004B5014" w:rsidP="00E768A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37.170,-</w:t>
            </w:r>
            <w:r w:rsidR="00AF5295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AF5295" w:rsidRPr="005B49AA" w14:paraId="6AB383BC" w14:textId="77777777" w:rsidTr="00E768AE">
        <w:tc>
          <w:tcPr>
            <w:tcW w:w="4575" w:type="dxa"/>
            <w:shd w:val="clear" w:color="auto" w:fill="auto"/>
          </w:tcPr>
          <w:p w14:paraId="70FC89BE" w14:textId="77777777" w:rsidR="00AF5295" w:rsidRPr="005B49AA" w:rsidRDefault="00AF5295" w:rsidP="00E768A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788" w:type="dxa"/>
            <w:shd w:val="clear" w:color="auto" w:fill="auto"/>
          </w:tcPr>
          <w:p w14:paraId="233D3935" w14:textId="5877DA3E" w:rsidR="00AF5295" w:rsidRDefault="004B5014" w:rsidP="00E768A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214.170,-</w:t>
            </w:r>
            <w:r w:rsidR="00AF5295" w:rsidRPr="005B49AA">
              <w:rPr>
                <w:b/>
                <w:sz w:val="22"/>
                <w:szCs w:val="22"/>
              </w:rPr>
              <w:t xml:space="preserve"> Kč</w:t>
            </w:r>
            <w:r w:rsidR="00AF5295">
              <w:rPr>
                <w:b/>
                <w:sz w:val="22"/>
                <w:szCs w:val="22"/>
              </w:rPr>
              <w:t xml:space="preserve"> </w:t>
            </w:r>
          </w:p>
          <w:p w14:paraId="7EC87167" w14:textId="77777777" w:rsidR="00AF5295" w:rsidRPr="005B49AA" w:rsidRDefault="00AF5295" w:rsidP="00E768AE">
            <w:pPr>
              <w:pStyle w:val="Zkladntext3"/>
              <w:rPr>
                <w:b/>
                <w:sz w:val="22"/>
                <w:szCs w:val="22"/>
              </w:rPr>
            </w:pPr>
          </w:p>
        </w:tc>
      </w:tr>
    </w:tbl>
    <w:p w14:paraId="5A41E830" w14:textId="08BB99E7" w:rsidR="00D70368" w:rsidRPr="00D859C2" w:rsidRDefault="00D70368" w:rsidP="00D70368">
      <w:pPr>
        <w:pStyle w:val="Odstavecsmlouvy"/>
        <w:numPr>
          <w:ilvl w:val="1"/>
          <w:numId w:val="3"/>
        </w:numPr>
      </w:pPr>
      <w:r w:rsidRPr="00D859C2">
        <w:t xml:space="preserve">Sjednaná </w:t>
      </w:r>
      <w:r>
        <w:t>kupní c</w:t>
      </w:r>
      <w:r w:rsidRPr="00D859C2">
        <w:t xml:space="preserve">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 xml:space="preserve">Instruktáž, </w:t>
      </w:r>
      <w:r w:rsidRPr="00D859C2">
        <w:t xml:space="preserve">provedení funkční zkoušky </w:t>
      </w:r>
      <w:r w:rsidRPr="00D859C2">
        <w:rPr>
          <w:bCs/>
        </w:rPr>
        <w:t xml:space="preserve">vč. přejímací zkoušky dlouhodobé stability (pouze u Zboží, které této zkoušce podle </w:t>
      </w:r>
      <w:r>
        <w:rPr>
          <w:bCs/>
        </w:rPr>
        <w:t>AZ</w:t>
      </w:r>
      <w:r w:rsidRPr="00D859C2">
        <w:rPr>
          <w:bCs/>
        </w:rPr>
        <w:t>, podléhá), vstupní validace či kalibrace (pouze u Zboží, u nějž je při provozu vyžadována)</w:t>
      </w:r>
      <w:r w:rsidRPr="00D859C2">
        <w:t>, ověření přenosu dat z přístroje na pracovní stanici (pokud je u přístroje samostatná pracovní stanice</w:t>
      </w:r>
      <w:r>
        <w:t>)</w:t>
      </w:r>
      <w:r w:rsidRPr="00D859C2">
        <w:t xml:space="preserve">, ověření přenosu dat do archivu MARIE PACS a odzkoušení bezproblémového provozu, recyklační poplatek (pouze u Zboží, které tomuto poplatku podle </w:t>
      </w:r>
      <w:r>
        <w:t xml:space="preserve">právních předpisů </w:t>
      </w:r>
      <w:r w:rsidRPr="00D859C2">
        <w:t xml:space="preserve">podléhá), preventivní bezpečnostně technické kontroly vč. aktualizace příp. firmware, zkoušek dlouhodobé stability </w:t>
      </w:r>
      <w:r w:rsidRPr="00D859C2">
        <w:rPr>
          <w:bCs/>
        </w:rPr>
        <w:t xml:space="preserve">(pouze u Zboží, které této zkoušce podle </w:t>
      </w:r>
      <w:r>
        <w:rPr>
          <w:bCs/>
        </w:rPr>
        <w:t>AZ</w:t>
      </w:r>
      <w:r w:rsidRPr="00D859C2">
        <w:rPr>
          <w:bCs/>
        </w:rPr>
        <w:t xml:space="preserve"> podléhá), </w:t>
      </w:r>
      <w:r w:rsidRPr="00D859C2">
        <w:t xml:space="preserve">validace nebo kalibrace parametrů </w:t>
      </w:r>
      <w:r w:rsidRPr="00D859C2">
        <w:rPr>
          <w:bCs/>
        </w:rPr>
        <w:t>(pouze u Zboží, u nějž je při provozu vyžadována)</w:t>
      </w:r>
      <w:r w:rsidRPr="00D859C2">
        <w:t xml:space="preserve">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77777777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3B32EE6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proofErr w:type="spellStart"/>
      <w:r w:rsidR="00994805">
        <w:t>ZoZP</w:t>
      </w:r>
      <w:proofErr w:type="spellEnd"/>
      <w:r w:rsidR="00994805">
        <w:t xml:space="preserve">, MDR, IVDR a </w:t>
      </w:r>
      <w:proofErr w:type="spellStart"/>
      <w:r w:rsidR="00994805">
        <w:t>ZoTPV</w:t>
      </w:r>
      <w:proofErr w:type="spellEnd"/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3"/>
        </w:numPr>
        <w:rPr>
          <w:color w:val="000000"/>
        </w:rPr>
      </w:pPr>
      <w:bookmarkStart w:id="1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1A2DD451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 povinen vadu či nedodělek odstranit, tj. uvést Montáž do bezvadného stavu,</w:t>
      </w:r>
      <w:r w:rsidRPr="003F3A0D">
        <w:t xml:space="preserve"> </w:t>
      </w:r>
      <w:r w:rsidR="0009512B" w:rsidRPr="00D859C2">
        <w:t xml:space="preserve">do 3 pracovních dnů </w:t>
      </w:r>
      <w:r w:rsidR="0009512B">
        <w:t>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1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7017C36A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3" w14:textId="3E18C031" w:rsidR="00F06B76" w:rsidRPr="00D859C2" w:rsidRDefault="00563528" w:rsidP="00094B12">
      <w:pPr>
        <w:pStyle w:val="Odstavecsmlouvy"/>
      </w:pPr>
      <w:r>
        <w:t xml:space="preserve">V případě </w:t>
      </w:r>
      <w:r w:rsidR="00AB2F46">
        <w:t xml:space="preserve">prodlení </w:t>
      </w:r>
      <w:r>
        <w:t xml:space="preserve">Prodávajícího </w:t>
      </w:r>
      <w:r w:rsidR="00AB2F46">
        <w:t>se zahájením prací</w:t>
      </w:r>
      <w:r w:rsidR="00F06B76" w:rsidRPr="00D859C2">
        <w:t xml:space="preserve"> na odstranění Kupujícím oznámených vad Zboží</w:t>
      </w:r>
      <w:r w:rsidR="004A1880">
        <w:t xml:space="preserve"> </w:t>
      </w:r>
      <w:r>
        <w:t xml:space="preserve">je Prodávající povinen </w:t>
      </w:r>
      <w:r w:rsidR="00AB2F46" w:rsidRPr="00D859C2">
        <w:t xml:space="preserve">uhradit Kupujícímu smluvní pokutu ve výši 0,2% </w:t>
      </w:r>
      <w:r>
        <w:t>z celkové kupní ceny včetně</w:t>
      </w:r>
      <w:r w:rsidR="00AB2F46" w:rsidRPr="00D859C2">
        <w:t xml:space="preserve"> DPH </w:t>
      </w:r>
      <w:r w:rsidR="00AB2F46">
        <w:t xml:space="preserve">za každý případ a </w:t>
      </w:r>
      <w:r w:rsidR="00AB2F46" w:rsidRPr="00D859C2">
        <w:t xml:space="preserve">za každý </w:t>
      </w:r>
      <w:r w:rsidR="00AB2F46">
        <w:t xml:space="preserve">i započatý </w:t>
      </w:r>
      <w:r w:rsidR="00AB2F46" w:rsidRPr="00D859C2">
        <w:t>den prodlení</w:t>
      </w:r>
      <w:r w:rsidR="00AB2F46">
        <w:t>.</w:t>
      </w:r>
      <w:r>
        <w:t xml:space="preserve"> V případě prodlení Prodávajícího s odstraněním Kupujícím oznámených vad Zboží, tj. v případě </w:t>
      </w:r>
      <w:r w:rsidR="00F06B76" w:rsidRPr="00D859C2">
        <w:t xml:space="preserve">prodlení s uvedením vadného Zboží </w:t>
      </w:r>
      <w:r w:rsidR="007A084F">
        <w:t xml:space="preserve">zpět </w:t>
      </w:r>
      <w:r w:rsidR="00F06B76" w:rsidRPr="00D859C2">
        <w:t>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 w:rsidR="00F06B76" w:rsidRPr="00D859C2">
        <w:t>.</w:t>
      </w:r>
    </w:p>
    <w:p w14:paraId="75136AC4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15B0B937" w14:textId="5F9F64F2" w:rsidR="00B76CBC" w:rsidRPr="00D859C2" w:rsidRDefault="00B76CBC" w:rsidP="00B76CBC">
      <w:pPr>
        <w:pStyle w:val="Odstavecsmlouvy"/>
      </w:pPr>
      <w:r>
        <w:t xml:space="preserve">V případě prodlení Prodávajícího s odstraněním vady nebo nedodělku uvedeného Kupujícím v předávacím protokolu,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039E8C52" w14:textId="77777777" w:rsidR="00B76CBC" w:rsidRDefault="00B76CBC" w:rsidP="00B76CBC">
      <w:pPr>
        <w:pStyle w:val="Odstavecsmlouvy"/>
        <w:numPr>
          <w:ilvl w:val="0"/>
          <w:numId w:val="0"/>
        </w:numPr>
        <w:ind w:left="567"/>
      </w:pPr>
    </w:p>
    <w:p w14:paraId="15E52621" w14:textId="05167519" w:rsidR="0009512B" w:rsidRDefault="0009512B" w:rsidP="00094B12">
      <w:pPr>
        <w:pStyle w:val="Odstavecsmlouvy"/>
      </w:pPr>
      <w:r>
        <w:t>V případě prodlení Prodávajícího se zahájením prací</w:t>
      </w:r>
      <w:r w:rsidRPr="00D859C2">
        <w:t xml:space="preserve"> na odstranění Kupujícím oznámených vad </w:t>
      </w:r>
      <w:r>
        <w:t>nebo nedodělků Montáže</w:t>
      </w:r>
      <w:r w:rsidRPr="00D859C2">
        <w:t xml:space="preserve"> </w:t>
      </w:r>
      <w:r>
        <w:t xml:space="preserve">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 xml:space="preserve"> Kč (slovy: </w:t>
      </w:r>
      <w:proofErr w:type="spellStart"/>
      <w:r>
        <w:t>padesáttisíc</w:t>
      </w:r>
      <w:proofErr w:type="spellEnd"/>
      <w:r>
        <w:t xml:space="preserve">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4026806B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proofErr w:type="gramStart"/>
      <w:r w:rsidR="00200240">
        <w:t>IX.5</w:t>
      </w:r>
      <w:r>
        <w:fldChar w:fldCharType="end"/>
      </w:r>
      <w:r>
        <w:t xml:space="preserve"> této</w:t>
      </w:r>
      <w:proofErr w:type="gramEnd"/>
      <w:r>
        <w:t xml:space="preserve">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 xml:space="preserve">1 000,- Kč (slovy: </w:t>
      </w:r>
      <w:proofErr w:type="spellStart"/>
      <w:r>
        <w:t>jedentisíc</w:t>
      </w:r>
      <w:proofErr w:type="spellEnd"/>
      <w:r>
        <w:t xml:space="preserve">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 xml:space="preserve">Uplatněná či již uhrazená smluvní pokuta nemá vliv na uplatnění nároku Kupujícího na náhradu škody, kterou lze vymáhat samostatně vedle smluvní pokuty v celém rozsahu, </w:t>
      </w:r>
      <w:proofErr w:type="gramStart"/>
      <w:r w:rsidRPr="00D859C2">
        <w:t>tzn.</w:t>
      </w:r>
      <w:proofErr w:type="gramEnd"/>
      <w:r w:rsidRPr="00D859C2">
        <w:t xml:space="preserve"> částka smluvní pokuty se do výše náhrady škody </w:t>
      </w:r>
      <w:proofErr w:type="gramStart"/>
      <w:r w:rsidRPr="00D859C2">
        <w:t>nezapočítává</w:t>
      </w:r>
      <w:proofErr w:type="gramEnd"/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3"/>
        </w:numPr>
      </w:pPr>
      <w:bookmarkStart w:id="2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3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3"/>
        </w:numPr>
      </w:pPr>
      <w:bookmarkStart w:id="3" w:name="_Ref41464712"/>
      <w:bookmarkStart w:id="4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3"/>
    </w:p>
    <w:bookmarkEnd w:id="4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2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77777777" w:rsidR="00160D16" w:rsidRPr="00D859C2" w:rsidRDefault="00160D16" w:rsidP="00160D16">
      <w:pPr>
        <w:pStyle w:val="Odstavecsmlouvy"/>
      </w:pPr>
      <w:r w:rsidRPr="00D859C2">
        <w:t>Prodávající s ohledem na povinnosti Kupujícího vyplývající zejména ze zákona č. 340/2015 Sb., zákon o registru smluv</w:t>
      </w:r>
      <w:r>
        <w:t>,</w:t>
      </w:r>
      <w:r w:rsidRPr="00D859C2">
        <w:t xml:space="preserve"> ve znění pozdějších předpisů</w:t>
      </w:r>
      <w:r>
        <w:t xml:space="preserve"> (dále jen „</w:t>
      </w:r>
      <w:r w:rsidRPr="00094B12">
        <w:rPr>
          <w:b/>
        </w:rPr>
        <w:t>zákon o registru smluv</w:t>
      </w:r>
      <w:r>
        <w:t>“)</w:t>
      </w:r>
      <w:r w:rsidRPr="00D859C2">
        <w:t>, souhlasí se zveřejněním veškerých informací týkajících se závazkového vztahu založeného mezi Prodávajícím a Kupujícím touto smlouvou, zejména vlastního obsahu této smlouvy. Zveřejnění provede Kupující. Ustanovení ob</w:t>
      </w:r>
      <w:r>
        <w:t>čanského</w:t>
      </w:r>
      <w:r w:rsidRPr="00D859C2">
        <w:t xml:space="preserve"> zákoník</w:t>
      </w:r>
      <w:r>
        <w:t>u o obchodním tajemství se nepoužijí</w:t>
      </w:r>
      <w:r w:rsidRPr="00D859C2">
        <w:t xml:space="preserve">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77777777" w:rsidR="00D813B7" w:rsidRPr="00D859C2" w:rsidRDefault="00D813B7" w:rsidP="00094B12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47D20FFF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AF5295">
        <w:rPr>
          <w:snapToGrid w:val="0"/>
        </w:rPr>
        <w:t xml:space="preserve">dvou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obdrží </w:t>
      </w:r>
      <w:r w:rsidR="00AF5295">
        <w:rPr>
          <w:snapToGrid w:val="0"/>
        </w:rPr>
        <w:t>jedno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03"/>
        <w:gridCol w:w="1002"/>
        <w:gridCol w:w="3800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5582FA30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EF24D0">
              <w:rPr>
                <w:sz w:val="22"/>
                <w:szCs w:val="22"/>
              </w:rPr>
              <w:t>Praze</w:t>
            </w:r>
            <w:r w:rsidRPr="001150C5">
              <w:rPr>
                <w:sz w:val="22"/>
                <w:szCs w:val="22"/>
              </w:rPr>
              <w:t xml:space="preserve"> dne</w:t>
            </w:r>
            <w:r w:rsidR="00EC5CF6">
              <w:rPr>
                <w:sz w:val="22"/>
                <w:szCs w:val="22"/>
              </w:rPr>
              <w:t xml:space="preserve"> 19. 7. 2024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1CC4E8AB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EC5CF6">
              <w:rPr>
                <w:sz w:val="22"/>
                <w:szCs w:val="22"/>
              </w:rPr>
              <w:t xml:space="preserve"> 24. 7. 2024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08A89ADC" w:rsidR="00094B12" w:rsidRPr="001150C5" w:rsidRDefault="00EF24D0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Medsol</w:t>
            </w:r>
            <w:proofErr w:type="spellEnd"/>
            <w:r>
              <w:rPr>
                <w:b/>
                <w:sz w:val="22"/>
                <w:szCs w:val="22"/>
              </w:rPr>
              <w:t xml:space="preserve"> s.r.o.</w:t>
            </w:r>
          </w:p>
          <w:p w14:paraId="17D23793" w14:textId="18C3C0E2" w:rsidR="00094B12" w:rsidRPr="00D722DC" w:rsidRDefault="00EF24D0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Michal Baroš, MBA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314AC04E" w14:textId="77777777" w:rsidR="00EF24D0" w:rsidRPr="00EF24D0" w:rsidRDefault="00EF24D0" w:rsidP="00EF24D0">
      <w:pPr>
        <w:rPr>
          <w:b/>
          <w:bCs/>
          <w:noProof/>
          <w:sz w:val="18"/>
          <w:szCs w:val="18"/>
          <w:u w:val="single"/>
        </w:rPr>
      </w:pPr>
      <w:r w:rsidRPr="00EF24D0">
        <w:rPr>
          <w:b/>
          <w:bCs/>
          <w:sz w:val="18"/>
          <w:szCs w:val="18"/>
          <w:u w:val="single"/>
          <w:shd w:val="clear" w:color="auto" w:fill="FFFFFF"/>
        </w:rPr>
        <w:t xml:space="preserve">Transportní monitor </w:t>
      </w:r>
      <w:proofErr w:type="spellStart"/>
      <w:r w:rsidRPr="00EF24D0">
        <w:rPr>
          <w:b/>
          <w:bCs/>
          <w:sz w:val="18"/>
          <w:szCs w:val="18"/>
          <w:u w:val="single"/>
          <w:shd w:val="clear" w:color="auto" w:fill="FFFFFF"/>
        </w:rPr>
        <w:t>QubeMini</w:t>
      </w:r>
      <w:proofErr w:type="spellEnd"/>
      <w:r w:rsidRPr="00EF24D0">
        <w:rPr>
          <w:b/>
          <w:bCs/>
          <w:sz w:val="18"/>
          <w:szCs w:val="18"/>
          <w:u w:val="single"/>
          <w:shd w:val="clear" w:color="auto" w:fill="FFFFFF"/>
        </w:rPr>
        <w:t xml:space="preserve"> </w:t>
      </w:r>
    </w:p>
    <w:p w14:paraId="1BC03FB0" w14:textId="77777777" w:rsidR="00EF24D0" w:rsidRPr="00EF24D0" w:rsidRDefault="00EF24D0" w:rsidP="00EF24D0">
      <w:pPr>
        <w:rPr>
          <w:b/>
          <w:bCs/>
          <w:i/>
          <w:iCs/>
          <w:sz w:val="18"/>
          <w:szCs w:val="18"/>
          <w:u w:val="single"/>
        </w:rPr>
      </w:pPr>
      <w:r w:rsidRPr="00EF24D0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7786FCB" wp14:editId="02658615">
            <wp:simplePos x="0" y="0"/>
            <wp:positionH relativeFrom="column">
              <wp:posOffset>-582930</wp:posOffset>
            </wp:positionH>
            <wp:positionV relativeFrom="paragraph">
              <wp:posOffset>167005</wp:posOffset>
            </wp:positionV>
            <wp:extent cx="899160" cy="737870"/>
            <wp:effectExtent l="38100" t="57150" r="0" b="100330"/>
            <wp:wrapSquare wrapText="bothSides"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378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right" w:tblpY="78"/>
        <w:tblW w:w="851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44"/>
        <w:gridCol w:w="4961"/>
        <w:gridCol w:w="1007"/>
      </w:tblGrid>
      <w:tr w:rsidR="00EF24D0" w:rsidRPr="00EF24D0" w14:paraId="1A5330C8" w14:textId="77777777" w:rsidTr="00BF6179">
        <w:trPr>
          <w:trHeight w:val="405"/>
        </w:trPr>
        <w:tc>
          <w:tcPr>
            <w:tcW w:w="2544" w:type="dxa"/>
            <w:shd w:val="solid" w:color="000080" w:fill="FFFFFF"/>
            <w:vAlign w:val="center"/>
          </w:tcPr>
          <w:p w14:paraId="39580420" w14:textId="77777777" w:rsidR="00EF24D0" w:rsidRPr="00EF24D0" w:rsidRDefault="00EF24D0" w:rsidP="00BF6179">
            <w:pPr>
              <w:pStyle w:val="Nadpis6"/>
              <w:jc w:val="center"/>
              <w:rPr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EF24D0">
              <w:rPr>
                <w:b/>
                <w:bCs/>
                <w:color w:val="FFFFFF"/>
                <w:sz w:val="18"/>
                <w:szCs w:val="18"/>
              </w:rPr>
              <w:t>Katalogové číslo</w:t>
            </w:r>
          </w:p>
        </w:tc>
        <w:tc>
          <w:tcPr>
            <w:tcW w:w="4961" w:type="dxa"/>
            <w:shd w:val="solid" w:color="000080" w:fill="FFFFFF"/>
            <w:vAlign w:val="center"/>
          </w:tcPr>
          <w:p w14:paraId="00A31A84" w14:textId="77777777" w:rsidR="00EF24D0" w:rsidRPr="00EF24D0" w:rsidRDefault="00EF24D0" w:rsidP="00BF6179">
            <w:pPr>
              <w:pStyle w:val="Nadpis6"/>
              <w:jc w:val="center"/>
              <w:rPr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EF24D0">
              <w:rPr>
                <w:b/>
                <w:bCs/>
                <w:color w:val="FFFFFF"/>
                <w:sz w:val="18"/>
                <w:szCs w:val="18"/>
              </w:rPr>
              <w:t>Popis zařízení</w:t>
            </w:r>
          </w:p>
        </w:tc>
        <w:tc>
          <w:tcPr>
            <w:tcW w:w="1007" w:type="dxa"/>
            <w:shd w:val="solid" w:color="000080" w:fill="FFFFFF"/>
            <w:vAlign w:val="center"/>
          </w:tcPr>
          <w:p w14:paraId="0C3CFA18" w14:textId="77777777" w:rsidR="00EF24D0" w:rsidRPr="00EF24D0" w:rsidRDefault="00EF24D0" w:rsidP="00BF6179">
            <w:pPr>
              <w:pStyle w:val="Nadpis6"/>
              <w:jc w:val="center"/>
              <w:rPr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EF24D0">
              <w:rPr>
                <w:b/>
                <w:bCs/>
                <w:color w:val="FFFFFF"/>
                <w:sz w:val="18"/>
                <w:szCs w:val="18"/>
              </w:rPr>
              <w:t>Ks</w:t>
            </w:r>
          </w:p>
        </w:tc>
      </w:tr>
      <w:tr w:rsidR="00EF24D0" w:rsidRPr="00EF24D0" w14:paraId="44A8CE1E" w14:textId="77777777" w:rsidTr="00BF6179">
        <w:tc>
          <w:tcPr>
            <w:tcW w:w="2544" w:type="dxa"/>
            <w:vAlign w:val="center"/>
          </w:tcPr>
          <w:p w14:paraId="04832145" w14:textId="7E34016D" w:rsidR="00EF24D0" w:rsidRPr="00EF24D0" w:rsidRDefault="00EF24D0" w:rsidP="00BF6179">
            <w:pPr>
              <w:jc w:val="center"/>
              <w:rPr>
                <w:sz w:val="18"/>
                <w:szCs w:val="18"/>
              </w:rPr>
            </w:pPr>
            <w:r w:rsidRPr="00EF24D0">
              <w:rPr>
                <w:sz w:val="18"/>
                <w:szCs w:val="18"/>
              </w:rPr>
              <w:t>QMINI</w:t>
            </w:r>
            <w:r w:rsidR="00F6130F">
              <w:rPr>
                <w:sz w:val="18"/>
                <w:szCs w:val="18"/>
              </w:rPr>
              <w:t xml:space="preserve"> 91389 </w:t>
            </w:r>
            <w:r w:rsidRPr="00EF24D0">
              <w:rPr>
                <w:sz w:val="18"/>
                <w:szCs w:val="18"/>
              </w:rPr>
              <w:t>- 17AQ04</w:t>
            </w:r>
          </w:p>
        </w:tc>
        <w:tc>
          <w:tcPr>
            <w:tcW w:w="4961" w:type="dxa"/>
            <w:vAlign w:val="center"/>
          </w:tcPr>
          <w:p w14:paraId="359FFD2A" w14:textId="77777777" w:rsidR="00EF24D0" w:rsidRPr="00EF24D0" w:rsidRDefault="00EF24D0" w:rsidP="00DA5F9D">
            <w:pPr>
              <w:spacing w:line="240" w:lineRule="auto"/>
              <w:ind w:right="38"/>
              <w:jc w:val="center"/>
              <w:rPr>
                <w:sz w:val="18"/>
                <w:szCs w:val="18"/>
              </w:rPr>
            </w:pPr>
            <w:r w:rsidRPr="00EF24D0">
              <w:rPr>
                <w:sz w:val="18"/>
                <w:szCs w:val="18"/>
              </w:rPr>
              <w:t xml:space="preserve">Transportní monitor </w:t>
            </w:r>
            <w:proofErr w:type="spellStart"/>
            <w:r w:rsidRPr="00EF24D0">
              <w:rPr>
                <w:sz w:val="18"/>
                <w:szCs w:val="18"/>
              </w:rPr>
              <w:t>QubeMini</w:t>
            </w:r>
            <w:proofErr w:type="spellEnd"/>
            <w:r w:rsidRPr="00EF24D0">
              <w:rPr>
                <w:sz w:val="18"/>
                <w:szCs w:val="18"/>
              </w:rPr>
              <w:t xml:space="preserve"> – 8“ TFT displej s vysokým rozlišením, Data </w:t>
            </w:r>
            <w:proofErr w:type="spellStart"/>
            <w:r w:rsidRPr="00EF24D0">
              <w:rPr>
                <w:sz w:val="18"/>
                <w:szCs w:val="18"/>
              </w:rPr>
              <w:t>Shuttle</w:t>
            </w:r>
            <w:proofErr w:type="spellEnd"/>
            <w:r w:rsidRPr="00EF24D0">
              <w:rPr>
                <w:sz w:val="18"/>
                <w:szCs w:val="18"/>
              </w:rPr>
              <w:t xml:space="preserve">, 4 </w:t>
            </w:r>
            <w:proofErr w:type="gramStart"/>
            <w:r w:rsidRPr="00EF24D0">
              <w:rPr>
                <w:sz w:val="18"/>
                <w:szCs w:val="18"/>
              </w:rPr>
              <w:t>stopy  (</w:t>
            </w:r>
            <w:r w:rsidRPr="00EF24D0">
              <w:rPr>
                <w:b/>
                <w:bCs/>
                <w:sz w:val="18"/>
                <w:szCs w:val="18"/>
              </w:rPr>
              <w:t>madlo</w:t>
            </w:r>
            <w:proofErr w:type="gramEnd"/>
            <w:r w:rsidRPr="00EF24D0">
              <w:rPr>
                <w:b/>
                <w:bCs/>
                <w:sz w:val="18"/>
                <w:szCs w:val="18"/>
              </w:rPr>
              <w:t xml:space="preserve"> a integrovaný držák na IV stojan</w:t>
            </w:r>
            <w:r w:rsidRPr="00EF24D0">
              <w:rPr>
                <w:sz w:val="18"/>
                <w:szCs w:val="18"/>
              </w:rPr>
              <w:t>)</w:t>
            </w:r>
            <w:r w:rsidRPr="00EF24D0">
              <w:rPr>
                <w:color w:val="000000"/>
                <w:sz w:val="18"/>
                <w:szCs w:val="18"/>
              </w:rPr>
              <w:t xml:space="preserve"> pro možnost transportu pacienta (v případě potřeby) bez nutnosti přepojování příslušenství pacienta a následné přenesení naměřených trendů z modulu do lůžkového monitoru a uložení těchto trendů do centrální stanice</w:t>
            </w:r>
          </w:p>
        </w:tc>
        <w:tc>
          <w:tcPr>
            <w:tcW w:w="1007" w:type="dxa"/>
            <w:vAlign w:val="center"/>
          </w:tcPr>
          <w:p w14:paraId="55C01314" w14:textId="77777777" w:rsidR="00EF24D0" w:rsidRPr="00EF24D0" w:rsidRDefault="00EF24D0" w:rsidP="00BF6179">
            <w:pPr>
              <w:jc w:val="center"/>
              <w:rPr>
                <w:sz w:val="18"/>
                <w:szCs w:val="18"/>
              </w:rPr>
            </w:pPr>
            <w:r w:rsidRPr="00EF24D0">
              <w:rPr>
                <w:sz w:val="18"/>
                <w:szCs w:val="18"/>
              </w:rPr>
              <w:t>1</w:t>
            </w:r>
          </w:p>
        </w:tc>
      </w:tr>
      <w:tr w:rsidR="00EF24D0" w:rsidRPr="00EF24D0" w14:paraId="03C153BF" w14:textId="77777777" w:rsidTr="00BF6179">
        <w:tc>
          <w:tcPr>
            <w:tcW w:w="2544" w:type="dxa"/>
            <w:vAlign w:val="center"/>
          </w:tcPr>
          <w:p w14:paraId="1AF8254D" w14:textId="77777777" w:rsidR="00EF24D0" w:rsidRPr="00EF24D0" w:rsidRDefault="00EF24D0" w:rsidP="00BF6179">
            <w:pPr>
              <w:jc w:val="center"/>
              <w:rPr>
                <w:sz w:val="18"/>
                <w:szCs w:val="18"/>
              </w:rPr>
            </w:pPr>
            <w:r w:rsidRPr="00EF24D0">
              <w:rPr>
                <w:sz w:val="18"/>
                <w:szCs w:val="18"/>
              </w:rPr>
              <w:t>91496-17BHRSU</w:t>
            </w:r>
          </w:p>
        </w:tc>
        <w:tc>
          <w:tcPr>
            <w:tcW w:w="4961" w:type="dxa"/>
            <w:vAlign w:val="center"/>
          </w:tcPr>
          <w:p w14:paraId="3CBBAAA1" w14:textId="77777777" w:rsidR="00EF24D0" w:rsidRPr="00EF24D0" w:rsidRDefault="00EF24D0" w:rsidP="00DA5F9D">
            <w:pPr>
              <w:spacing w:line="240" w:lineRule="auto"/>
              <w:ind w:right="38"/>
              <w:jc w:val="center"/>
              <w:rPr>
                <w:sz w:val="18"/>
                <w:szCs w:val="18"/>
              </w:rPr>
            </w:pPr>
            <w:proofErr w:type="gramStart"/>
            <w:r w:rsidRPr="00EF24D0">
              <w:rPr>
                <w:sz w:val="18"/>
                <w:szCs w:val="18"/>
              </w:rPr>
              <w:t>Modul  EKG</w:t>
            </w:r>
            <w:proofErr w:type="gramEnd"/>
            <w:r w:rsidRPr="00EF24D0">
              <w:rPr>
                <w:sz w:val="18"/>
                <w:szCs w:val="18"/>
              </w:rPr>
              <w:t xml:space="preserve"> /3, 5, 12 svodů, </w:t>
            </w:r>
            <w:proofErr w:type="spellStart"/>
            <w:r w:rsidRPr="00EF24D0">
              <w:rPr>
                <w:sz w:val="18"/>
                <w:szCs w:val="18"/>
              </w:rPr>
              <w:t>kompl.analýza</w:t>
            </w:r>
            <w:proofErr w:type="spellEnd"/>
            <w:r w:rsidRPr="00EF24D0">
              <w:rPr>
                <w:sz w:val="18"/>
                <w:szCs w:val="18"/>
              </w:rPr>
              <w:t xml:space="preserve"> arytmií, analýza ST,  HR,  NIBP s pamětí, SpO2  respirace s volbou  svodů, 2 x TT, 2x IBP</w:t>
            </w:r>
          </w:p>
        </w:tc>
        <w:tc>
          <w:tcPr>
            <w:tcW w:w="1007" w:type="dxa"/>
            <w:vAlign w:val="center"/>
          </w:tcPr>
          <w:p w14:paraId="068DAA0C" w14:textId="77777777" w:rsidR="00EF24D0" w:rsidRPr="00EF24D0" w:rsidRDefault="00EF24D0" w:rsidP="00BF6179">
            <w:pPr>
              <w:jc w:val="center"/>
              <w:rPr>
                <w:sz w:val="18"/>
                <w:szCs w:val="18"/>
              </w:rPr>
            </w:pPr>
            <w:r w:rsidRPr="00EF24D0">
              <w:rPr>
                <w:sz w:val="18"/>
                <w:szCs w:val="18"/>
              </w:rPr>
              <w:t>1</w:t>
            </w:r>
          </w:p>
        </w:tc>
      </w:tr>
    </w:tbl>
    <w:p w14:paraId="2AB68182" w14:textId="77777777" w:rsidR="00EF24D0" w:rsidRPr="00EF24D0" w:rsidRDefault="00EF24D0" w:rsidP="00EF24D0">
      <w:pPr>
        <w:rPr>
          <w:b/>
          <w:bCs/>
          <w:i/>
          <w:iCs/>
          <w:sz w:val="18"/>
          <w:szCs w:val="18"/>
          <w:u w:val="single"/>
        </w:rPr>
      </w:pPr>
    </w:p>
    <w:p w14:paraId="369317C4" w14:textId="77777777" w:rsidR="00EF24D0" w:rsidRPr="00EF24D0" w:rsidRDefault="00EF24D0" w:rsidP="00EF24D0">
      <w:pPr>
        <w:rPr>
          <w:b/>
          <w:bCs/>
          <w:i/>
          <w:iCs/>
          <w:sz w:val="18"/>
          <w:szCs w:val="18"/>
          <w:u w:val="single"/>
        </w:rPr>
      </w:pPr>
    </w:p>
    <w:p w14:paraId="4403953E" w14:textId="77777777" w:rsidR="00EF24D0" w:rsidRPr="00EF24D0" w:rsidRDefault="00EF24D0" w:rsidP="00EF24D0">
      <w:pPr>
        <w:rPr>
          <w:b/>
          <w:bCs/>
          <w:i/>
          <w:iCs/>
          <w:sz w:val="18"/>
          <w:szCs w:val="18"/>
          <w:u w:val="single"/>
        </w:rPr>
      </w:pPr>
    </w:p>
    <w:p w14:paraId="58813999" w14:textId="77777777" w:rsidR="00EF24D0" w:rsidRPr="00EF24D0" w:rsidRDefault="00EF24D0" w:rsidP="00EF24D0">
      <w:pPr>
        <w:rPr>
          <w:b/>
          <w:bCs/>
          <w:i/>
          <w:iCs/>
          <w:sz w:val="18"/>
          <w:szCs w:val="18"/>
          <w:u w:val="single"/>
        </w:rPr>
      </w:pPr>
    </w:p>
    <w:p w14:paraId="708B86C2" w14:textId="77777777" w:rsidR="00EF24D0" w:rsidRPr="00EF24D0" w:rsidRDefault="00EF24D0" w:rsidP="00EF24D0">
      <w:pPr>
        <w:rPr>
          <w:b/>
          <w:bCs/>
          <w:i/>
          <w:iCs/>
          <w:sz w:val="18"/>
          <w:szCs w:val="18"/>
          <w:u w:val="single"/>
        </w:rPr>
      </w:pPr>
    </w:p>
    <w:p w14:paraId="33BDBB0F" w14:textId="10955C47" w:rsidR="00EF24D0" w:rsidRPr="00EF24D0" w:rsidRDefault="00DA5F9D" w:rsidP="00D55774">
      <w:pPr>
        <w:spacing w:line="240" w:lineRule="auto"/>
        <w:rPr>
          <w:b/>
          <w:bCs/>
          <w:i/>
          <w:iCs/>
          <w:sz w:val="18"/>
          <w:szCs w:val="18"/>
          <w:u w:val="single"/>
        </w:rPr>
      </w:pPr>
      <w:r w:rsidRPr="00AF5F48">
        <w:rPr>
          <w:b/>
          <w:bCs/>
          <w:i/>
          <w:iCs/>
          <w:sz w:val="18"/>
          <w:szCs w:val="18"/>
        </w:rPr>
        <w:t xml:space="preserve">      </w:t>
      </w:r>
      <w:r w:rsidR="00EF24D0" w:rsidRPr="00EF24D0">
        <w:rPr>
          <w:b/>
          <w:bCs/>
          <w:i/>
          <w:iCs/>
          <w:sz w:val="18"/>
          <w:szCs w:val="18"/>
          <w:u w:val="single"/>
        </w:rPr>
        <w:t>Popis navrhovaného řešení</w:t>
      </w:r>
    </w:p>
    <w:p w14:paraId="10BE0E96" w14:textId="0B290E6A" w:rsidR="00EF24D0" w:rsidRPr="00EF24D0" w:rsidRDefault="00AF5F48" w:rsidP="00D55774">
      <w:pPr>
        <w:pStyle w:val="Zkladntext23"/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     </w:t>
      </w:r>
      <w:r w:rsidR="00EF24D0" w:rsidRPr="00EF24D0">
        <w:rPr>
          <w:rFonts w:ascii="Arial" w:hAnsi="Arial" w:cs="Arial"/>
          <w:b w:val="0"/>
          <w:sz w:val="18"/>
          <w:szCs w:val="18"/>
        </w:rPr>
        <w:t xml:space="preserve">Transportní monitor </w:t>
      </w:r>
      <w:proofErr w:type="spellStart"/>
      <w:r w:rsidR="00EF24D0" w:rsidRPr="00F6130F">
        <w:rPr>
          <w:rFonts w:ascii="Arial" w:hAnsi="Arial" w:cs="Arial"/>
          <w:bCs/>
          <w:sz w:val="18"/>
          <w:szCs w:val="18"/>
        </w:rPr>
        <w:t>Qube</w:t>
      </w:r>
      <w:r w:rsidRPr="00F6130F">
        <w:rPr>
          <w:rFonts w:ascii="Arial" w:hAnsi="Arial" w:cs="Arial"/>
          <w:bCs/>
          <w:sz w:val="18"/>
          <w:szCs w:val="18"/>
        </w:rPr>
        <w:t>Mini</w:t>
      </w:r>
      <w:proofErr w:type="spellEnd"/>
    </w:p>
    <w:p w14:paraId="139CD13C" w14:textId="75FEA777" w:rsidR="00A05D45" w:rsidRPr="00EF24D0" w:rsidRDefault="00EF24D0" w:rsidP="00D55774">
      <w:pPr>
        <w:spacing w:line="240" w:lineRule="auto"/>
        <w:ind w:left="284" w:hanging="5"/>
        <w:rPr>
          <w:sz w:val="18"/>
          <w:szCs w:val="18"/>
        </w:rPr>
      </w:pPr>
      <w:r w:rsidRPr="00EF24D0">
        <w:rPr>
          <w:sz w:val="18"/>
          <w:szCs w:val="18"/>
        </w:rPr>
        <w:t xml:space="preserve">Plnohodnotný transportní monitor pro invazivní a neinvazivní monitorování, barevný konfigurovatelný LCD displej 8”, 4 stopy, uživatelské prostředí v češtině, dotyková obrazovka, transportní monitor má záložní baterii umožňující </w:t>
      </w:r>
      <w:r w:rsidRPr="00EF24D0">
        <w:rPr>
          <w:b/>
          <w:sz w:val="18"/>
          <w:szCs w:val="18"/>
        </w:rPr>
        <w:t>max. až</w:t>
      </w:r>
      <w:r w:rsidRPr="00EF24D0">
        <w:rPr>
          <w:sz w:val="18"/>
          <w:szCs w:val="18"/>
        </w:rPr>
        <w:t xml:space="preserve"> 5 hod provozu, přenos dat z monitoru do modulu a mezi monitory, veškeré síťové funkce, trendy 96 hod. v grafické a tabulkové podobě s rozlišením 1 min., režim velkých číslic, dotyková obrazovka, zadávání pacientských údajů, možnost sledování alarmů a prohlížení parametrů jiných lůžkových monitorů – tzv. plovoucí centrála, 3 úrovně nastavení alarmů, alarmy odlišné zvukově i barevnou signalizací, Měřené parametry EKG /3, 5, 12 svodů, </w:t>
      </w:r>
      <w:proofErr w:type="spellStart"/>
      <w:r w:rsidRPr="00EF24D0">
        <w:rPr>
          <w:sz w:val="18"/>
          <w:szCs w:val="18"/>
        </w:rPr>
        <w:t>komplet.analýza</w:t>
      </w:r>
      <w:proofErr w:type="spellEnd"/>
      <w:r w:rsidRPr="00EF24D0">
        <w:rPr>
          <w:sz w:val="18"/>
          <w:szCs w:val="18"/>
        </w:rPr>
        <w:t xml:space="preserve"> arytmií, analýza ST/,QRS, e/d, graf/</w:t>
      </w:r>
      <w:proofErr w:type="spellStart"/>
      <w:r w:rsidRPr="00EF24D0">
        <w:rPr>
          <w:sz w:val="18"/>
          <w:szCs w:val="18"/>
        </w:rPr>
        <w:t>num</w:t>
      </w:r>
      <w:proofErr w:type="spellEnd"/>
      <w:r w:rsidRPr="00EF24D0">
        <w:rPr>
          <w:sz w:val="18"/>
          <w:szCs w:val="18"/>
        </w:rPr>
        <w:t xml:space="preserve">. trendy, HR,  NIBP s pamětí, SpO2 </w:t>
      </w:r>
      <w:proofErr w:type="spellStart"/>
      <w:r w:rsidRPr="00EF24D0">
        <w:rPr>
          <w:sz w:val="18"/>
          <w:szCs w:val="18"/>
        </w:rPr>
        <w:t>masimo</w:t>
      </w:r>
      <w:proofErr w:type="spellEnd"/>
      <w:r w:rsidRPr="00EF24D0">
        <w:rPr>
          <w:sz w:val="18"/>
          <w:szCs w:val="18"/>
        </w:rPr>
        <w:t xml:space="preserve">, respirace s volbou svodů, 2 x TT, 4x IBP, CO </w:t>
      </w:r>
      <w:proofErr w:type="spellStart"/>
      <w:r w:rsidRPr="00EF24D0">
        <w:rPr>
          <w:sz w:val="18"/>
          <w:szCs w:val="18"/>
        </w:rPr>
        <w:t>termodilučně</w:t>
      </w:r>
      <w:proofErr w:type="spellEnd"/>
      <w:r w:rsidRPr="00EF24D0">
        <w:rPr>
          <w:sz w:val="18"/>
          <w:szCs w:val="18"/>
        </w:rPr>
        <w:t xml:space="preserve">, </w:t>
      </w:r>
      <w:r w:rsidRPr="00EF24D0">
        <w:rPr>
          <w:bCs/>
          <w:sz w:val="18"/>
          <w:szCs w:val="18"/>
        </w:rPr>
        <w:t>tisk</w:t>
      </w:r>
      <w:r w:rsidRPr="00EF24D0">
        <w:rPr>
          <w:sz w:val="18"/>
          <w:szCs w:val="18"/>
        </w:rPr>
        <w:t xml:space="preserve">, </w:t>
      </w:r>
      <w:r w:rsidRPr="00EF24D0">
        <w:rPr>
          <w:bCs/>
          <w:sz w:val="18"/>
          <w:szCs w:val="18"/>
        </w:rPr>
        <w:t xml:space="preserve">možnost rozšíření o EEG, CO2, BIS, SvO2, </w:t>
      </w:r>
      <w:proofErr w:type="gramStart"/>
      <w:r w:rsidRPr="00EF24D0">
        <w:rPr>
          <w:bCs/>
          <w:sz w:val="18"/>
          <w:szCs w:val="18"/>
        </w:rPr>
        <w:t>C.O.</w:t>
      </w:r>
      <w:proofErr w:type="gramEnd"/>
      <w:r w:rsidRPr="00EF24D0">
        <w:rPr>
          <w:bCs/>
          <w:sz w:val="18"/>
          <w:szCs w:val="18"/>
        </w:rPr>
        <w:t xml:space="preserve"> možnost propojení s jinými přístroji / např. ventilátory, pumpy, </w:t>
      </w:r>
      <w:proofErr w:type="spellStart"/>
      <w:r w:rsidRPr="00EF24D0">
        <w:rPr>
          <w:bCs/>
          <w:sz w:val="18"/>
          <w:szCs w:val="18"/>
        </w:rPr>
        <w:t>anest</w:t>
      </w:r>
      <w:proofErr w:type="spellEnd"/>
      <w:r w:rsidRPr="00EF24D0">
        <w:rPr>
          <w:bCs/>
          <w:sz w:val="18"/>
          <w:szCs w:val="18"/>
        </w:rPr>
        <w:t xml:space="preserve">. přístroje……/ se zobrazením připojených zařízení jak na monitoru, tak na centrální stanici, jednoduchý upgrade SW, možnost interaktivního ovládání, grafické i tabulkové trendy měřených parametrů za dobu posledních 96 hodin včetně jejich tisku, přenos dat z monitoru do modulu a mezi monitory bez nutnosti nulování IBP, při transportu pacienta zároveň </w:t>
      </w:r>
      <w:r w:rsidRPr="00EF24D0">
        <w:rPr>
          <w:bCs/>
          <w:color w:val="000000"/>
          <w:sz w:val="18"/>
          <w:szCs w:val="18"/>
        </w:rPr>
        <w:t>bez nutnosti přepojování příslušenství pacienta a následné přenesení naměřených trendů z modulu do lůžkového monitoru a uložení těchto trendů do centrální stanice</w:t>
      </w:r>
      <w:r w:rsidRPr="00EF24D0">
        <w:rPr>
          <w:bCs/>
          <w:sz w:val="18"/>
          <w:szCs w:val="18"/>
        </w:rPr>
        <w:t xml:space="preserve">. Možnost rozšíření o samostatný modul kontinuálního měření </w:t>
      </w:r>
      <w:proofErr w:type="spellStart"/>
      <w:r w:rsidRPr="00EF24D0">
        <w:rPr>
          <w:bCs/>
          <w:sz w:val="18"/>
          <w:szCs w:val="18"/>
        </w:rPr>
        <w:t>analgeze</w:t>
      </w:r>
      <w:proofErr w:type="spellEnd"/>
      <w:r w:rsidRPr="00EF24D0">
        <w:rPr>
          <w:bCs/>
          <w:sz w:val="18"/>
          <w:szCs w:val="18"/>
        </w:rPr>
        <w:t xml:space="preserve"> na základě analýzy HRV, alarmy vitálních funkcí signalizované vizuálně (viditelnost 360 st., minimálně 3 úrovně podle závažnosti) i zvukově (minimálně 3 úrovně podle závažnosti), volitelná intenzita alarmů. </w:t>
      </w:r>
      <w:proofErr w:type="gramStart"/>
      <w:r w:rsidRPr="00EF24D0">
        <w:rPr>
          <w:bCs/>
          <w:sz w:val="18"/>
          <w:szCs w:val="18"/>
        </w:rPr>
        <w:t>funkce</w:t>
      </w:r>
      <w:proofErr w:type="gramEnd"/>
      <w:r w:rsidRPr="00EF24D0">
        <w:rPr>
          <w:bCs/>
          <w:sz w:val="18"/>
          <w:szCs w:val="18"/>
        </w:rPr>
        <w:t xml:space="preserve"> pro kontrolu alarmů v jednom místě, a to jak jejich aktuálního nastavení, tak i přehled posledních alarmových hlášení všech monitorovaných vitálních funkcí, režim „připraven/</w:t>
      </w:r>
      <w:proofErr w:type="spellStart"/>
      <w:r w:rsidRPr="00EF24D0">
        <w:rPr>
          <w:bCs/>
          <w:sz w:val="18"/>
          <w:szCs w:val="18"/>
        </w:rPr>
        <w:t>stand</w:t>
      </w:r>
      <w:proofErr w:type="spellEnd"/>
      <w:r w:rsidRPr="00EF24D0">
        <w:rPr>
          <w:bCs/>
          <w:sz w:val="18"/>
          <w:szCs w:val="18"/>
        </w:rPr>
        <w:t>-by“ (při odpojení pacienta monitor nealarmuje), režim „návštěva/ztemnění“ (lze vypnout monitor/ztmavit monitor/zapnout šetřič obrazovky, ale monitor pacienta stále monitoruje a v případě alarmu se obrazovka zapne do standardního měřícího režimu, možnost přip</w:t>
      </w:r>
      <w:bookmarkStart w:id="5" w:name="_GoBack"/>
      <w:bookmarkEnd w:id="5"/>
      <w:r w:rsidRPr="00EF24D0">
        <w:rPr>
          <w:bCs/>
          <w:sz w:val="18"/>
          <w:szCs w:val="18"/>
        </w:rPr>
        <w:t>ojení čtečky čárových kódů (min. 4 USB porty), napájení ze 230V, součástí dodávky základní příslušenství pro monitoraci požadovaných parametrů a držák pro upevnění monitoru. Váha 2,9kg.</w:t>
      </w:r>
    </w:p>
    <w:sectPr w:rsidR="00A05D45" w:rsidRPr="00EF24D0" w:rsidSect="00D071E8">
      <w:headerReference w:type="default" r:id="rId12"/>
      <w:footerReference w:type="defaul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C475A" w14:textId="77777777" w:rsidR="00B0642C" w:rsidRDefault="00B0642C" w:rsidP="00FF18EB">
      <w:pPr>
        <w:spacing w:line="240" w:lineRule="auto"/>
      </w:pPr>
      <w:r>
        <w:separator/>
      </w:r>
    </w:p>
    <w:p w14:paraId="706A4340" w14:textId="77777777" w:rsidR="00B0642C" w:rsidRDefault="00B0642C"/>
  </w:endnote>
  <w:endnote w:type="continuationSeparator" w:id="0">
    <w:p w14:paraId="7DEB092E" w14:textId="77777777" w:rsidR="00B0642C" w:rsidRDefault="00B0642C" w:rsidP="00FF18EB">
      <w:pPr>
        <w:spacing w:line="240" w:lineRule="auto"/>
      </w:pPr>
      <w:r>
        <w:continuationSeparator/>
      </w:r>
    </w:p>
    <w:p w14:paraId="3CCC3048" w14:textId="77777777" w:rsidR="00B0642C" w:rsidRDefault="00B064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EC5CF6" w:rsidRPr="00EC5CF6">
          <w:rPr>
            <w:rFonts w:ascii="Arial" w:hAnsi="Arial"/>
            <w:noProof/>
            <w:sz w:val="20"/>
            <w:lang w:val="cs-CZ"/>
          </w:rPr>
          <w:t>11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D0D68" w14:textId="77777777" w:rsidR="00B0642C" w:rsidRDefault="00B0642C" w:rsidP="00FF18EB">
      <w:pPr>
        <w:spacing w:line="240" w:lineRule="auto"/>
      </w:pPr>
      <w:r>
        <w:separator/>
      </w:r>
    </w:p>
    <w:p w14:paraId="57E815E3" w14:textId="77777777" w:rsidR="00B0642C" w:rsidRDefault="00B0642C"/>
  </w:footnote>
  <w:footnote w:type="continuationSeparator" w:id="0">
    <w:p w14:paraId="79F76C0B" w14:textId="77777777" w:rsidR="00B0642C" w:rsidRDefault="00B0642C" w:rsidP="00FF18EB">
      <w:pPr>
        <w:spacing w:line="240" w:lineRule="auto"/>
      </w:pPr>
      <w:r>
        <w:continuationSeparator/>
      </w:r>
    </w:p>
    <w:p w14:paraId="23F8EC17" w14:textId="77777777" w:rsidR="00B0642C" w:rsidRDefault="00B064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88520" w14:textId="237606F2" w:rsidR="00F83F15" w:rsidRPr="00F83F15" w:rsidRDefault="00F83F15">
    <w:pPr>
      <w:pStyle w:val="Zhlav"/>
      <w:rPr>
        <w:lang w:val="cs-CZ"/>
      </w:rPr>
    </w:pPr>
    <w:r>
      <w:rPr>
        <w:lang w:val="cs-CZ"/>
      </w:rPr>
      <w:tab/>
    </w:r>
    <w:r>
      <w:rPr>
        <w:lang w:val="cs-CZ"/>
      </w:rPr>
      <w:tab/>
      <w:t>KP/2435/2024/</w:t>
    </w:r>
    <w:proofErr w:type="spellStart"/>
    <w:r>
      <w:rPr>
        <w:lang w:val="cs-CZ"/>
      </w:rPr>
      <w:t>Sr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F7C4D490"/>
    <w:lvl w:ilvl="0" w:tplc="3044ECD4">
      <w:start w:val="1"/>
      <w:numFmt w:val="decimal"/>
      <w:lvlText w:val="%1."/>
      <w:lvlJc w:val="left"/>
      <w:pPr>
        <w:ind w:left="720" w:hanging="360"/>
      </w:pPr>
    </w:lvl>
    <w:lvl w:ilvl="1" w:tplc="3F5E497C">
      <w:start w:val="9"/>
      <w:numFmt w:val="upperLetter"/>
      <w:lvlText w:val="%2.1"/>
      <w:lvlJc w:val="left"/>
      <w:pPr>
        <w:ind w:left="1440" w:hanging="360"/>
      </w:pPr>
    </w:lvl>
    <w:lvl w:ilvl="2" w:tplc="A97EB364">
      <w:start w:val="1"/>
      <w:numFmt w:val="lowerRoman"/>
      <w:lvlText w:val="%3."/>
      <w:lvlJc w:val="right"/>
      <w:pPr>
        <w:ind w:left="2160" w:hanging="180"/>
      </w:pPr>
    </w:lvl>
    <w:lvl w:ilvl="3" w:tplc="AEBA8396">
      <w:start w:val="1"/>
      <w:numFmt w:val="decimal"/>
      <w:lvlText w:val="%4."/>
      <w:lvlJc w:val="left"/>
      <w:pPr>
        <w:ind w:left="2880" w:hanging="360"/>
      </w:pPr>
    </w:lvl>
    <w:lvl w:ilvl="4" w:tplc="7868B5AE">
      <w:start w:val="1"/>
      <w:numFmt w:val="lowerLetter"/>
      <w:lvlText w:val="%5."/>
      <w:lvlJc w:val="left"/>
      <w:pPr>
        <w:ind w:left="3600" w:hanging="360"/>
      </w:pPr>
    </w:lvl>
    <w:lvl w:ilvl="5" w:tplc="4DBE0244">
      <w:start w:val="1"/>
      <w:numFmt w:val="lowerRoman"/>
      <w:lvlText w:val="%6."/>
      <w:lvlJc w:val="right"/>
      <w:pPr>
        <w:ind w:left="4320" w:hanging="180"/>
      </w:pPr>
    </w:lvl>
    <w:lvl w:ilvl="6" w:tplc="3F12EA2C">
      <w:start w:val="1"/>
      <w:numFmt w:val="decimal"/>
      <w:lvlText w:val="%7."/>
      <w:lvlJc w:val="left"/>
      <w:pPr>
        <w:ind w:left="5040" w:hanging="360"/>
      </w:pPr>
    </w:lvl>
    <w:lvl w:ilvl="7" w:tplc="20442698">
      <w:start w:val="1"/>
      <w:numFmt w:val="lowerLetter"/>
      <w:lvlText w:val="%8."/>
      <w:lvlJc w:val="left"/>
      <w:pPr>
        <w:ind w:left="5760" w:hanging="360"/>
      </w:pPr>
    </w:lvl>
    <w:lvl w:ilvl="8" w:tplc="00AC167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66F31"/>
    <w:multiLevelType w:val="hybridMultilevel"/>
    <w:tmpl w:val="468E14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8"/>
  </w:num>
  <w:num w:numId="5">
    <w:abstractNumId w:val="12"/>
  </w:num>
  <w:num w:numId="6">
    <w:abstractNumId w:val="9"/>
  </w:num>
  <w:num w:numId="7">
    <w:abstractNumId w:val="2"/>
  </w:num>
  <w:num w:numId="8">
    <w:abstractNumId w:val="7"/>
  </w:num>
  <w:num w:numId="9">
    <w:abstractNumId w:val="13"/>
  </w:num>
  <w:num w:numId="10">
    <w:abstractNumId w:val="4"/>
  </w:num>
  <w:num w:numId="11">
    <w:abstractNumId w:val="10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  <w:num w:numId="16">
    <w:abstractNumId w:val="3"/>
  </w:num>
  <w:num w:numId="1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55A4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0240"/>
    <w:rsid w:val="00202E4E"/>
    <w:rsid w:val="002039E1"/>
    <w:rsid w:val="00222AEA"/>
    <w:rsid w:val="002373A7"/>
    <w:rsid w:val="00243FE4"/>
    <w:rsid w:val="002452AD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29DA"/>
    <w:rsid w:val="002B7B6F"/>
    <w:rsid w:val="002C1071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07A85"/>
    <w:rsid w:val="00415B16"/>
    <w:rsid w:val="00417243"/>
    <w:rsid w:val="00423783"/>
    <w:rsid w:val="0042712C"/>
    <w:rsid w:val="00427E17"/>
    <w:rsid w:val="00431845"/>
    <w:rsid w:val="004453FF"/>
    <w:rsid w:val="0044678A"/>
    <w:rsid w:val="00457F76"/>
    <w:rsid w:val="00462280"/>
    <w:rsid w:val="004820A4"/>
    <w:rsid w:val="00487BCE"/>
    <w:rsid w:val="00494052"/>
    <w:rsid w:val="004A1880"/>
    <w:rsid w:val="004A36D2"/>
    <w:rsid w:val="004A6335"/>
    <w:rsid w:val="004B5014"/>
    <w:rsid w:val="004B52F7"/>
    <w:rsid w:val="004B647F"/>
    <w:rsid w:val="004B7BE2"/>
    <w:rsid w:val="004C2151"/>
    <w:rsid w:val="004D237F"/>
    <w:rsid w:val="004D292F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C21"/>
    <w:rsid w:val="005515B0"/>
    <w:rsid w:val="00557856"/>
    <w:rsid w:val="00560C16"/>
    <w:rsid w:val="005627DD"/>
    <w:rsid w:val="00563528"/>
    <w:rsid w:val="00571D58"/>
    <w:rsid w:val="0058691F"/>
    <w:rsid w:val="00586BB3"/>
    <w:rsid w:val="005A31F8"/>
    <w:rsid w:val="005A3B45"/>
    <w:rsid w:val="005A6D97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376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9592F"/>
    <w:rsid w:val="007A084F"/>
    <w:rsid w:val="007A58CB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D0213"/>
    <w:rsid w:val="008D17FE"/>
    <w:rsid w:val="008D45BA"/>
    <w:rsid w:val="008D6F5D"/>
    <w:rsid w:val="008E50DE"/>
    <w:rsid w:val="008E5700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92F5B"/>
    <w:rsid w:val="00A9354F"/>
    <w:rsid w:val="00A937E1"/>
    <w:rsid w:val="00AA0B1A"/>
    <w:rsid w:val="00AA1F90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5295"/>
    <w:rsid w:val="00AF5F48"/>
    <w:rsid w:val="00AF63B5"/>
    <w:rsid w:val="00B00389"/>
    <w:rsid w:val="00B02DCA"/>
    <w:rsid w:val="00B0477F"/>
    <w:rsid w:val="00B0642C"/>
    <w:rsid w:val="00B127BF"/>
    <w:rsid w:val="00B17D06"/>
    <w:rsid w:val="00B2012E"/>
    <w:rsid w:val="00B406E7"/>
    <w:rsid w:val="00B40D75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D06AB"/>
    <w:rsid w:val="00BD0B30"/>
    <w:rsid w:val="00BE2371"/>
    <w:rsid w:val="00BE29A7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55C7C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50BBE"/>
    <w:rsid w:val="00D55774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5F9D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C5CF6"/>
    <w:rsid w:val="00ED3A3E"/>
    <w:rsid w:val="00ED41AA"/>
    <w:rsid w:val="00EE155A"/>
    <w:rsid w:val="00EE477D"/>
    <w:rsid w:val="00EF24D0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130F"/>
    <w:rsid w:val="00F63181"/>
    <w:rsid w:val="00F65DE8"/>
    <w:rsid w:val="00F7334F"/>
    <w:rsid w:val="00F74782"/>
    <w:rsid w:val="00F8343D"/>
    <w:rsid w:val="00F83F15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D71D9"/>
    <w:rsid w:val="00FE001D"/>
    <w:rsid w:val="00FE3EB5"/>
    <w:rsid w:val="00FE7A17"/>
    <w:rsid w:val="00FE7A44"/>
    <w:rsid w:val="00FF18EB"/>
    <w:rsid w:val="068DCB81"/>
    <w:rsid w:val="0D3F1CBE"/>
    <w:rsid w:val="0EEB4593"/>
    <w:rsid w:val="181A5482"/>
    <w:rsid w:val="18879CD4"/>
    <w:rsid w:val="18C84BC9"/>
    <w:rsid w:val="19907203"/>
    <w:rsid w:val="1E4ABBC1"/>
    <w:rsid w:val="1F08FC34"/>
    <w:rsid w:val="1F65EC90"/>
    <w:rsid w:val="21279468"/>
    <w:rsid w:val="239E3158"/>
    <w:rsid w:val="250F301E"/>
    <w:rsid w:val="25F28361"/>
    <w:rsid w:val="2705C89A"/>
    <w:rsid w:val="28366225"/>
    <w:rsid w:val="3095AAC4"/>
    <w:rsid w:val="35964F08"/>
    <w:rsid w:val="36698B26"/>
    <w:rsid w:val="38690F1A"/>
    <w:rsid w:val="3C6ED8A4"/>
    <w:rsid w:val="3CD0218A"/>
    <w:rsid w:val="41D674D0"/>
    <w:rsid w:val="451756F3"/>
    <w:rsid w:val="46B32754"/>
    <w:rsid w:val="49ED3F43"/>
    <w:rsid w:val="4B73C44D"/>
    <w:rsid w:val="4BB76EE7"/>
    <w:rsid w:val="50995BF3"/>
    <w:rsid w:val="53659070"/>
    <w:rsid w:val="592CC486"/>
    <w:rsid w:val="5BAEA329"/>
    <w:rsid w:val="5C8AB425"/>
    <w:rsid w:val="5FDC05B4"/>
    <w:rsid w:val="62A99897"/>
    <w:rsid w:val="67056C94"/>
    <w:rsid w:val="680E8F24"/>
    <w:rsid w:val="696F2DA2"/>
    <w:rsid w:val="6F398BD9"/>
    <w:rsid w:val="719E714E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24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24D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Zkladntext23">
    <w:name w:val="Základní text 23"/>
    <w:basedOn w:val="Normln"/>
    <w:rsid w:val="00EF24D0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3648-9B83-4D60-8C33-CE2CC3A8917C}">
  <ds:schemaRefs>
    <ds:schemaRef ds:uri="http://schemas.microsoft.com/office/2006/metadata/properties"/>
    <ds:schemaRef ds:uri="f8073be8-ba4e-4991-92ef-8ca69007da56"/>
    <ds:schemaRef ds:uri="http://purl.org/dc/terms/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D7783-E332-4D1B-89E0-5400E4B7C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B75648-AE53-4771-8824-3228C624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4888</Words>
  <Characters>28841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33662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Stravová Michaela</cp:lastModifiedBy>
  <cp:revision>5</cp:revision>
  <cp:lastPrinted>2024-05-29T14:40:00Z</cp:lastPrinted>
  <dcterms:created xsi:type="dcterms:W3CDTF">2024-07-16T04:44:00Z</dcterms:created>
  <dcterms:modified xsi:type="dcterms:W3CDTF">2024-07-25T07:25:00Z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