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4958715</wp:posOffset>
            </wp:positionH>
            <wp:positionV relativeFrom="paragraph">
              <wp:posOffset>12700</wp:posOffset>
            </wp:positionV>
            <wp:extent cx="2048510" cy="79883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48510" cy="7988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63500" distR="63500" simplePos="0" relativeHeight="125829379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5074920</wp:posOffset>
                </wp:positionV>
                <wp:extent cx="2185670" cy="189293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85670" cy="1892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2) Název organizace: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Koordinátor úkolu: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Registrace: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Plátce DPH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(dále jen „VUZV“) na straně druhé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4.150000000000006pt;margin-top:399.60000000000002pt;width:172.09999999999999pt;height:149.05000000000001pt;z-index:-125829374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2) Název organizace: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Sídlo: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Koordinátor úkolu: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Registrace: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Plátce DPH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„VUZV“) na straně druhé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Výzkumný ústav živočišná výroby v v i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spolupráci</w:t>
      </w:r>
      <w:bookmarkEnd w:id="0"/>
      <w:bookmarkEnd w:id="1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zajištění aktivit Národního programu genetických zdrojů zvířat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3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</w:p>
    <w:tbl>
      <w:tblPr>
        <w:tblOverlap w:val="never"/>
        <w:jc w:val="center"/>
        <w:tblLayout w:type="fixed"/>
      </w:tblPr>
      <w:tblGrid>
        <w:gridCol w:w="2131"/>
        <w:gridCol w:w="6998"/>
      </w:tblGrid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1) Název organizace: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Asociace chovatelů huculského koně, z.s.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Pražská 607, Zelené předměstí, 530 02 Pardubice</w:t>
            </w:r>
          </w:p>
        </w:tc>
      </w:tr>
      <w:tr>
        <w:trPr>
          <w:trHeight w:val="8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Zastoupená: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20" w:right="0" w:firstLine="0"/>
              <w:jc w:val="left"/>
            </w:pPr>
            <w:r>
              <w:rPr>
                <w:b/>
                <w:bCs/>
                <w:color w:val="000000"/>
                <w:spacing w:val="6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  <w:r>
              <w:rPr>
                <w:b/>
                <w:bCs/>
                <w:color w:val="000000"/>
                <w:spacing w:val="7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b/>
                <w:bCs/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b/>
                <w:bCs/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..........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​........</w:t>
            </w:r>
            <w:r>
              <w:rPr>
                <w:b/>
                <w:bCs/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................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předsedou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65669436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CZ65669436</w:t>
            </w:r>
          </w:p>
        </w:tc>
      </w:tr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Registrace: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spolkový rejstřík, vedený Krajským soudem v Hradci Králové, oddíl L, vložka 3162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2"/>
                <w:w w:val="100"/>
                <w:position w:val="0"/>
                <w:shd w:val="clear" w:color="auto" w:fill="000000"/>
                <w:lang w:val="cs-CZ" w:eastAsia="cs-CZ" w:bidi="cs-CZ"/>
              </w:rPr>
              <w:t>........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​</w:t>
            </w:r>
            <w:r>
              <w:rPr>
                <w:color w:val="000000"/>
                <w:spacing w:val="3"/>
                <w:w w:val="100"/>
                <w:position w:val="0"/>
                <w:shd w:val="clear" w:color="auto" w:fill="000000"/>
                <w:lang w:val="cs-CZ" w:eastAsia="cs-CZ" w:bidi="cs-CZ"/>
              </w:rPr>
              <w:t>.....</w:t>
            </w:r>
            <w:r>
              <w:rPr>
                <w:color w:val="000000"/>
                <w:spacing w:val="4"/>
                <w:w w:val="100"/>
                <w:position w:val="0"/>
                <w:shd w:val="clear" w:color="auto" w:fill="000000"/>
                <w:lang w:val="cs-CZ" w:eastAsia="cs-CZ" w:bidi="cs-CZ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č.ú.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000000"/>
                <w:lang w:val="cs-CZ" w:eastAsia="cs-CZ" w:bidi="cs-CZ"/>
              </w:rPr>
              <w:t>.......​.......​.........</w:t>
            </w:r>
            <w:r>
              <w:rPr>
                <w:color w:val="000000"/>
                <w:spacing w:val="1"/>
                <w:w w:val="100"/>
                <w:position w:val="0"/>
                <w:shd w:val="clear" w:color="auto" w:fill="000000"/>
                <w:lang w:val="cs-CZ" w:eastAsia="cs-CZ" w:bidi="cs-CZ"/>
              </w:rPr>
              <w:t>......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Plátce DPH: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„Spolek“) na straně jedné</w:t>
      </w:r>
    </w:p>
    <w:p>
      <w:pPr>
        <w:widowControl w:val="0"/>
        <w:spacing w:after="1339" w:line="1" w:lineRule="exact"/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živočišné výroby, v. v. i.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Přátelství 815, 104 00, Praha Uhříněves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</w:t>
      </w: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7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,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ředitelem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00027014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CZ00027014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rejstříku v.v.i. MŠMT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.................​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</w:t>
      </w:r>
      <w:r>
        <w:rPr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č.ú.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...................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ano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dnešního dne tuto: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Smlouvu o spolupráci při realizaci Národního programu konzervace a využívání genetických zdrojů rostlin, zvířat a mikroorganismů významných pro výživu a zemědělství na období 2023-2027 (dále jen „Národní program“) schváleného Ministerstvem zemědělství pod číslem jednacím MZE-62216/2022-13113 a Akčního plánu Národního programu konzervace a využívání genetických zdrojů rostlin, zvířat a mikroorganismů významných pro výživu a zemědělství na období 2023 - 2027 (dále jen „Akční plán“, „AP“) schváleného Ministerstvem zemědělství pod číslem jednacím MZE-10182/2023-13113.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06" w:val="left"/>
        </w:tabs>
        <w:bidi w:val="0"/>
        <w:spacing w:before="0" w:after="20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smlouvy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8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Předmětem této smlouvy je spolupráce při realizaci uchování genetického zdroje huculského koně podle Akčního plánu a Metodiky uchování genetického zdroje huculského koně schválené Ministerstvem zemědělství </w:t>
      </w:r>
      <w:r>
        <w:rPr>
          <w:color w:val="2E4C6F"/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"http://eenetickezdroie.cz/publikace/" </w:instrText>
      </w:r>
      <w:r>
        <w:fldChar w:fldCharType="separate"/>
      </w:r>
      <w:r>
        <w:rPr>
          <w:color w:val="2E4C6F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http://eenetickezdroie.cz/publikace/</w:t>
      </w:r>
      <w:r>
        <w:fldChar w:fldCharType="end"/>
      </w:r>
      <w:r>
        <w:rPr>
          <w:color w:val="2E4C6F"/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93" w:val="left"/>
        </w:tabs>
        <w:bidi w:val="0"/>
        <w:spacing w:before="0" w:after="140" w:line="29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Závazky smluvních stran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Spolek se zavazuje zajistit: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8" w:val="left"/>
        </w:tabs>
        <w:bidi w:val="0"/>
        <w:spacing w:before="0" w:after="0" w:line="29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výběr zvířat do genetických zdrojů huculských koní podle platné Metodiky uchování genetického zdroje zvířat, zařazených do Národního programu, předvýběry mladých hřebců, výkonnostní zkoušky klisen a hřebců huculských koní, doplňování fotobanky,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8" w:val="left"/>
        </w:tabs>
        <w:bidi w:val="0"/>
        <w:spacing w:before="0" w:after="0" w:line="29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 2023-2027 aktivita 2.21 Realizovat opatření zaměřená na zvýšení reprodukce umožňující normální obrat stáda, při zachování přijatelného koeficientu inbrídingu, alternativní připařovací plán,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8" w:val="left"/>
        </w:tabs>
        <w:bidi w:val="0"/>
        <w:spacing w:before="0" w:after="0" w:line="29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 2023-2027 aktivita 2.22 Aktivně spolupracovat na realizaci Evropského registru huculských koní v rámci mezinárodní organizace HIF, včetně jeho využití pro český chov především v samčí části populace, průběžná aktualizace dat z ČR,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8" w:val="left"/>
        </w:tabs>
        <w:bidi w:val="0"/>
        <w:spacing w:before="0" w:after="0" w:line="29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 2023-2027 aktivita 2.23 Ověřovat patemitu u všech jedinců zařazovaných do NPGZZ pomocí DNA profilu,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8" w:val="left"/>
        </w:tabs>
        <w:bidi w:val="0"/>
        <w:spacing w:before="0" w:after="0" w:line="29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 2023-2027 aktivita 2.24 Aktualizace Metodiky uchování genetického zdroje zvířat - huculský kůň,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8" w:val="left"/>
        </w:tabs>
        <w:bidi w:val="0"/>
        <w:spacing w:before="0" w:after="0" w:line="29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průběžné vedení databáze osob registrovaných v Národním programu a zpracování souhrnné žádosti o přiznání dotace chovatelům genetických zdrojů huculských koní dle Zásad, kterými se na základě § 1, § 2 a § 2d zákona č. 252/1997 Sb., o zemědělství, ve znění pozdějších předpisů, stanovují podmínky pro poskytování dotací na udržování a využívání genetických zdrojů pro výživu a zemědělství pro rok 2024 Č.j. MZE- 16792/2024-13113 (dále jen „Zásady“),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8" w:val="left"/>
        </w:tabs>
        <w:bidi w:val="0"/>
        <w:spacing w:before="0" w:after="740" w:line="290" w:lineRule="auto"/>
        <w:ind w:left="74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zpracování dat o genetickém zdroji jako podkladů pro Výroční zprávu a vypracování Výroční zprávy včetně výstupů plnění aktivit AP. Prezentace Výroční zprávy a plnění AP projednání Rady genetických zdrojů pro zemědělství (dále jen „GZZ“).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2) VÚŽV se zavazuje: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8" w:val="left"/>
        </w:tabs>
        <w:bidi w:val="0"/>
        <w:spacing w:before="0" w:after="4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provádět kontrolu činností dle odst. I),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8" w:val="left"/>
        </w:tabs>
        <w:bidi w:val="0"/>
        <w:spacing w:before="0" w:after="48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zaplatit řádně a včas cenu sjednanou dle č. III. této smlouvy.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70" w:val="left"/>
        </w:tabs>
        <w:bidi w:val="0"/>
        <w:spacing w:before="0" w:after="64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ujednání</w:t>
      </w:r>
      <w:bookmarkEnd w:id="12"/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celková cena za činnosti uvedené v čl. II. odst. 1) této smlouvy činí do 191.200 Kč včetně DPH (slovy: jedno sto devadesát jeden tisíc dvě stě korun českých). Tuto částku není Spolek oprávněn překročit.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Podrobná kalkulace této ceny je uvedena v Příloze č. 1. k této smlouvě, která je její nedílnou součástí.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Výkaz skutečných nákladů v členění podle základních položek na podkladě protokolu podle článku II. této smlouvy se stručným komentářem k jednotlivým položkám je Spolek povinen předložit k odsouhlasení VÚŽV. Po odsouhlasení je Spolek oprávněn vystavit fakturu na úhradu nákladů v souhlasu se schváleným vyúčtováním. Výkaz tvoří přílohu k této faktuře a je její nedílnou součástí.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Nárok na zaplacení celkové ceny vzniká pouze za předpokladu splnění všech závazků Spolku. Při nesplnění dílčích částí závazku může být celková cena krácena o dílčí část ceny, odpovídající nesplnění závazku. O krácení ceny a důvodech tohoto krácení bude Spolek vyrozuměn.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7" w:val="left"/>
        </w:tabs>
        <w:bidi w:val="0"/>
        <w:spacing w:before="0" w:after="200" w:line="18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Časová ujednání</w:t>
      </w:r>
      <w:bookmarkEnd w:id="14"/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časové posloupnosti činností takto: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Spolek se zavazuje: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0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předat VUŽV Výroční zprávu a výstupy plnění aktivit Akčního plánu za rok 2023 (elektronicky ve formátu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.doc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.xls) včetně jejich prezentace projednání Rady GZZ,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0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18. 10. 2024 předat VÚŽV zpracovanou souhrnnou žádost o přiznání podpory chovatelům na chov genetických zdrojů huculského koně dle „Zásad“ v předepsané formě, vypracovanou na základě individuálních žádostí,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0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22. 11. 2024 předat VUŽV zprávu o výsledku realizace opatření zaměřených na zvýšení reprodukce umožňující normální obrat stáda, při zachování přijatelného koeficientu inbrídingu, včetně alternativního připařovacího plánu (elektronicky ve formátu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.doc,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.xls,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.pdf),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AP 2023-2027 aktivita 2.21,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0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 22. 11. 2024 předat VUŽV zprávu o spolupráci na realizaci evropského registru HC v rámci mezinárodní organizace HIF (elektronicky ve formátu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.doc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.xls), AP 2023-2027 aktivita 2.22,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0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22. 11. 2024 předat kopie výsledků ověřování původu, AP 2023-2027 aktivita 2.23,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0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22. 11. 2024 předat aktualizovanou Metodiku (elektronicky ve formátu .doc, .xls), AP 2023-2027 aktivita 2.24,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0" w:line="262" w:lineRule="auto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22. 11. 2024 předat VÚŽV podklady pro Výroční zprávu za rok 2024 podle vzoru, který je Přílohou č. 2 této smlouvy (elektronicky ve formátu .xls),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0" w:line="262" w:lineRule="auto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22. 11. 2024 předat VÚŽV ke kontrole a odsouhlasení výkaz skutečných nákladů v členění podle základních položek se stručným komentářem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1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jednotlivým položkám (elektronicky). Po odsouhlasení je Spolek oprávněn vystavit fakturu na úhradu nákladů v souladu se schváleným vyúčtováním. Výkaz tvoří přílohu k vystavené faktuře a je její nedílnou součástí,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19" w:val="left"/>
        </w:tabs>
        <w:bidi w:val="0"/>
        <w:spacing w:before="0" w:after="180" w:line="262" w:lineRule="auto"/>
        <w:ind w:left="11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 29. 11. 2024 vystavit fakturu se splatností nejpozději do 6. 12. 2024. Na faktury doručené po 29. 11. 2024 nebude brán zřetel a nárok Spolku na zaplacení ceny zaniká.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převzetí výstupů bude z činnosti podle bodů a) až g) vyhotoven písemný protokol, podepsaný oběma smluvními stranami.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2) VÚŽV se zavazuje: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93" w:lineRule="auto"/>
        <w:ind w:left="114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do 27. 11. 2024 zkontrolovat výkaz skutečných nákladů, po jeho odsouhlasení vydá písemný pokyn k vystavení faktury.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03" w:val="left"/>
        </w:tabs>
        <w:bidi w:val="0"/>
        <w:spacing w:before="0" w:line="264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Spolku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3" w:val="left"/>
        </w:tabs>
        <w:bidi w:val="0"/>
        <w:spacing w:before="0" w:line="293" w:lineRule="auto"/>
        <w:ind w:left="72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Spolek se zavazuje průběžně racionalizovat práci s genofondem, respektovat přijaté metodické postupy a dohodnutou dělbu práce.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3" w:val="left"/>
        </w:tabs>
        <w:bidi w:val="0"/>
        <w:spacing w:before="0" w:line="264" w:lineRule="auto"/>
        <w:ind w:left="72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Pokud v průběhu plnění dojde k podstatným změnám skutečností, na jejichž základě je uzavřena tato smlouva a poskytnuty finanční prostředky VÚŽV, je Spolek povinen bez zbytečného odkladu oznámit tyto změny písemně VÚŽV.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3" w:val="left"/>
        </w:tabs>
        <w:bidi w:val="0"/>
        <w:spacing w:before="0" w:line="262" w:lineRule="auto"/>
        <w:ind w:left="72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na straně Spolku nastanou okolnosti, v jejichž důsledku nebude Spolek schopen dočasně či dlouhodobě pokračovat v realizaci činností, je povinen bez zbytečného odkladu informovat VÚŽV a současně navrhnout řešení. Obě smluvní strany se zavazují, že v takovém případě vynaloží veškeré úsilí, které lze na nich objektivně požadovat, k dokončení činností.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3" w:val="left"/>
        </w:tabs>
        <w:bidi w:val="0"/>
        <w:spacing w:before="0" w:line="264" w:lineRule="auto"/>
        <w:ind w:left="72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Spolek je povinen poskytovat požadované informace a umožňovat vstup na pracoviště spolku za účelem kontroly v rozsahu stanoveném touto smlouvou VÚŽV, koordinátorovi Národního programu nebo jím pověřeným pracovníkům a dalším subjektům, oprávněným provádět kontrolu.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23" w:val="left"/>
        </w:tabs>
        <w:bidi w:val="0"/>
        <w:spacing w:before="0" w:after="440" w:line="259" w:lineRule="auto"/>
        <w:ind w:left="720" w:right="0" w:hanging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Spolek má povinnost řídit se veškerými pokyny VÚŽV, pokud nej sou v přímém rozporu se zněním této smlouvy.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99" w:val="left"/>
        </w:tabs>
        <w:bidi w:val="0"/>
        <w:spacing w:before="0" w:line="264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VÚŽV</w:t>
      </w:r>
      <w:bookmarkEnd w:id="18"/>
      <w:bookmarkEnd w:id="19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7" w:val="left"/>
        </w:tabs>
        <w:bidi w:val="0"/>
        <w:spacing w:before="0" w:line="269" w:lineRule="auto"/>
        <w:ind w:left="72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je povinen zaplatit Spolku cenu v rozsahu a způsobem uvedeným v této smlouvě.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1" w:val="left"/>
        </w:tabs>
        <w:bidi w:val="0"/>
        <w:spacing w:before="0" w:line="269" w:lineRule="auto"/>
        <w:ind w:left="72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má právo na provádění kontrol na pracovišti Spolku dle této smlouvy, pokud jde o kontrolu realizace činností.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1" w:val="left"/>
        </w:tabs>
        <w:bidi w:val="0"/>
        <w:spacing w:before="0" w:after="920" w:line="259" w:lineRule="auto"/>
        <w:ind w:left="72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VÚŽV je oprávněn v průběhu realizace činností se seznamovat s dílčími výsledky a udílet pro další postup prací závazné pokyny.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81" w:val="left"/>
        </w:tabs>
        <w:bidi w:val="0"/>
        <w:spacing w:before="0" w:line="276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plnění smlouvy</w:t>
      </w:r>
      <w:bookmarkEnd w:id="20"/>
      <w:bookmarkEnd w:id="21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57" w:val="left"/>
        </w:tabs>
        <w:bidi w:val="0"/>
        <w:spacing w:before="0" w:after="160" w:line="276" w:lineRule="auto"/>
        <w:ind w:left="72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Kontrola plnění této smlouvy VÚŽV zaměřená na věcné plnění je Spolku oznámena předem. Termín konání kontroly určí o VÚŽV. O průběhu a závěru kontroly se vyhotoví zápis, který podepisují všichni zúčastnění.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41" w:val="left"/>
        </w:tabs>
        <w:bidi w:val="0"/>
        <w:spacing w:before="0" w:after="160" w:line="276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účelem předem oznámeného konání kontroly je Spolek povinen: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0" w:val="left"/>
        </w:tabs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připravit příslušné podklady umožňující kontrolu,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65" w:val="left"/>
        </w:tabs>
        <w:bidi w:val="0"/>
        <w:spacing w:before="0" w:after="16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účast odpovědných zástupců,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83" w:val="left"/>
        </w:tabs>
        <w:bidi w:val="0"/>
        <w:spacing w:before="0" w:after="0" w:line="259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zajistit technické podmínky pro uskutečnění kontroly VÚŽV v požadovaném rozsahu,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43" w:val="left"/>
        </w:tabs>
        <w:bidi w:val="0"/>
        <w:spacing w:before="0" w:after="920" w:line="259" w:lineRule="auto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přizvat po dohodě s VÚŽV další subjekty, jejichž účast je pro potřeby kontroly nezbytná.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83" w:val="left"/>
        </w:tabs>
        <w:bidi w:val="0"/>
        <w:spacing w:before="0" w:after="140" w:line="283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Doba trvání smlouvy</w:t>
      </w:r>
      <w:bookmarkEnd w:id="22"/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93" w:lineRule="auto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se uzavírá na dobu určitou do 6. 12. 2024. Kjejímu prodloužení lze dojít pouze písemným dodatkem podepsaným oběma smluvními stranami.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43" w:val="left"/>
        </w:tabs>
        <w:bidi w:val="0"/>
        <w:spacing w:before="0" w:after="140" w:line="283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Zvláštní ujednání</w:t>
      </w:r>
      <w:bookmarkEnd w:id="24"/>
      <w:bookmarkEnd w:id="25"/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95" w:val="left"/>
        </w:tabs>
        <w:bidi w:val="0"/>
        <w:spacing w:before="0" w:after="0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publikaci výsledků dosažených v rámci realizace činností se Spolek zavazuje vždy uvádět, že výsledky byly získány s finanční účastí MZe ČR v rámci Národního programu.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19" w:val="left"/>
        </w:tabs>
        <w:bidi w:val="0"/>
        <w:spacing w:before="0" w:after="440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vztahu ke Spolkem poskytnutým plněním dle této smlouvy, jsou-li autorským dílem, poskytuje Spolek VÚŽV a MZe okamžikem uzavření této smlouvy výhradní, časově, množstevně a územně neomezenou a neodvolatelnou licenci k veškerým známým způsobům užití takového díla. Odměna za poskytnutí licence je součástí ceny podle článku III., této smlouvy. Současně Spolek prohlašuje, že je oprávněn takovou licenci VÚŽV v plném rozsahu poskytnout. VÚŽV je oprávněn toto dílo modifikovat, zpracovávat, spojovat s jinými díly nebo zařazovat do děl souborných. VÚŽV nemá povinnost udělenou licenci využít. Udělenou licenci je VÚŽV dále oprávněn postoupit na třetí osobu nebo v celém či částečném rozsahu udělit libovolné třetí osobě podlicenci k užití daného díla či jeho části. VÚŽV je oprávněn užít dílo s uvedením anebo i bez uvedení autorství.</w:t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2" w:val="left"/>
        </w:tabs>
        <w:bidi w:val="0"/>
        <w:spacing w:before="0" w:after="140" w:line="283" w:lineRule="auto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Sankce</w:t>
      </w:r>
      <w:bookmarkEnd w:id="26"/>
      <w:bookmarkEnd w:id="27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83" w:val="left"/>
        </w:tabs>
        <w:bidi w:val="0"/>
        <w:spacing w:before="0" w:after="140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případě nedodržení smluvní povinnosti Spolkem, spočívající zejména v: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24" w:val="left"/>
        </w:tabs>
        <w:bidi w:val="0"/>
        <w:spacing w:before="0" w:after="0" w:line="259" w:lineRule="auto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nesplnění předmětu smlouvy v rozsahu a způsobu stanoveném touto smlouvou z důvodů na straně Spolku,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38" w:val="left"/>
        </w:tabs>
        <w:bidi w:val="0"/>
        <w:spacing w:before="0" w:after="140" w:line="259" w:lineRule="auto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prodlení Spolku s plněním povinností dle čl. IV. odst. 1 písm. a) - h) této smlouvy delším než 7 kalendářních dnů,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 VÚŽV pro eventualitu ad a) oprávněn zkrátit finanční prostředky VÚŽV alokované Spolku a to v poměrné výši k míře plnění za předmětné období a pro eventualitu ad b) o 500,-Kč za každý den prodlení pro každý případ nedodržení termínu dle čl. IV. této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76" w:lineRule="auto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ustanovením není dotčen nárok VÚŽV na náhradu škody, která mu v důsledku prodlení Spolku s plněním podle této smlouvy vznikne.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0" w:val="left"/>
        </w:tabs>
        <w:bidi w:val="0"/>
        <w:spacing w:before="0" w:after="140" w:line="286" w:lineRule="auto"/>
        <w:ind w:left="70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případě, že Spolek bude v prodlení s plněním každé jednotlivé povinností dle čl. IV delším než 3 pracovní dny, je VÚŽV oprávněn od smlouvy odstoupit s tím, že Spolek nemá právo na zaplacení jakékoli finanční náhrady.</w:t>
      </w:r>
      <w:r>
        <w:br w:type="page"/>
      </w:r>
    </w:p>
    <w:p>
      <w:pPr>
        <w:pStyle w:val="Style10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86" w:val="left"/>
        </w:tabs>
        <w:bidi w:val="0"/>
        <w:spacing w:before="0" w:after="180" w:line="240" w:lineRule="auto"/>
        <w:ind w:left="0" w:right="0" w:firstLine="0"/>
        <w:jc w:val="center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Společná a závěrečná ustanovení</w:t>
      </w:r>
      <w:bookmarkEnd w:id="28"/>
      <w:bookmarkEnd w:id="29"/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70" w:val="left"/>
        </w:tabs>
        <w:bidi w:val="0"/>
        <w:spacing w:before="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může být měněna a doplňována pouze dohodou smluvních stran formou písemného dodatku.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70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 ukončení trvání této smlouvy písemnou dohodou smluvních stran musí být dohodnuto vyúčtování do té doby vykonaných činností Spolkem.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70" w:val="left"/>
        </w:tabs>
        <w:bidi w:val="0"/>
        <w:spacing w:before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podpisem této smlouvy stvrzují, že pokud si v souvislosti s předmětem plnění této smlouvy navzájem poskytnou informace vysloveně označené jednou ze smluvních stran za důvěrné, nesmí je strana, které byly tyto informace poskytnuty, předat třetí osobě, ani je použít v rozporu s účelem této smlouvy. Porušení této povinnosti zakládá právo poškozené strany na náhradu škody, která ji v důsledku porušení smluvní povinnosti druhou stranou vznikne.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70" w:val="left"/>
        </w:tabs>
        <w:bidi w:val="0"/>
        <w:spacing w:before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Práva a povinnosti z této smlouvy přecházejí na eventuální právní nástupce smluvních stran.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70" w:val="left"/>
        </w:tabs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 vztahy z této smlouvy vznikající a vyplývající, pokud nejsou touto smlouvou vysloveně upraveny, se řídí příslušnými právními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vyhotovena ve 4 stejnopisech, z nichž každý má platnost originálu. Každá smluvní strana obdrží po 2 vyhotoveních.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011" w:left="1363" w:right="1279" w:bottom="1718" w:header="583" w:footer="129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7790" distB="261620" distL="114300" distR="1424940" simplePos="0" relativeHeight="125829381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margin">
                  <wp:posOffset>3892550</wp:posOffset>
                </wp:positionV>
                <wp:extent cx="2846705" cy="21653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46705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Za VUZV.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Výzkumný ústav živočišná výroby, v.v.i.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400000000000006pt;margin-top:306.5pt;width:224.15000000000001pt;height:17.050000000000001pt;z-index:-125829372;mso-wrap-distance-left:9.pt;mso-wrap-distance-top:7.7000000000000002pt;mso-wrap-distance-right:112.2pt;mso-wrap-distance-bottom:20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 VUZV.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Výzkumný ústav živočišná výroby, v.v.i.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6200" distB="304800" distL="3573780" distR="114300" simplePos="0" relativeHeight="125829383" behindDoc="0" locked="0" layoutInCell="1" allowOverlap="1">
                <wp:simplePos x="0" y="0"/>
                <wp:positionH relativeFrom="page">
                  <wp:posOffset>4353560</wp:posOffset>
                </wp:positionH>
                <wp:positionV relativeFrom="margin">
                  <wp:posOffset>3870960</wp:posOffset>
                </wp:positionV>
                <wp:extent cx="697865" cy="19494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Spolek: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2.80000000000001pt;margin-top:304.80000000000001pt;width:54.950000000000003pt;height:15.35pt;z-index:-125829370;mso-wrap-distance-left:281.39999999999998pt;mso-wrap-distance-top:6.pt;mso-wrap-distance-right:9.pt;mso-wrap-distance-bottom:24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Spolek: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74320" distB="0" distL="1263650" distR="2079625" simplePos="0" relativeHeight="125829385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margin">
                  <wp:posOffset>4069080</wp:posOffset>
                </wp:positionV>
                <wp:extent cx="1042670" cy="30162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2670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80"/>
                              <w:jc w:val="left"/>
                            </w:pPr>
                            <w:r>
                              <w:rPr>
                                <w:color w:val="3E8CD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Přáteistv; ais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1C“»- Cw &gt;■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60.90000000000001pt;margin-top:320.39999999999998pt;width:82.099999999999994pt;height:23.75pt;z-index:-125829368;mso-wrap-distance-left:99.5pt;mso-wrap-distance-top:21.600000000000001pt;mso-wrap-distance-right:163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80"/>
                        <w:jc w:val="left"/>
                      </w:pPr>
                      <w:r>
                        <w:rPr>
                          <w:color w:val="3E8CDF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Přáteistv; ais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1C“»- Cw &gt;■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3408680</wp:posOffset>
            </wp:positionH>
            <wp:positionV relativeFrom="margin">
              <wp:posOffset>4312920</wp:posOffset>
            </wp:positionV>
            <wp:extent cx="1767840" cy="93853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67840" cy="9385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59055</wp:posOffset>
            </wp:positionH>
            <wp:positionV relativeFrom="margin">
              <wp:posOffset>4520565</wp:posOffset>
            </wp:positionV>
            <wp:extent cx="1316990" cy="74993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16990" cy="7499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79" w:left="0" w:right="0" w:bottom="397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12700</wp:posOffset>
                </wp:positionV>
                <wp:extent cx="387350" cy="186055"/>
                <wp:wrapSquare wrapText="righ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735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59.94999999999999pt;margin-top:1.pt;width:30.5pt;height:14.6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</w:t>
                      </w:r>
                      <w:r>
                        <w:rPr>
                          <w:b/>
                          <w:bCs/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5020" w:right="0" w:hanging="2640"/>
        <w:jc w:val="left"/>
      </w:pPr>
      <w:r>
        <w:rPr>
          <w:b/>
          <w:bCs/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b/>
          <w:bCs/>
          <w:color w:val="000000"/>
          <w:spacing w:val="7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b/>
          <w:b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b/>
          <w:bCs/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......</w:t>
      </w:r>
      <w:r>
        <w:rPr>
          <w:b/>
          <w:bCs/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</w:t>
      </w:r>
      <w:r>
        <w:rPr>
          <w:b/>
          <w:b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b/>
          <w:bCs/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b/>
          <w:bCs/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...............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​..............</w:t>
      </w:r>
      <w:r>
        <w:rPr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........</w:t>
      </w:r>
      <w:r>
        <w:rPr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..............</w:t>
      </w:r>
      <w:r>
        <w:rPr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huculského koně,z.s.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Předběžná kalkulace prací na realizaci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Národního programu konzervace a využívání genetických zdrojů pro zemědělství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huculského koně pro rok 2024</w:t>
      </w:r>
    </w:p>
    <w:tbl>
      <w:tblPr>
        <w:tblOverlap w:val="never"/>
        <w:jc w:val="center"/>
        <w:tblLayout w:type="fixed"/>
      </w:tblPr>
      <w:tblGrid>
        <w:gridCol w:w="7522"/>
        <w:gridCol w:w="2227"/>
      </w:tblGrid>
      <w:tr>
        <w:trPr>
          <w:trHeight w:val="13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Kontrolní činnost v chovech - výběry do genetického zdroje, předvýběry mladých hřebců, zajištění výkonnostních zkoušek, termíny konání budou zveřejněny na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hucul-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>achhk.cz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n-US" w:eastAsia="en-US" w:bidi="en-US"/>
              </w:rPr>
              <w:t xml:space="preserve">,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doplňování fotobanky.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Cestovné 2750 km po 10 Kč.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Mzda 134 hodin po 550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101.200 Kč</w:t>
            </w:r>
          </w:p>
        </w:tc>
      </w:tr>
      <w:tr>
        <w:trPr>
          <w:trHeight w:val="10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 2023-2027 aktivita 2.21 Realizovat opatření zaměřená na zvýšení reprodukce umožňující normální obrat stáda, při zachování přijatelného koeficientu inbrídingu, alternativní připařovací plán.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Mzda 10 hodin po 550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5.500 Kč</w:t>
            </w: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 2023-2027 aktivita 2.22 Spolupráce na realizaci evropského registru HC v rámci mezinárodní organizace HIF. Zpracování a průběžná aktualizace dat. Mzda 30 hodin po 550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16.500 Kč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AP 2023-2027 aktivita 2.23 Ověřování původu do 16 kusů zvířat. Vyšetření jednoho vzorku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do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1.500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24.000 Kč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AP 2023-2027 aktivita 2.24 aktualizace Metodiky Mzda 20 hodin po 550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11.000 Kč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Průběžné vedení databáze osob registrovaných v Národním programu. Mzda 20hodin po 550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11.000 Kč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souhrnné žádosti, administrace dotací. Mzda 20 hodin po 550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1.000 Kč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dat o genetickém zdroji jako podkladů pro Výroční zprávu a vypracování Výroční zprávy včetně výstupů plnění aktivit AP. Prezentace Výroční zprávy a plnění AP projednání Rady GZZ.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Mzda 20 hodin po 550 Kč.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1.000 Kč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předpokládané náklady včetně DPH.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191.200 Kč</w:t>
            </w:r>
          </w:p>
        </w:tc>
      </w:tr>
    </w:tbl>
    <w:p>
      <w:pPr>
        <w:widowControl w:val="0"/>
        <w:spacing w:after="8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2465" w:val="left"/>
        </w:tabs>
        <w:bidi w:val="0"/>
        <w:spacing w:before="0" w:after="1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1185545" distL="1763395" distR="114300" simplePos="0" relativeHeight="125829389" behindDoc="0" locked="0" layoutInCell="1" allowOverlap="1">
                <wp:simplePos x="0" y="0"/>
                <wp:positionH relativeFrom="page">
                  <wp:posOffset>5705475</wp:posOffset>
                </wp:positionH>
                <wp:positionV relativeFrom="paragraph">
                  <wp:posOffset>88900</wp:posOffset>
                </wp:positionV>
                <wp:extent cx="1009015" cy="506095"/>
                <wp:wrapSquare wrapText="lef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9015" cy="506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ACHHK ®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• Pražská 607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>530 02 PARDUBICE</w:t>
                              <w:br/>
                              <w:t>IČO’ 656 69 436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49.25pt;margin-top:7.pt;width:79.450000000000003pt;height:39.850000000000001pt;z-index:-125829364;mso-wrap-distance-left:138.84999999999999pt;mso-wrap-distance-right:9.pt;mso-wrap-distance-bottom:93.349999999999994pt;mso-position-horizontal-relative:page" filled="f" stroked="f">
                <v:textbox inset="0,0,0,0">
                  <w:txbxContent>
                    <w:p>
                      <w:pPr>
                        <w:pStyle w:val="Style5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ACHHK ®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• Pražská 607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530 02 PARDUBICE</w:t>
                        <w:br/>
                        <w:t>IČO’ 656 69 436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490855" distB="341630" distL="141605" distR="589915" simplePos="0" relativeHeight="125829391" behindDoc="0" locked="0" layoutInCell="1" allowOverlap="1">
            <wp:simplePos x="0" y="0"/>
            <wp:positionH relativeFrom="page">
              <wp:posOffset>4083685</wp:posOffset>
            </wp:positionH>
            <wp:positionV relativeFrom="paragraph">
              <wp:posOffset>579755</wp:posOffset>
            </wp:positionV>
            <wp:extent cx="2157730" cy="859790"/>
            <wp:wrapSquare wrapText="lef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157730" cy="8597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1402715</wp:posOffset>
                </wp:positionV>
                <wp:extent cx="1810385" cy="37782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0385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  <w:r>
                              <w:rPr>
                                <w:color w:val="000000"/>
                                <w:spacing w:val="1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​</w:t>
                            </w:r>
                            <w:r>
                              <w:rPr>
                                <w:color w:val="000000"/>
                                <w:spacing w:val="2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..............</w:t>
                            </w:r>
                            <w:r>
                              <w:rPr>
                                <w:color w:val="000000"/>
                                <w:spacing w:val="3"/>
                                <w:w w:val="100"/>
                                <w:position w:val="0"/>
                                <w:shd w:val="clear" w:color="auto" w:fill="000000"/>
                                <w:lang w:val="cs-CZ" w:eastAsia="cs-CZ" w:bidi="cs-CZ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huculského koně, z.s.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319.39999999999998pt;margin-top:110.45pt;width:142.55000000000001pt;height:29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  <w:r>
                        <w:rPr>
                          <w:color w:val="000000"/>
                          <w:spacing w:val="1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​</w:t>
                      </w:r>
                      <w:r>
                        <w:rPr>
                          <w:color w:val="000000"/>
                          <w:spacing w:val="2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..............</w:t>
                      </w:r>
                      <w:r>
                        <w:rPr>
                          <w:color w:val="000000"/>
                          <w:spacing w:val="3"/>
                          <w:w w:val="100"/>
                          <w:position w:val="0"/>
                          <w:shd w:val="clear" w:color="auto" w:fill="000000"/>
                          <w:lang w:val="cs-CZ" w:eastAsia="cs-CZ" w:bidi="cs-CZ"/>
                        </w:rPr>
                        <w:t>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huculského koně, z.s.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351155</wp:posOffset>
                </wp:positionV>
                <wp:extent cx="694690" cy="25273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Spolek:</w:t>
                            </w:r>
                          </w:p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80" w:firstLine="0"/>
                              <w:jc w:val="righ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8BA69D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cs-CZ" w:eastAsia="cs-CZ" w:bidi="cs-CZ"/>
                              </w:rPr>
                              <w:t>J'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43.39999999999998pt;margin-top:27.649999999999999pt;width:54.700000000000003pt;height:19.8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Spolek:</w:t>
                      </w:r>
                    </w:p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180" w:firstLine="0"/>
                        <w:jc w:val="righ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color w:val="8BA69D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cs-CZ" w:eastAsia="cs-CZ" w:bidi="cs-CZ"/>
                        </w:rPr>
                        <w:t>J'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Praze dne</w:t>
        <w:tab/>
      </w:r>
      <w:r>
        <w:rPr>
          <w:color w:val="5464BB"/>
          <w:spacing w:val="0"/>
          <w:w w:val="100"/>
          <w:position w:val="0"/>
          <w:shd w:val="clear" w:color="auto" w:fill="auto"/>
          <w:lang w:val="cs-CZ" w:eastAsia="cs-CZ" w:bidi="cs-CZ"/>
        </w:rPr>
        <w:t>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drawing>
          <wp:anchor distT="292735" distB="0" distL="351790" distR="117475" simplePos="0" relativeHeight="125829392" behindDoc="0" locked="0" layoutInCell="1" allowOverlap="1">
            <wp:simplePos x="0" y="0"/>
            <wp:positionH relativeFrom="page">
              <wp:posOffset>2352040</wp:posOffset>
            </wp:positionH>
            <wp:positionV relativeFrom="paragraph">
              <wp:posOffset>305435</wp:posOffset>
            </wp:positionV>
            <wp:extent cx="1670050" cy="176530"/>
            <wp:wrapSquare wrapText="left"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70050" cy="1765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2114550</wp:posOffset>
                </wp:positionH>
                <wp:positionV relativeFrom="paragraph">
                  <wp:posOffset>12700</wp:posOffset>
                </wp:positionV>
                <wp:extent cx="1908175" cy="32639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08175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E8CD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kutflný úr-tov živočišné výroby, v.v.l</w:t>
                            </w:r>
                          </w:p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000000"/>
                                <w:lang w:val="cs-CZ" w:eastAsia="cs-CZ" w:bidi="cs-CZ"/>
                              </w:rPr>
                              <w:t>......</w:t>
                            </w:r>
                            <w:r>
                              <w:rPr>
                                <w:rFonts w:ascii="Arial" w:eastAsia="Arial" w:hAnsi="Arial" w:cs="Arial"/>
                                <w:color w:val="3E8CDF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cs-CZ" w:eastAsia="cs-CZ" w:bidi="cs-CZ"/>
                              </w:rPr>
                              <w:t>elství 815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66.5pt;margin-top:1.pt;width:150.25pt;height:25.6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3E8CD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kutflný úr-tov živočišné výroby, v.v.l</w:t>
                      </w:r>
                    </w:p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5"/>
                          <w:w w:val="100"/>
                          <w:position w:val="0"/>
                          <w:sz w:val="17"/>
                          <w:szCs w:val="17"/>
                          <w:shd w:val="clear" w:color="auto" w:fill="000000"/>
                          <w:lang w:val="cs-CZ" w:eastAsia="cs-CZ" w:bidi="cs-CZ"/>
                        </w:rPr>
                        <w:t>......</w:t>
                      </w:r>
                      <w:r>
                        <w:rPr>
                          <w:rFonts w:ascii="Arial" w:eastAsia="Arial" w:hAnsi="Arial" w:cs="Arial"/>
                          <w:color w:val="3E8CDF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cs-CZ" w:eastAsia="cs-CZ" w:bidi="cs-CZ"/>
                        </w:rPr>
                        <w:t>elství 815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VÚŽV:</w:t>
      </w:r>
    </w:p>
    <w:p>
      <w:pPr>
        <w:pStyle w:val="Style66"/>
        <w:keepNext w:val="0"/>
        <w:keepLines w:val="0"/>
        <w:widowControl w:val="0"/>
        <w:shd w:val="clear" w:color="auto" w:fill="auto"/>
        <w:tabs>
          <w:tab w:leader="dot" w:pos="2465" w:val="left"/>
        </w:tabs>
        <w:bidi w:val="0"/>
        <w:spacing w:before="0" w:after="0"/>
        <w:ind w:right="0" w:firstLine="0"/>
        <w:jc w:val="left"/>
      </w:pPr>
      <w:r>
        <w:rPr>
          <w:color w:val="000000"/>
          <w:spacing w:val="9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color w:val="000000"/>
          <w:spacing w:val="10"/>
          <w:w w:val="100"/>
          <w:position w:val="0"/>
          <w:shd w:val="clear" w:color="auto" w:fill="000000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59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79" w:left="1420" w:right="693" w:bottom="3977" w:header="1051" w:footer="3549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b/>
          <w:bCs/>
          <w:color w:val="000000"/>
          <w:spacing w:val="3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b/>
          <w:b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b/>
          <w:bCs/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.....</w:t>
      </w:r>
      <w:r>
        <w:rPr>
          <w:b/>
          <w:bCs/>
          <w:color w:val="000000"/>
          <w:spacing w:val="6"/>
          <w:w w:val="100"/>
          <w:position w:val="0"/>
          <w:shd w:val="clear" w:color="auto" w:fill="000000"/>
          <w:lang w:val="cs-CZ" w:eastAsia="cs-CZ" w:bidi="cs-CZ"/>
        </w:rPr>
        <w:t>....</w:t>
      </w:r>
      <w:r>
        <w:rPr>
          <w:b/>
          <w:b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b/>
          <w:bCs/>
          <w:color w:val="000000"/>
          <w:spacing w:val="1"/>
          <w:w w:val="100"/>
          <w:position w:val="0"/>
          <w:shd w:val="clear" w:color="auto" w:fill="000000"/>
          <w:lang w:val="cs-CZ" w:eastAsia="cs-CZ" w:bidi="cs-CZ"/>
        </w:rPr>
        <w:t>..</w:t>
      </w:r>
      <w:r>
        <w:rPr>
          <w:b/>
          <w:bCs/>
          <w:color w:val="000000"/>
          <w:spacing w:val="2"/>
          <w:w w:val="100"/>
          <w:position w:val="0"/>
          <w:shd w:val="clear" w:color="auto" w:fill="000000"/>
          <w:lang w:val="cs-CZ" w:eastAsia="cs-CZ" w:bidi="cs-CZ"/>
        </w:rPr>
        <w:t>........</w:t>
      </w:r>
      <w:r>
        <w:rPr>
          <w:b/>
          <w:bCs/>
          <w:color w:val="000000"/>
          <w:spacing w:val="0"/>
          <w:w w:val="100"/>
          <w:position w:val="0"/>
          <w:shd w:val="clear" w:color="auto" w:fill="000000"/>
          <w:lang w:val="cs-CZ" w:eastAsia="cs-CZ" w:bidi="cs-CZ"/>
        </w:rPr>
        <w:t>​</w:t>
      </w:r>
      <w:r>
        <w:rPr>
          <w:b/>
          <w:bCs/>
          <w:color w:val="000000"/>
          <w:spacing w:val="4"/>
          <w:w w:val="100"/>
          <w:position w:val="0"/>
          <w:shd w:val="clear" w:color="auto" w:fill="000000"/>
          <w:lang w:val="cs-CZ" w:eastAsia="cs-CZ" w:bidi="cs-CZ"/>
        </w:rPr>
        <w:t>............</w:t>
      </w:r>
      <w:r>
        <w:rPr>
          <w:b/>
          <w:bCs/>
          <w:color w:val="000000"/>
          <w:spacing w:val="5"/>
          <w:w w:val="100"/>
          <w:position w:val="0"/>
          <w:shd w:val="clear" w:color="auto" w:fill="000000"/>
          <w:lang w:val="cs-CZ" w:eastAsia="cs-CZ" w:bidi="cs-CZ"/>
        </w:rPr>
        <w:t>.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ředitel VÚŽV, v. v. 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520" w:firstLine="0"/>
        <w:jc w:val="righ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Výzkumný ústav živočišná výroby v.v.i.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Příloha č.2: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Podklady pro Výroční zprávu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Početní stavy plemene plášťová populace za rok 2024</w:t>
      </w:r>
    </w:p>
    <w:tbl>
      <w:tblPr>
        <w:tblOverlap w:val="never"/>
        <w:jc w:val="center"/>
        <w:tblLayout w:type="fixed"/>
      </w:tblPr>
      <w:tblGrid>
        <w:gridCol w:w="768"/>
        <w:gridCol w:w="1070"/>
        <w:gridCol w:w="1099"/>
        <w:gridCol w:w="749"/>
        <w:gridCol w:w="922"/>
        <w:gridCol w:w="922"/>
        <w:gridCol w:w="960"/>
        <w:gridCol w:w="1013"/>
        <w:gridCol w:w="1080"/>
        <w:gridCol w:w="1104"/>
      </w:tblGrid>
      <w:tr>
        <w:trPr>
          <w:trHeight w:val="13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Populace celkem ODHAD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samice PK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mladých)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samci PK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Samice reprod.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Samci reprod.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samice nově zapsané PK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samci nově zařazení do plem.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narozeno živých potomků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Efektivní velikost populace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Hue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tbl>
      <w:tblPr>
        <w:tblOverlap w:val="never"/>
        <w:jc w:val="center"/>
        <w:tblLayout w:type="fixed"/>
      </w:tblPr>
      <w:tblGrid>
        <w:gridCol w:w="7517"/>
        <w:gridCol w:w="2141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chovů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chovů v GZ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Genetický zdroj - samci</w:t>
      </w:r>
    </w:p>
    <w:tbl>
      <w:tblPr>
        <w:tblOverlap w:val="never"/>
        <w:jc w:val="center"/>
        <w:tblLayout w:type="fixed"/>
      </w:tblPr>
      <w:tblGrid>
        <w:gridCol w:w="7522"/>
        <w:gridCol w:w="2141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plemeníků uznaných jako GZ v daném roce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Podíl nově zaražených samců do plemenitby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Podíl reprodukčně aktivních plemeníků v populaci (počet plemeníků s narozeným potomstvem)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Max. délka aktivního využívání plemeníků (v letech)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samců starších 6 let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inseminací jednotlivých plemeníků v daném roce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Intenzita inseminace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Genetický zdroj - samice</w:t>
      </w:r>
    </w:p>
    <w:tbl>
      <w:tblPr>
        <w:tblOverlap w:val="never"/>
        <w:jc w:val="center"/>
        <w:tblLayout w:type="fixed"/>
      </w:tblPr>
      <w:tblGrid>
        <w:gridCol w:w="7498"/>
        <w:gridCol w:w="2141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samic uznaných jako GZ v daném roce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Podíl nově zařazených samic do plemenitby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Podíl reprodukčně aktivních samic v populaci (počet plemenic s narozeným potomstvem)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zapuštěných plemenic v daném roce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toho počet inseminovaných plemenic v daném roce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Max. délka aktivní využívání samic (v letech)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samic starších 10 let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Užitkovost</w:t>
      </w:r>
    </w:p>
    <w:tbl>
      <w:tblPr>
        <w:tblOverlap w:val="never"/>
        <w:jc w:val="center"/>
        <w:tblLayout w:type="fixed"/>
      </w:tblPr>
      <w:tblGrid>
        <w:gridCol w:w="7498"/>
        <w:gridCol w:w="2165"/>
      </w:tblGrid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porodů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živě narozených potomků v daném roce (samci/samice)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Intenzita plodnosti (počet živě narozených potomků na počet zapuštěných samic)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603" w:left="1413" w:right="781" w:bottom="603" w:header="175" w:footer="17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Body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3E8CDF"/>
      <w:sz w:val="16"/>
      <w:szCs w:val="16"/>
      <w:u w:val="none"/>
    </w:rPr>
  </w:style>
  <w:style w:type="character" w:customStyle="1" w:styleId="CharStyle9">
    <w:name w:val="Body text (3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3E8CDF"/>
      <w:sz w:val="14"/>
      <w:szCs w:val="14"/>
      <w:u w:val="none"/>
    </w:rPr>
  </w:style>
  <w:style w:type="character" w:customStyle="1" w:styleId="CharStyle11">
    <w:name w:val="Heading #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Table caption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Other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">
    <w:name w:val="Body text (5)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47">
    <w:name w:val="Picture caption_"/>
    <w:basedOn w:val="DefaultParagraphFont"/>
    <w:link w:val="Styl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2">
    <w:name w:val="Body text (4)_"/>
    <w:basedOn w:val="DefaultParagraphFont"/>
    <w:link w:val="Style5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7">
    <w:name w:val="Body text (6)_"/>
    <w:basedOn w:val="DefaultParagraphFont"/>
    <w:link w:val="Style66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after="100" w:line="283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line="233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3E8CDF"/>
      <w:sz w:val="16"/>
      <w:szCs w:val="16"/>
      <w:u w:val="none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E8CDF"/>
      <w:sz w:val="14"/>
      <w:szCs w:val="14"/>
      <w:u w:val="none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spacing w:after="16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Other"/>
    <w:basedOn w:val="Normal"/>
    <w:link w:val="CharStyle15"/>
    <w:pPr>
      <w:widowControl w:val="0"/>
      <w:shd w:val="clear" w:color="auto" w:fill="FFFFFF"/>
      <w:spacing w:after="100" w:line="283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">
    <w:name w:val="Body text (5)"/>
    <w:basedOn w:val="Normal"/>
    <w:link w:val="CharStyle29"/>
    <w:pPr>
      <w:widowControl w:val="0"/>
      <w:shd w:val="clear" w:color="auto" w:fill="FFFFFF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46">
    <w:name w:val="Picture caption"/>
    <w:basedOn w:val="Normal"/>
    <w:link w:val="CharStyle4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1">
    <w:name w:val="Body text (4)"/>
    <w:basedOn w:val="Normal"/>
    <w:link w:val="CharStyle52"/>
    <w:pPr>
      <w:widowControl w:val="0"/>
      <w:shd w:val="clear" w:color="auto" w:fill="FFFFFF"/>
      <w:jc w:val="right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6">
    <w:name w:val="Body text (6)"/>
    <w:basedOn w:val="Normal"/>
    <w:link w:val="CharStyle67"/>
    <w:pPr>
      <w:widowControl w:val="0"/>
      <w:shd w:val="clear" w:color="auto" w:fill="FFFFFF"/>
      <w:spacing w:line="286" w:lineRule="auto"/>
      <w:ind w:left="2060"/>
    </w:pPr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